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D59D" w14:textId="77777777" w:rsidR="00EC4505" w:rsidRPr="00A52CAA" w:rsidRDefault="00EC4505" w:rsidP="00EC4505">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Supplemental Methods</w:t>
      </w:r>
    </w:p>
    <w:p w14:paraId="3A76C971" w14:textId="77777777" w:rsidR="00EC4505" w:rsidRPr="00A52CAA" w:rsidRDefault="00EC4505" w:rsidP="00EC4505">
      <w:pPr>
        <w:adjustRightInd w:val="0"/>
        <w:snapToGrid w:val="0"/>
        <w:spacing w:after="0" w:line="480" w:lineRule="auto"/>
        <w:rPr>
          <w:rFonts w:ascii="Arial" w:eastAsia="Times New Roman" w:hAnsi="Arial" w:cs="Arial"/>
          <w:i/>
          <w:iCs/>
          <w:color w:val="000000" w:themeColor="text1"/>
        </w:rPr>
      </w:pPr>
    </w:p>
    <w:p w14:paraId="7A1AD2FB" w14:textId="77777777" w:rsidR="00EC4505" w:rsidRPr="00A52CAA" w:rsidRDefault="00EC4505" w:rsidP="00EC4505">
      <w:pPr>
        <w:adjustRightInd w:val="0"/>
        <w:snapToGrid w:val="0"/>
        <w:spacing w:after="0" w:line="480" w:lineRule="auto"/>
        <w:rPr>
          <w:rFonts w:ascii="Arial" w:eastAsia="Times New Roman" w:hAnsi="Arial" w:cs="Arial"/>
          <w:i/>
          <w:iCs/>
          <w:color w:val="000000" w:themeColor="text1"/>
        </w:rPr>
      </w:pPr>
      <w:r w:rsidRPr="00A52CAA">
        <w:rPr>
          <w:rFonts w:ascii="Arial" w:eastAsia="Times New Roman" w:hAnsi="Arial" w:cs="Arial"/>
          <w:i/>
          <w:iCs/>
          <w:color w:val="000000" w:themeColor="text1"/>
        </w:rPr>
        <w:t>Genetic testing and Variant Classification</w:t>
      </w:r>
    </w:p>
    <w:p w14:paraId="721CECB4" w14:textId="77777777" w:rsidR="00EC4505" w:rsidRPr="00A52CAA" w:rsidRDefault="00EC4505" w:rsidP="00EC4505">
      <w:pPr>
        <w:adjustRightInd w:val="0"/>
        <w:snapToGrid w:val="0"/>
        <w:spacing w:after="0" w:line="480" w:lineRule="auto"/>
        <w:rPr>
          <w:rFonts w:ascii="Arial" w:eastAsia="Times New Roman" w:hAnsi="Arial" w:cs="Arial"/>
          <w:color w:val="000000" w:themeColor="text1"/>
        </w:rPr>
      </w:pPr>
    </w:p>
    <w:p w14:paraId="5AB1A99A" w14:textId="77777777" w:rsidR="00EC4505" w:rsidRPr="00A52CAA" w:rsidRDefault="00EC4505" w:rsidP="00EC4505">
      <w:pPr>
        <w:adjustRightInd w:val="0"/>
        <w:snapToGrid w:val="0"/>
        <w:spacing w:after="0" w:line="480" w:lineRule="auto"/>
        <w:rPr>
          <w:rFonts w:ascii="Arial" w:eastAsia="Times New Roman" w:hAnsi="Arial" w:cs="Arial"/>
          <w:color w:val="000000" w:themeColor="text1"/>
        </w:rPr>
      </w:pPr>
      <w:r w:rsidRPr="00A52CAA">
        <w:rPr>
          <w:rFonts w:ascii="Arial" w:eastAsia="Times New Roman" w:hAnsi="Arial" w:cs="Arial"/>
          <w:color w:val="000000" w:themeColor="text1"/>
        </w:rPr>
        <w:t>The hearing-loss gene panel (</w:t>
      </w:r>
      <w:proofErr w:type="spellStart"/>
      <w:r w:rsidRPr="00A52CAA">
        <w:rPr>
          <w:rFonts w:ascii="Arial" w:eastAsia="Times New Roman" w:hAnsi="Arial" w:cs="Arial"/>
          <w:color w:val="000000" w:themeColor="text1"/>
        </w:rPr>
        <w:t>GeneDx</w:t>
      </w:r>
      <w:proofErr w:type="spellEnd"/>
      <w:r w:rsidRPr="00A52CAA">
        <w:rPr>
          <w:rFonts w:ascii="Arial" w:eastAsia="Times New Roman" w:hAnsi="Arial" w:cs="Arial"/>
          <w:color w:val="000000" w:themeColor="text1"/>
        </w:rPr>
        <w:t>) encompass</w:t>
      </w:r>
      <w:r>
        <w:rPr>
          <w:rFonts w:ascii="Arial" w:eastAsia="Times New Roman" w:hAnsi="Arial" w:cs="Arial"/>
          <w:color w:val="000000" w:themeColor="text1"/>
        </w:rPr>
        <w:t>ed</w:t>
      </w:r>
      <w:r w:rsidRPr="00A52CAA">
        <w:rPr>
          <w:rFonts w:ascii="Arial" w:eastAsia="Times New Roman" w:hAnsi="Arial" w:cs="Arial"/>
          <w:color w:val="000000" w:themeColor="text1"/>
        </w:rPr>
        <w:t xml:space="preserve"> 146 nuclear genes and 6 variants in 3 mitochondrial genes accounting primarily for NSHL and select genetic syndromes that present with HL. Sequencing of coding regions and splice junctions with selected deletion/duplication analysis and copy-number variant detection was performed.</w:t>
      </w:r>
      <w:r w:rsidRPr="00A52CAA">
        <w:rPr>
          <w:rFonts w:ascii="Arial" w:eastAsia="Times New Roman" w:hAnsi="Arial" w:cs="Arial"/>
          <w:color w:val="000000" w:themeColor="text1"/>
        </w:rPr>
        <w:fldChar w:fldCharType="begin" w:fldLock="1"/>
      </w:r>
      <w:r w:rsidRPr="00A52CAA">
        <w:rPr>
          <w:rFonts w:ascii="Arial" w:eastAsia="Times New Roman" w:hAnsi="Arial" w:cs="Arial"/>
          <w:color w:val="000000" w:themeColor="text1"/>
        </w:rPr>
        <w:instrText xml:space="preserve"> ADDIN ZOTERO_ITEM CSL_CITATION {"citationID":"0dnzsE1R","properties":{"formattedCitation":"\\super 20\\nosupersub{}","plainCitation":"20","noteIndex":0},"citationItems":[{"id":"nMQLiIcS/b22x21I8","uris":["http://www.mendeley.com/documents/?uuid=1dcb9f07-80e7-4b57-8b79-ec951004944b"],"uri":["http://www.mendeley.com/documents/?uuid=1dcb9f07-80e7-4b57-8b79-ec951004944b"],"itemData":{"ISBN":"3015192892","author":[{"dropping-particle":"","family":"GeneDx","given":"","non-dropping-particle":"","parse-names":false,"suffix":""}],"id":"ITEM-1","issued":{"date-parts":[["2015"]]},"page":"10-13","title":"Test Information Sheet- XomeDx","type":"article-journal"}}],"schema":"https://github.com/citation-style-language/schema/raw/master/csl-citation.json"} </w:instrText>
      </w:r>
      <w:r w:rsidRPr="00A52CAA">
        <w:rPr>
          <w:rFonts w:ascii="Arial" w:eastAsia="Times New Roman" w:hAnsi="Arial" w:cs="Arial"/>
          <w:color w:val="000000" w:themeColor="text1"/>
        </w:rPr>
        <w:fldChar w:fldCharType="separate"/>
      </w:r>
      <w:r w:rsidRPr="00A52CAA">
        <w:rPr>
          <w:rFonts w:ascii="Arial" w:hAnsi="Arial" w:cs="Arial"/>
          <w:color w:val="000000" w:themeColor="text1"/>
          <w:vertAlign w:val="superscript"/>
        </w:rPr>
        <w:t>20</w:t>
      </w:r>
      <w:r w:rsidRPr="00A52CAA">
        <w:rPr>
          <w:rFonts w:ascii="Arial" w:eastAsia="Times New Roman" w:hAnsi="Arial" w:cs="Arial"/>
          <w:color w:val="000000" w:themeColor="text1"/>
        </w:rPr>
        <w:fldChar w:fldCharType="end"/>
      </w:r>
      <w:r w:rsidRPr="00A52CAA">
        <w:rPr>
          <w:rFonts w:ascii="Arial" w:eastAsia="Times New Roman" w:hAnsi="Arial" w:cs="Arial"/>
          <w:color w:val="000000" w:themeColor="text1"/>
        </w:rPr>
        <w:t xml:space="preserve"> Each variant was classified on the genetic testing report as Benign, Likely Benign (LBV), Variant of Unknown Significance (VUS), Likely Pathogenic (LPV) or Pathogenic based on the ACMG 2015 Guidelines.</w:t>
      </w:r>
      <w:r w:rsidRPr="00A52CAA">
        <w:rPr>
          <w:rFonts w:ascii="Arial" w:eastAsia="Times New Roman" w:hAnsi="Arial" w:cs="Arial"/>
          <w:color w:val="000000" w:themeColor="text1"/>
        </w:rPr>
        <w:fldChar w:fldCharType="begin" w:fldLock="1"/>
      </w:r>
      <w:r w:rsidRPr="00A52CAA">
        <w:rPr>
          <w:rFonts w:ascii="Arial" w:eastAsia="Times New Roman" w:hAnsi="Arial" w:cs="Arial"/>
          <w:color w:val="000000" w:themeColor="text1"/>
        </w:rPr>
        <w:instrText xml:space="preserve"> ADDIN ZOTERO_ITEM CSL_CITATION {"citationID":"8Dhqo6Oo","properties":{"formattedCitation":"\\super 21\\nosupersub{}","plainCitation":"21","noteIndex":0},"citationItems":[{"id":"nMQLiIcS/Ai3x47wT","uris":["http://www.mendeley.com/documents/?uuid=9feeb483-a39c-4326-b168-dc6caf12dcc2"],"uri":["http://www.mendeley.com/documents/?uuid=9feeb483-a39c-4326-b168-dc6caf12dcc2"],"itemData":{"author":[{"dropping-particle":"","family":"Analysis","given":"Technical Data","non-dropping-particle":"","parse-names":false,"suffix":""},{"dropping-particle":"","family":"Review","given":"Database","non-dropping-particle":"","parse-names":false,"suffix":""}],"id":"ITEM-1","issued":{"date-parts":[["2015"]]},"title":"and Variant on Process Data Analysis Classificati","type":"article-journal"}}],"schema":"https://github.com/citation-style-language/schema/raw/master/csl-citation.json"} </w:instrText>
      </w:r>
      <w:r w:rsidRPr="00A52CAA">
        <w:rPr>
          <w:rFonts w:ascii="Arial" w:eastAsia="Times New Roman" w:hAnsi="Arial" w:cs="Arial"/>
          <w:color w:val="000000" w:themeColor="text1"/>
        </w:rPr>
        <w:fldChar w:fldCharType="separate"/>
      </w:r>
      <w:r w:rsidRPr="00A52CAA">
        <w:rPr>
          <w:rFonts w:ascii="Arial" w:hAnsi="Arial" w:cs="Arial"/>
          <w:color w:val="000000" w:themeColor="text1"/>
          <w:vertAlign w:val="superscript"/>
        </w:rPr>
        <w:t>21</w:t>
      </w:r>
      <w:r w:rsidRPr="00A52CAA">
        <w:rPr>
          <w:rFonts w:ascii="Arial" w:eastAsia="Times New Roman" w:hAnsi="Arial" w:cs="Arial"/>
          <w:color w:val="000000" w:themeColor="text1"/>
        </w:rPr>
        <w:fldChar w:fldCharType="end"/>
      </w:r>
      <w:r w:rsidRPr="00A52CAA">
        <w:rPr>
          <w:rFonts w:ascii="Arial" w:eastAsia="Times New Roman" w:hAnsi="Arial" w:cs="Arial"/>
          <w:color w:val="000000" w:themeColor="text1"/>
          <w:vertAlign w:val="superscript"/>
        </w:rPr>
        <w:t>,</w:t>
      </w:r>
      <w:r w:rsidRPr="00A52CAA">
        <w:rPr>
          <w:rFonts w:ascii="Arial" w:eastAsia="Times New Roman" w:hAnsi="Arial" w:cs="Arial"/>
          <w:color w:val="000000" w:themeColor="text1"/>
        </w:rPr>
        <w:fldChar w:fldCharType="begin" w:fldLock="1"/>
      </w:r>
      <w:r w:rsidRPr="00A52CAA">
        <w:rPr>
          <w:rFonts w:ascii="Arial" w:eastAsia="Times New Roman" w:hAnsi="Arial" w:cs="Arial"/>
          <w:color w:val="000000" w:themeColor="text1"/>
        </w:rPr>
        <w:instrText xml:space="preserve"> ADDIN ZOTERO_ITEM CSL_CITATION {"citationID":"OLnLQDmB","properties":{"formattedCitation":"\\super 22\\nosupersub{}","plainCitation":"22","noteIndex":0},"citationItems":[{"id":"nMQLiIcS/JByiGGAY","uris":["http://www.mendeley.com/documents/?uuid=e3826d66-b7aa-4421-9cd4-dd7cd43cfc92"],"uri":["http://www.mendeley.com/documents/?uuid=e3826d66-b7aa-4421-9cd4-dd7cd43cfc92"],"itemData":{"DOI":"10.1038/gim.2015.30","ISSN":"15300366","PMID":"25741868","abstract":"The American College of Medical Genetics and Genomics (ACMG) previously developed guidance for the interpretation of sequence variants.1 In the past decade, sequencing technology has evolved rapidly with the advent of high-throughput next-generation sequencing. By adopting and leveraging next-generation sequencing, clinical laboratories are now performing an ever-increasing catalogue of genetic testing spanning genotyping, single genes, gene panels, exomes, genomes, transcriptomes, and epigenetic assays for genetic disorders. By virtue of increased complexity, this shift in genetic testing has been accompanied by new challenges in sequence interpretation. In this context the ACMG convened a workgroup in 2013 comprising representatives from the ACMG, the Association for Molecular Pathology (AMP), and the College of American Pathologists to revisit and revise the standards and guidelines for the interpretation of sequence variants. The group consisted of clinical laboratory directors and clinicians. This report represents expert opinion of the workgroup with input from ACMG, AMP, and College of American Pathologists stakeholders. These recommendations primarily apply to the breadth of genetic tests used in clinical laboratories, including genotyping, single genes, panels, exomes, and genomes. This report recommends the use of specific standard terminology-\"pathogenic,\" \"likely pathogenic,\" \"uncertain significance,\" \"likely benign,\" and \"benign\"-to describe variants identified in genes that cause Mendelian disorders. Moreover, this recommendation describes a process for classifying variants into these five categories based on criteria using typical types of variant evidence (e.g., population data, computational data, functional data, segregation data). Because of the increased complexity of analysis and interpretation of clinical genetic testing described in this report, the ACMG strongly recommends that clinical molecular genetic testing should be performed in a Clinical Laboratory Improvement Amendments-approved laboratory, with results interpreted by a board-certified clinical molecular geneticist or molecular genetic pathologist or the equivalent.","author":[{"dropping-particle":"","family":"Richards","given":"Sue","non-dropping-particle":"","parse-names":false,"suffix":""},{"dropping-particle":"","family":"Aziz","given":"Nazneen","non-dropping-particle":"","parse-names":false,"suffix":""},{"dropping-particle":"","family":"Bale","given":"Sherri","non-dropping-particle":"","parse-names":false,"suffix":""},{"dropping-particle":"","family":"Bick","given":"David","non-dropping-particle":"","parse-names":false,"suffix":""},{"dropping-particle":"","family":"Das","given":"Soma","non-dropping-particle":"","parse-names":false,"suffix":""},{"dropping-particle":"","family":"Gastier-Foster","given":"Julie","non-dropping-particle":"","parse-names":false,"suffix":""},{"dropping-particle":"","family":"Grody","given":"Wayne W.","non-dropping-particle":"","parse-names":false,"suffix":""},{"dropping-particle":"","family":"Hegde","given":"Madhuri","non-dropping-particle":"","parse-names":false,"suffix":""},{"dropping-particle":"","family":"Lyon","given":"Elaine","non-dropping-particle":"","parse-names":false,"suffix":""},{"dropping-particle":"","family":"Spector","given":"Elaine","non-dropping-particle":"","parse-names":false,"suffix":""},{"dropping-particle":"","family":"Voelkerding","given":"Karl","non-dropping-particle":"","parse-names":false,"suffix":""},{"dropping-particle":"","family":"Rehm","given":"Heidi L.","non-dropping-particle":"","parse-names":false,"suffix":""}],"container-title":"Genetics in Medicine","id":"ITEM-1","issued":{"date-parts":[["2015"]]},"title":"Standards and guidelines for the interpretation of sequence variants: A joint consensus recommendation of the American College of Medical Genetics and Genomics and the Association for Molecular Pathology","type":"article-journal"}}],"schema":"https://github.com/citation-style-language/schema/raw/master/csl-citation.json"} </w:instrText>
      </w:r>
      <w:r w:rsidRPr="00A52CAA">
        <w:rPr>
          <w:rFonts w:ascii="Arial" w:eastAsia="Times New Roman" w:hAnsi="Arial" w:cs="Arial"/>
          <w:color w:val="000000" w:themeColor="text1"/>
        </w:rPr>
        <w:fldChar w:fldCharType="separate"/>
      </w:r>
      <w:r w:rsidRPr="00A52CAA">
        <w:rPr>
          <w:rFonts w:ascii="Arial" w:hAnsi="Arial" w:cs="Arial"/>
          <w:color w:val="000000" w:themeColor="text1"/>
          <w:vertAlign w:val="superscript"/>
        </w:rPr>
        <w:t>22</w:t>
      </w:r>
      <w:r w:rsidRPr="00A52CAA">
        <w:rPr>
          <w:rFonts w:ascii="Arial" w:eastAsia="Times New Roman" w:hAnsi="Arial" w:cs="Arial"/>
          <w:color w:val="000000" w:themeColor="text1"/>
        </w:rPr>
        <w:fldChar w:fldCharType="end"/>
      </w:r>
      <w:r w:rsidRPr="00A52CAA">
        <w:rPr>
          <w:rFonts w:ascii="Arial" w:eastAsia="Times New Roman" w:hAnsi="Arial" w:cs="Arial"/>
          <w:color w:val="000000" w:themeColor="text1"/>
        </w:rPr>
        <w:t xml:space="preserve">  We further classified Uncertain VUSs as Benign or Deleterious VUSs based on </w:t>
      </w:r>
      <w:proofErr w:type="spellStart"/>
      <w:r w:rsidRPr="00A52CAA">
        <w:rPr>
          <w:rFonts w:ascii="Arial" w:eastAsia="Times New Roman" w:hAnsi="Arial" w:cs="Arial"/>
          <w:color w:val="000000" w:themeColor="text1"/>
        </w:rPr>
        <w:t>ClinVar</w:t>
      </w:r>
      <w:proofErr w:type="spellEnd"/>
      <w:r w:rsidRPr="00A52CAA">
        <w:rPr>
          <w:rFonts w:ascii="Arial" w:eastAsia="Times New Roman" w:hAnsi="Arial" w:cs="Arial"/>
          <w:color w:val="000000" w:themeColor="text1"/>
        </w:rPr>
        <w:t xml:space="preserve"> designation and PROVEAN (Protein Variation Effect Analyzer) score (&lt;= -2.5: predicted deleterious; &gt; -2.5: predicted benign) when </w:t>
      </w:r>
      <w:proofErr w:type="spellStart"/>
      <w:r w:rsidRPr="00A52CAA">
        <w:rPr>
          <w:rFonts w:ascii="Arial" w:eastAsia="Times New Roman" w:hAnsi="Arial" w:cs="Arial"/>
          <w:color w:val="000000" w:themeColor="text1"/>
        </w:rPr>
        <w:t>ClinVar</w:t>
      </w:r>
      <w:proofErr w:type="spellEnd"/>
      <w:r w:rsidRPr="00A52CAA">
        <w:rPr>
          <w:rFonts w:ascii="Arial" w:eastAsia="Times New Roman" w:hAnsi="Arial" w:cs="Arial"/>
          <w:color w:val="000000" w:themeColor="text1"/>
        </w:rPr>
        <w:t xml:space="preserve"> report was unavailable. Variants that lacked a categorization in the clinical report, </w:t>
      </w:r>
      <w:proofErr w:type="spellStart"/>
      <w:r w:rsidRPr="00A52CAA">
        <w:rPr>
          <w:rFonts w:ascii="Arial" w:eastAsia="Times New Roman" w:hAnsi="Arial" w:cs="Arial"/>
          <w:color w:val="000000" w:themeColor="text1"/>
        </w:rPr>
        <w:t>ClinVar</w:t>
      </w:r>
      <w:proofErr w:type="spellEnd"/>
      <w:r w:rsidRPr="00A52CAA">
        <w:rPr>
          <w:rFonts w:ascii="Arial" w:eastAsia="Times New Roman" w:hAnsi="Arial" w:cs="Arial"/>
          <w:color w:val="000000" w:themeColor="text1"/>
        </w:rPr>
        <w:t xml:space="preserve"> designation, or PROVEAN prediction were ultimately categorized as Uncertain VUSs. </w:t>
      </w:r>
    </w:p>
    <w:p w14:paraId="6CC46EA8" w14:textId="77777777" w:rsidR="00EC4505" w:rsidRPr="00A52CAA" w:rsidRDefault="00EC4505" w:rsidP="00EC4505">
      <w:pPr>
        <w:adjustRightInd w:val="0"/>
        <w:snapToGrid w:val="0"/>
        <w:spacing w:after="0" w:line="480" w:lineRule="auto"/>
        <w:ind w:firstLine="720"/>
        <w:rPr>
          <w:rFonts w:ascii="Arial" w:eastAsia="Arial" w:hAnsi="Arial" w:cs="Arial"/>
          <w:color w:val="000000" w:themeColor="text1"/>
        </w:rPr>
      </w:pPr>
      <w:r w:rsidRPr="00A52CAA">
        <w:rPr>
          <w:rFonts w:ascii="Arial" w:eastAsia="Times New Roman" w:hAnsi="Arial" w:cs="Arial"/>
          <w:color w:val="000000" w:themeColor="text1"/>
        </w:rPr>
        <w:t xml:space="preserve">Variants were given a Variant Molecular Diagnosis (Variant MD) between 0-6 in order of pathogenicity (Supplemental Figure 1), and </w:t>
      </w:r>
      <w:r w:rsidRPr="00A52CAA">
        <w:rPr>
          <w:rFonts w:ascii="Arial" w:eastAsia="Arial" w:hAnsi="Arial" w:cs="Arial"/>
          <w:color w:val="000000" w:themeColor="text1"/>
        </w:rPr>
        <w:t xml:space="preserve">each gene was assigned a number between 0-4 (Gene MD) reflecting the likelihood that a variant contributed to hearing loss based upon the Variant MD and inheritance pattern (Supplemental Figure 2). If a patient had a negative result on their genetic test report (no variants reported), the Gene MD was zero. </w:t>
      </w:r>
    </w:p>
    <w:p w14:paraId="46D60A95" w14:textId="77777777" w:rsidR="00EC4505" w:rsidRPr="00A52CAA" w:rsidRDefault="00EC4505" w:rsidP="00EC4505">
      <w:pPr>
        <w:spacing w:after="0" w:line="480" w:lineRule="auto"/>
        <w:ind w:firstLine="720"/>
        <w:rPr>
          <w:rFonts w:ascii="Arial" w:eastAsia="Times New Roman" w:hAnsi="Arial" w:cs="Arial"/>
          <w:i/>
          <w:iCs/>
          <w:color w:val="000000" w:themeColor="text1"/>
        </w:rPr>
      </w:pPr>
      <w:r w:rsidRPr="00A52CAA">
        <w:rPr>
          <w:rFonts w:ascii="Arial" w:hAnsi="Arial" w:cs="Arial"/>
          <w:color w:val="000000" w:themeColor="text1"/>
        </w:rPr>
        <w:t xml:space="preserve">Inheritance was reported by </w:t>
      </w:r>
      <w:proofErr w:type="spellStart"/>
      <w:r w:rsidRPr="00A52CAA">
        <w:rPr>
          <w:rFonts w:ascii="Arial" w:hAnsi="Arial" w:cs="Arial"/>
          <w:color w:val="000000" w:themeColor="text1"/>
        </w:rPr>
        <w:t>GeneDx</w:t>
      </w:r>
      <w:proofErr w:type="spellEnd"/>
      <w:r w:rsidRPr="00A52CAA">
        <w:rPr>
          <w:rFonts w:ascii="Arial" w:hAnsi="Arial" w:cs="Arial"/>
          <w:color w:val="000000" w:themeColor="text1"/>
        </w:rPr>
        <w:t xml:space="preserve"> for most variants. In some instances, inheritance was reported as autosomal dominant or autosomal recessive. In these cases, inheritance pattern was determined using </w:t>
      </w:r>
      <w:proofErr w:type="spellStart"/>
      <w:r w:rsidRPr="00A52CAA">
        <w:rPr>
          <w:rFonts w:ascii="Arial" w:hAnsi="Arial" w:cs="Arial"/>
          <w:color w:val="000000" w:themeColor="text1"/>
        </w:rPr>
        <w:t>ClinVar</w:t>
      </w:r>
      <w:proofErr w:type="spellEnd"/>
      <w:r w:rsidRPr="00A52CAA">
        <w:rPr>
          <w:rFonts w:ascii="Arial" w:hAnsi="Arial" w:cs="Arial"/>
          <w:color w:val="000000" w:themeColor="text1"/>
        </w:rPr>
        <w:t xml:space="preserve">/OMIM designation if available, if not, clinical history was used to determine inheritance pattern (Supplemental Figure 3).  </w:t>
      </w:r>
      <w:r w:rsidRPr="00A52CAA">
        <w:rPr>
          <w:rFonts w:ascii="Arial" w:eastAsia="Times New Roman" w:hAnsi="Arial" w:cs="Arial"/>
          <w:color w:val="000000" w:themeColor="text1"/>
          <w:shd w:val="clear" w:color="auto" w:fill="FFFFFF"/>
        </w:rPr>
        <w:t xml:space="preserve">Several genes with a digenic inheritance pattern were identified and treated as autosomal recessive variants of the same </w:t>
      </w:r>
      <w:r w:rsidRPr="00A52CAA">
        <w:rPr>
          <w:rFonts w:ascii="Arial" w:eastAsia="Times New Roman" w:hAnsi="Arial" w:cs="Arial"/>
          <w:color w:val="000000" w:themeColor="text1"/>
          <w:shd w:val="clear" w:color="auto" w:fill="FFFFFF"/>
        </w:rPr>
        <w:lastRenderedPageBreak/>
        <w:t xml:space="preserve">gene (Supplemental Figure 4). In cases where conflict existed in primary data, these conflicts were resolved on discussion between the primary and senior authors (MF, SLR, DKC). </w:t>
      </w:r>
    </w:p>
    <w:p w14:paraId="1C60D12B" w14:textId="77777777" w:rsidR="00EC4505" w:rsidRPr="00A52CAA" w:rsidRDefault="00EC4505" w:rsidP="00EC4505">
      <w:pPr>
        <w:adjustRightInd w:val="0"/>
        <w:snapToGrid w:val="0"/>
        <w:spacing w:after="0" w:line="480" w:lineRule="auto"/>
        <w:ind w:firstLine="720"/>
        <w:rPr>
          <w:rFonts w:ascii="Arial" w:eastAsia="Times New Roman" w:hAnsi="Arial" w:cs="Arial"/>
          <w:color w:val="000000" w:themeColor="text1"/>
        </w:rPr>
      </w:pPr>
      <w:r w:rsidRPr="00A52CAA">
        <w:rPr>
          <w:rFonts w:ascii="Arial" w:eastAsia="Arial" w:hAnsi="Arial" w:cs="Arial"/>
          <w:color w:val="000000" w:themeColor="text1"/>
        </w:rPr>
        <w:t>Using the highest Gene MD among all the genes identified for a patient, each patient was assigned a genetic diagnosis score (Patient MD) between 0-4, a value representing the likelihood of a genetic cause of hearing loss. Patient MD was then dichotomized to reflect current standard of care, in which a patient received a “definite genetic diagnosis” if their Patient MD was 4 and did not receive a definite genetic diagnosis if their Patient MD was less than 4. In a subsequent analysis, subjects with a Patient MD of 3, indicating a combination of predicted deleterious VUSs that would, if confirmed pathogenic, indicate involvement of that gene in hearing loss, were designated as having a “possible genetic diagnosis.”</w:t>
      </w:r>
    </w:p>
    <w:p w14:paraId="49452CB2" w14:textId="77777777" w:rsidR="00EC4505" w:rsidRPr="00A52CAA" w:rsidRDefault="00EC4505" w:rsidP="00EC4505">
      <w:pPr>
        <w:spacing w:after="0" w:line="240" w:lineRule="auto"/>
        <w:rPr>
          <w:rFonts w:ascii="Arial" w:eastAsia="Times New Roman" w:hAnsi="Arial" w:cs="Arial"/>
          <w:color w:val="000000" w:themeColor="text1"/>
        </w:rPr>
      </w:pPr>
      <w:r w:rsidRPr="00A52CAA">
        <w:rPr>
          <w:rFonts w:ascii="Arial" w:eastAsia="Times New Roman" w:hAnsi="Arial" w:cs="Arial"/>
          <w:color w:val="000000" w:themeColor="text1"/>
        </w:rPr>
        <w:br w:type="page"/>
      </w:r>
    </w:p>
    <w:p w14:paraId="7DD08CD7" w14:textId="77777777" w:rsidR="00EC4505" w:rsidRPr="00A52CAA" w:rsidRDefault="00EC4505" w:rsidP="00EC4505">
      <w:pPr>
        <w:adjustRightInd w:val="0"/>
        <w:snapToGrid w:val="0"/>
        <w:spacing w:after="0" w:line="480" w:lineRule="auto"/>
        <w:rPr>
          <w:rFonts w:ascii="Arial" w:eastAsia="Times New Roman" w:hAnsi="Arial" w:cs="Arial"/>
          <w:b/>
          <w:bCs/>
          <w:color w:val="000000" w:themeColor="text1"/>
        </w:rPr>
      </w:pPr>
      <w:r w:rsidRPr="00A52CAA">
        <w:rPr>
          <w:rFonts w:ascii="Arial" w:eastAsia="Times New Roman" w:hAnsi="Arial" w:cs="Arial"/>
          <w:b/>
          <w:bCs/>
          <w:color w:val="000000" w:themeColor="text1"/>
        </w:rPr>
        <w:lastRenderedPageBreak/>
        <w:t>Supplemental Tables</w:t>
      </w:r>
    </w:p>
    <w:p w14:paraId="44B80EB0" w14:textId="77777777" w:rsidR="00EC4505" w:rsidRPr="00A52CAA" w:rsidRDefault="00EC4505" w:rsidP="00EC4505">
      <w:pPr>
        <w:adjustRightInd w:val="0"/>
        <w:snapToGrid w:val="0"/>
        <w:spacing w:after="0" w:line="480" w:lineRule="auto"/>
        <w:rPr>
          <w:rFonts w:ascii="Arial" w:eastAsia="Times New Roman" w:hAnsi="Arial" w:cs="Arial"/>
          <w:b/>
          <w:bCs/>
          <w:color w:val="000000" w:themeColor="text1"/>
        </w:rPr>
      </w:pPr>
    </w:p>
    <w:tbl>
      <w:tblPr>
        <w:tblW w:w="6120" w:type="dxa"/>
        <w:tblCellMar>
          <w:left w:w="0" w:type="dxa"/>
          <w:right w:w="0" w:type="dxa"/>
        </w:tblCellMar>
        <w:tblLook w:val="04A0" w:firstRow="1" w:lastRow="0" w:firstColumn="1" w:lastColumn="0" w:noHBand="0" w:noVBand="1"/>
      </w:tblPr>
      <w:tblGrid>
        <w:gridCol w:w="4410"/>
        <w:gridCol w:w="1710"/>
      </w:tblGrid>
      <w:tr w:rsidR="00EC4505" w:rsidRPr="00BC2D2F" w14:paraId="7764D9EF" w14:textId="77777777" w:rsidTr="007D6DC7">
        <w:trPr>
          <w:trHeight w:val="113"/>
        </w:trPr>
        <w:tc>
          <w:tcPr>
            <w:tcW w:w="4410" w:type="dxa"/>
            <w:tcBorders>
              <w:bottom w:val="single" w:sz="4" w:space="0" w:color="auto"/>
            </w:tcBorders>
            <w:shd w:val="clear" w:color="auto" w:fill="auto"/>
            <w:hideMark/>
          </w:tcPr>
          <w:p w14:paraId="64185612" w14:textId="77777777" w:rsidR="00EC4505" w:rsidRPr="00A52CAA" w:rsidRDefault="00EC4505" w:rsidP="007D6DC7">
            <w:pPr>
              <w:spacing w:after="0" w:line="240" w:lineRule="auto"/>
              <w:textAlignment w:val="baseline"/>
              <w:rPr>
                <w:rFonts w:ascii="Arial" w:hAnsi="Arial" w:cs="Arial"/>
                <w:b/>
                <w:bCs/>
                <w:color w:val="000000" w:themeColor="text1"/>
              </w:rPr>
            </w:pPr>
          </w:p>
        </w:tc>
        <w:tc>
          <w:tcPr>
            <w:tcW w:w="1710" w:type="dxa"/>
            <w:tcBorders>
              <w:bottom w:val="single" w:sz="4" w:space="0" w:color="auto"/>
            </w:tcBorders>
            <w:shd w:val="clear" w:color="auto" w:fill="auto"/>
            <w:hideMark/>
          </w:tcPr>
          <w:p w14:paraId="14AACC1B"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 = 939</w:t>
            </w:r>
          </w:p>
        </w:tc>
      </w:tr>
      <w:tr w:rsidR="00EC4505" w:rsidRPr="00BC2D2F" w14:paraId="6443E873" w14:textId="77777777" w:rsidTr="007D6DC7">
        <w:trPr>
          <w:trHeight w:val="88"/>
        </w:trPr>
        <w:tc>
          <w:tcPr>
            <w:tcW w:w="4410" w:type="dxa"/>
            <w:tcBorders>
              <w:top w:val="single" w:sz="4" w:space="0" w:color="auto"/>
            </w:tcBorders>
            <w:shd w:val="clear" w:color="auto" w:fill="auto"/>
            <w:hideMark/>
          </w:tcPr>
          <w:p w14:paraId="73099384" w14:textId="77777777" w:rsidR="00EC4505" w:rsidRPr="00A52CAA" w:rsidRDefault="00EC4505" w:rsidP="007D6DC7">
            <w:pPr>
              <w:spacing w:after="0" w:line="240" w:lineRule="auto"/>
              <w:textAlignment w:val="baseline"/>
              <w:rPr>
                <w:rFonts w:ascii="Arial" w:hAnsi="Arial" w:cs="Arial"/>
                <w:b/>
                <w:bCs/>
                <w:color w:val="000000" w:themeColor="text1"/>
              </w:rPr>
            </w:pPr>
            <w:r w:rsidRPr="00A52CAA">
              <w:rPr>
                <w:rFonts w:ascii="Arial" w:hAnsi="Arial" w:cs="Arial"/>
                <w:b/>
                <w:bCs/>
                <w:color w:val="000000" w:themeColor="text1"/>
              </w:rPr>
              <w:t>Variant MD </w:t>
            </w:r>
          </w:p>
        </w:tc>
        <w:tc>
          <w:tcPr>
            <w:tcW w:w="1710" w:type="dxa"/>
            <w:tcBorders>
              <w:top w:val="single" w:sz="4" w:space="0" w:color="auto"/>
            </w:tcBorders>
            <w:shd w:val="clear" w:color="auto" w:fill="auto"/>
            <w:hideMark/>
          </w:tcPr>
          <w:p w14:paraId="516D2C28" w14:textId="77777777" w:rsidR="00EC4505" w:rsidRPr="00A52CAA" w:rsidRDefault="00EC4505" w:rsidP="007D6DC7">
            <w:pPr>
              <w:spacing w:after="0" w:line="240" w:lineRule="auto"/>
              <w:textAlignment w:val="baseline"/>
              <w:rPr>
                <w:rFonts w:ascii="Arial" w:hAnsi="Arial" w:cs="Arial"/>
                <w:color w:val="000000" w:themeColor="text1"/>
              </w:rPr>
            </w:pPr>
          </w:p>
        </w:tc>
      </w:tr>
      <w:tr w:rsidR="00EC4505" w:rsidRPr="00BC2D2F" w14:paraId="3B9B8FCC" w14:textId="77777777" w:rsidTr="007D6DC7">
        <w:trPr>
          <w:trHeight w:val="113"/>
        </w:trPr>
        <w:tc>
          <w:tcPr>
            <w:tcW w:w="4410" w:type="dxa"/>
            <w:shd w:val="clear" w:color="auto" w:fill="auto"/>
            <w:hideMark/>
          </w:tcPr>
          <w:p w14:paraId="1C396F87"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 xml:space="preserve">No. (%) 0-No variant </w:t>
            </w:r>
            <w:proofErr w:type="spellStart"/>
            <w:r w:rsidRPr="00A52CAA">
              <w:rPr>
                <w:rFonts w:ascii="Arial" w:hAnsi="Arial" w:cs="Arial"/>
                <w:color w:val="000000" w:themeColor="text1"/>
              </w:rPr>
              <w:t>foun</w:t>
            </w:r>
            <w:proofErr w:type="spellEnd"/>
          </w:p>
        </w:tc>
        <w:tc>
          <w:tcPr>
            <w:tcW w:w="1710" w:type="dxa"/>
            <w:shd w:val="clear" w:color="auto" w:fill="auto"/>
            <w:hideMark/>
          </w:tcPr>
          <w:p w14:paraId="62784929"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10 (1.0)</w:t>
            </w:r>
          </w:p>
        </w:tc>
      </w:tr>
      <w:tr w:rsidR="00EC4505" w:rsidRPr="00BC2D2F" w14:paraId="76141EEA" w14:textId="77777777" w:rsidTr="007D6DC7">
        <w:trPr>
          <w:trHeight w:val="113"/>
        </w:trPr>
        <w:tc>
          <w:tcPr>
            <w:tcW w:w="4410" w:type="dxa"/>
            <w:shd w:val="clear" w:color="auto" w:fill="auto"/>
            <w:hideMark/>
          </w:tcPr>
          <w:p w14:paraId="59E86025"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1- Benign/Likely Benign </w:t>
            </w:r>
          </w:p>
        </w:tc>
        <w:tc>
          <w:tcPr>
            <w:tcW w:w="1710" w:type="dxa"/>
            <w:shd w:val="clear" w:color="auto" w:fill="auto"/>
            <w:hideMark/>
          </w:tcPr>
          <w:p w14:paraId="42BD5FE1"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 (0.1)</w:t>
            </w:r>
          </w:p>
        </w:tc>
      </w:tr>
      <w:tr w:rsidR="00EC4505" w:rsidRPr="00BC2D2F" w14:paraId="01C47E8D" w14:textId="77777777" w:rsidTr="007D6DC7">
        <w:trPr>
          <w:trHeight w:val="113"/>
        </w:trPr>
        <w:tc>
          <w:tcPr>
            <w:tcW w:w="4410" w:type="dxa"/>
            <w:shd w:val="clear" w:color="auto" w:fill="auto"/>
            <w:hideMark/>
          </w:tcPr>
          <w:p w14:paraId="7CF2F196" w14:textId="77777777" w:rsidR="00EC4505" w:rsidRPr="00A52CAA" w:rsidRDefault="00EC4505" w:rsidP="007D6DC7">
            <w:pPr>
              <w:spacing w:after="0" w:line="240" w:lineRule="auto"/>
              <w:textAlignment w:val="baseline"/>
              <w:rPr>
                <w:rFonts w:ascii="Arial" w:hAnsi="Arial" w:cs="Arial"/>
                <w:b/>
                <w:bCs/>
                <w:color w:val="000000" w:themeColor="text1"/>
              </w:rPr>
            </w:pPr>
            <w:r w:rsidRPr="00A52CAA">
              <w:rPr>
                <w:rFonts w:ascii="Arial" w:hAnsi="Arial" w:cs="Arial"/>
                <w:b/>
                <w:bCs/>
                <w:color w:val="000000" w:themeColor="text1"/>
              </w:rPr>
              <w:t>No. (%) 2-4</w:t>
            </w:r>
            <w:r>
              <w:rPr>
                <w:rFonts w:ascii="Arial" w:hAnsi="Arial" w:cs="Arial"/>
                <w:b/>
                <w:bCs/>
                <w:color w:val="000000" w:themeColor="text1"/>
              </w:rPr>
              <w:t xml:space="preserve"> </w:t>
            </w:r>
            <w:r w:rsidRPr="00A52CAA">
              <w:rPr>
                <w:rFonts w:ascii="Arial" w:hAnsi="Arial" w:cs="Arial"/>
                <w:b/>
                <w:bCs/>
                <w:color w:val="000000" w:themeColor="text1"/>
              </w:rPr>
              <w:t>-</w:t>
            </w:r>
            <w:r>
              <w:rPr>
                <w:rFonts w:ascii="Arial" w:hAnsi="Arial" w:cs="Arial"/>
                <w:b/>
                <w:bCs/>
                <w:color w:val="000000" w:themeColor="text1"/>
              </w:rPr>
              <w:t xml:space="preserve"> </w:t>
            </w:r>
            <w:r w:rsidRPr="00A52CAA">
              <w:rPr>
                <w:rFonts w:ascii="Arial" w:hAnsi="Arial" w:cs="Arial"/>
                <w:b/>
                <w:bCs/>
                <w:color w:val="000000" w:themeColor="text1"/>
              </w:rPr>
              <w:t>VUS </w:t>
            </w:r>
          </w:p>
        </w:tc>
        <w:tc>
          <w:tcPr>
            <w:tcW w:w="1710" w:type="dxa"/>
            <w:shd w:val="clear" w:color="auto" w:fill="auto"/>
            <w:hideMark/>
          </w:tcPr>
          <w:p w14:paraId="0F2B0DFE"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768 (81.8)</w:t>
            </w:r>
          </w:p>
        </w:tc>
      </w:tr>
      <w:tr w:rsidR="00EC4505" w:rsidRPr="00BC2D2F" w14:paraId="01E14739" w14:textId="77777777" w:rsidTr="007D6DC7">
        <w:trPr>
          <w:trHeight w:val="113"/>
        </w:trPr>
        <w:tc>
          <w:tcPr>
            <w:tcW w:w="4410" w:type="dxa"/>
            <w:shd w:val="clear" w:color="auto" w:fill="auto"/>
            <w:hideMark/>
          </w:tcPr>
          <w:p w14:paraId="6A37A051" w14:textId="77777777" w:rsidR="00EC4505" w:rsidRPr="00A52CAA" w:rsidRDefault="00EC4505" w:rsidP="007D6DC7">
            <w:pPr>
              <w:spacing w:after="0" w:line="240" w:lineRule="auto"/>
              <w:textAlignment w:val="baseline"/>
              <w:rPr>
                <w:rFonts w:ascii="Arial" w:hAnsi="Arial" w:cs="Arial"/>
                <w:b/>
                <w:bCs/>
                <w:color w:val="000000" w:themeColor="text1"/>
              </w:rPr>
            </w:pPr>
            <w:r w:rsidRPr="00A52CAA">
              <w:rPr>
                <w:rFonts w:ascii="Arial" w:hAnsi="Arial" w:cs="Arial"/>
                <w:color w:val="000000" w:themeColor="text1"/>
              </w:rPr>
              <w:t xml:space="preserve">      No. (%) 2- Benign VUS</w:t>
            </w:r>
          </w:p>
        </w:tc>
        <w:tc>
          <w:tcPr>
            <w:tcW w:w="1710" w:type="dxa"/>
            <w:shd w:val="clear" w:color="auto" w:fill="auto"/>
            <w:hideMark/>
          </w:tcPr>
          <w:p w14:paraId="730E2D00"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347 (45.2)</w:t>
            </w:r>
          </w:p>
        </w:tc>
      </w:tr>
      <w:tr w:rsidR="00EC4505" w:rsidRPr="00BC2D2F" w14:paraId="39DBE9D9" w14:textId="77777777" w:rsidTr="007D6DC7">
        <w:trPr>
          <w:trHeight w:val="113"/>
        </w:trPr>
        <w:tc>
          <w:tcPr>
            <w:tcW w:w="4410" w:type="dxa"/>
            <w:shd w:val="clear" w:color="auto" w:fill="auto"/>
            <w:hideMark/>
          </w:tcPr>
          <w:p w14:paraId="3A7610AD"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 xml:space="preserve">      No. (%) 3- Unknown VUS</w:t>
            </w:r>
          </w:p>
        </w:tc>
        <w:tc>
          <w:tcPr>
            <w:tcW w:w="1710" w:type="dxa"/>
            <w:shd w:val="clear" w:color="auto" w:fill="auto"/>
            <w:hideMark/>
          </w:tcPr>
          <w:p w14:paraId="5E6A94D0"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170 (22.1)</w:t>
            </w:r>
          </w:p>
        </w:tc>
      </w:tr>
      <w:tr w:rsidR="00EC4505" w:rsidRPr="00BC2D2F" w14:paraId="14C94A6A" w14:textId="77777777" w:rsidTr="007D6DC7">
        <w:trPr>
          <w:trHeight w:val="113"/>
        </w:trPr>
        <w:tc>
          <w:tcPr>
            <w:tcW w:w="4410" w:type="dxa"/>
            <w:shd w:val="clear" w:color="auto" w:fill="auto"/>
            <w:hideMark/>
          </w:tcPr>
          <w:p w14:paraId="44A6EE17"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 xml:space="preserve">      No. (%) 4- Deleterious VUS</w:t>
            </w:r>
          </w:p>
        </w:tc>
        <w:tc>
          <w:tcPr>
            <w:tcW w:w="1710" w:type="dxa"/>
            <w:shd w:val="clear" w:color="auto" w:fill="auto"/>
            <w:hideMark/>
          </w:tcPr>
          <w:p w14:paraId="5308D467"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251 (32.7)</w:t>
            </w:r>
          </w:p>
        </w:tc>
      </w:tr>
      <w:tr w:rsidR="00EC4505" w:rsidRPr="00BC2D2F" w14:paraId="4A89662F" w14:textId="77777777" w:rsidTr="007D6DC7">
        <w:trPr>
          <w:trHeight w:val="113"/>
        </w:trPr>
        <w:tc>
          <w:tcPr>
            <w:tcW w:w="4410" w:type="dxa"/>
            <w:shd w:val="clear" w:color="auto" w:fill="auto"/>
            <w:hideMark/>
          </w:tcPr>
          <w:p w14:paraId="09387391" w14:textId="77777777" w:rsidR="00EC4505" w:rsidRPr="00A52CAA" w:rsidRDefault="00EC4505" w:rsidP="007D6DC7">
            <w:pPr>
              <w:spacing w:after="0" w:line="240" w:lineRule="auto"/>
              <w:textAlignment w:val="baseline"/>
              <w:rPr>
                <w:rFonts w:ascii="Arial" w:hAnsi="Arial" w:cs="Arial"/>
                <w:b/>
                <w:bCs/>
                <w:color w:val="000000" w:themeColor="text1"/>
              </w:rPr>
            </w:pPr>
            <w:r w:rsidRPr="00A52CAA">
              <w:rPr>
                <w:rFonts w:ascii="Arial" w:hAnsi="Arial" w:cs="Arial"/>
                <w:b/>
                <w:bCs/>
                <w:color w:val="000000" w:themeColor="text1"/>
              </w:rPr>
              <w:t xml:space="preserve">No. (%) 5-6 </w:t>
            </w:r>
            <w:r>
              <w:rPr>
                <w:rFonts w:ascii="Arial" w:hAnsi="Arial" w:cs="Arial"/>
                <w:b/>
                <w:bCs/>
                <w:color w:val="000000" w:themeColor="text1"/>
              </w:rPr>
              <w:t xml:space="preserve">- </w:t>
            </w:r>
            <w:r w:rsidRPr="00A52CAA">
              <w:rPr>
                <w:rFonts w:ascii="Arial" w:hAnsi="Arial" w:cs="Arial"/>
                <w:b/>
                <w:bCs/>
                <w:color w:val="000000" w:themeColor="text1"/>
              </w:rPr>
              <w:t>Variant Known </w:t>
            </w:r>
          </w:p>
        </w:tc>
        <w:tc>
          <w:tcPr>
            <w:tcW w:w="1710" w:type="dxa"/>
            <w:shd w:val="clear" w:color="auto" w:fill="auto"/>
            <w:hideMark/>
          </w:tcPr>
          <w:p w14:paraId="55B637D9"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171 (18.2)</w:t>
            </w:r>
          </w:p>
        </w:tc>
      </w:tr>
      <w:tr w:rsidR="00EC4505" w:rsidRPr="00BC2D2F" w14:paraId="3876ADD3" w14:textId="77777777" w:rsidTr="007D6DC7">
        <w:trPr>
          <w:trHeight w:val="113"/>
        </w:trPr>
        <w:tc>
          <w:tcPr>
            <w:tcW w:w="4410" w:type="dxa"/>
            <w:shd w:val="clear" w:color="auto" w:fill="auto"/>
          </w:tcPr>
          <w:p w14:paraId="1421F790"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 xml:space="preserve">      No. (%) 5- Likely Pathogenic </w:t>
            </w:r>
          </w:p>
        </w:tc>
        <w:tc>
          <w:tcPr>
            <w:tcW w:w="1710" w:type="dxa"/>
            <w:shd w:val="clear" w:color="auto" w:fill="auto"/>
          </w:tcPr>
          <w:p w14:paraId="762304A9"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43 (4.6)</w:t>
            </w:r>
          </w:p>
        </w:tc>
      </w:tr>
      <w:tr w:rsidR="00EC4505" w:rsidRPr="00BC2D2F" w14:paraId="6B444DBA" w14:textId="77777777" w:rsidTr="007D6DC7">
        <w:trPr>
          <w:trHeight w:val="113"/>
        </w:trPr>
        <w:tc>
          <w:tcPr>
            <w:tcW w:w="4410" w:type="dxa"/>
            <w:shd w:val="clear" w:color="auto" w:fill="auto"/>
          </w:tcPr>
          <w:p w14:paraId="3BF736D1"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 xml:space="preserve">      No. (%) 6- Pathogenic </w:t>
            </w:r>
          </w:p>
        </w:tc>
        <w:tc>
          <w:tcPr>
            <w:tcW w:w="1710" w:type="dxa"/>
            <w:shd w:val="clear" w:color="auto" w:fill="auto"/>
          </w:tcPr>
          <w:p w14:paraId="15FECE7D"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127 (13.5)</w:t>
            </w:r>
          </w:p>
        </w:tc>
      </w:tr>
      <w:tr w:rsidR="00EC4505" w:rsidRPr="00BC2D2F" w14:paraId="3499E3F6" w14:textId="77777777" w:rsidTr="007D6DC7">
        <w:trPr>
          <w:trHeight w:val="113"/>
        </w:trPr>
        <w:tc>
          <w:tcPr>
            <w:tcW w:w="4410" w:type="dxa"/>
            <w:tcBorders>
              <w:bottom w:val="single" w:sz="4" w:space="0" w:color="auto"/>
            </w:tcBorders>
            <w:shd w:val="clear" w:color="auto" w:fill="auto"/>
            <w:hideMark/>
          </w:tcPr>
          <w:p w14:paraId="3666BAE1" w14:textId="77777777" w:rsidR="00EC4505" w:rsidRPr="00A52CAA" w:rsidRDefault="00EC4505" w:rsidP="007D6DC7">
            <w:pPr>
              <w:spacing w:after="0" w:line="240" w:lineRule="auto"/>
              <w:textAlignment w:val="baseline"/>
              <w:rPr>
                <w:rFonts w:ascii="Arial" w:hAnsi="Arial" w:cs="Arial"/>
                <w:color w:val="000000" w:themeColor="text1"/>
              </w:rPr>
            </w:pPr>
          </w:p>
        </w:tc>
        <w:tc>
          <w:tcPr>
            <w:tcW w:w="1710" w:type="dxa"/>
            <w:tcBorders>
              <w:bottom w:val="single" w:sz="4" w:space="0" w:color="auto"/>
            </w:tcBorders>
            <w:shd w:val="clear" w:color="auto" w:fill="auto"/>
            <w:hideMark/>
          </w:tcPr>
          <w:p w14:paraId="1E1C0934" w14:textId="77777777" w:rsidR="00EC4505" w:rsidRPr="00A52CAA" w:rsidRDefault="00EC4505" w:rsidP="007D6DC7">
            <w:pPr>
              <w:spacing w:after="0" w:line="240" w:lineRule="auto"/>
              <w:textAlignment w:val="baseline"/>
              <w:rPr>
                <w:rFonts w:ascii="Arial" w:hAnsi="Arial" w:cs="Arial"/>
                <w:color w:val="000000" w:themeColor="text1"/>
              </w:rPr>
            </w:pPr>
          </w:p>
        </w:tc>
      </w:tr>
      <w:tr w:rsidR="00EC4505" w:rsidRPr="00BC2D2F" w14:paraId="28D68B55" w14:textId="77777777" w:rsidTr="007D6DC7">
        <w:trPr>
          <w:trHeight w:val="113"/>
        </w:trPr>
        <w:tc>
          <w:tcPr>
            <w:tcW w:w="4410" w:type="dxa"/>
            <w:tcBorders>
              <w:top w:val="single" w:sz="4" w:space="0" w:color="auto"/>
            </w:tcBorders>
            <w:shd w:val="clear" w:color="auto" w:fill="auto"/>
          </w:tcPr>
          <w:p w14:paraId="0ECB2691" w14:textId="77777777" w:rsidR="00EC4505" w:rsidRPr="00A52CAA" w:rsidRDefault="00EC4505" w:rsidP="007D6DC7">
            <w:pPr>
              <w:spacing w:after="0" w:line="240" w:lineRule="auto"/>
              <w:textAlignment w:val="baseline"/>
              <w:rPr>
                <w:rFonts w:ascii="Arial" w:hAnsi="Arial" w:cs="Arial"/>
                <w:b/>
                <w:bCs/>
                <w:color w:val="000000" w:themeColor="text1"/>
              </w:rPr>
            </w:pPr>
          </w:p>
          <w:p w14:paraId="2293461E" w14:textId="77777777" w:rsidR="00EC4505" w:rsidRPr="00A52CAA" w:rsidRDefault="00EC4505" w:rsidP="007D6DC7">
            <w:pPr>
              <w:spacing w:after="0" w:line="240" w:lineRule="auto"/>
              <w:textAlignment w:val="baseline"/>
              <w:rPr>
                <w:rFonts w:ascii="Arial" w:hAnsi="Arial" w:cs="Arial"/>
                <w:b/>
                <w:bCs/>
                <w:color w:val="000000" w:themeColor="text1"/>
              </w:rPr>
            </w:pPr>
            <w:r w:rsidRPr="00A52CAA">
              <w:rPr>
                <w:rFonts w:ascii="Arial" w:hAnsi="Arial" w:cs="Arial"/>
                <w:b/>
                <w:bCs/>
                <w:color w:val="000000" w:themeColor="text1"/>
              </w:rPr>
              <w:t xml:space="preserve">Gene MD </w:t>
            </w:r>
          </w:p>
        </w:tc>
        <w:tc>
          <w:tcPr>
            <w:tcW w:w="1710" w:type="dxa"/>
            <w:tcBorders>
              <w:top w:val="single" w:sz="4" w:space="0" w:color="auto"/>
            </w:tcBorders>
            <w:shd w:val="clear" w:color="auto" w:fill="auto"/>
          </w:tcPr>
          <w:p w14:paraId="06F5C4A5" w14:textId="77777777" w:rsidR="00EC4505" w:rsidRPr="00A52CAA" w:rsidRDefault="00EC4505" w:rsidP="007D6DC7">
            <w:pPr>
              <w:spacing w:after="0" w:line="240" w:lineRule="auto"/>
              <w:textAlignment w:val="baseline"/>
              <w:rPr>
                <w:rFonts w:ascii="Arial" w:hAnsi="Arial" w:cs="Arial"/>
                <w:color w:val="000000" w:themeColor="text1"/>
              </w:rPr>
            </w:pPr>
          </w:p>
          <w:p w14:paraId="1D8595F5"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N=856</w:t>
            </w:r>
          </w:p>
        </w:tc>
      </w:tr>
      <w:tr w:rsidR="00EC4505" w:rsidRPr="00BC2D2F" w14:paraId="731E6C98" w14:textId="77777777" w:rsidTr="007D6DC7">
        <w:trPr>
          <w:trHeight w:val="113"/>
        </w:trPr>
        <w:tc>
          <w:tcPr>
            <w:tcW w:w="4410" w:type="dxa"/>
            <w:shd w:val="clear" w:color="auto" w:fill="auto"/>
            <w:hideMark/>
          </w:tcPr>
          <w:p w14:paraId="49ABFF9D" w14:textId="77777777" w:rsidR="00EC4505" w:rsidRPr="00A52CAA" w:rsidRDefault="00EC4505" w:rsidP="007D6DC7">
            <w:pPr>
              <w:spacing w:after="0" w:line="240" w:lineRule="auto"/>
              <w:textAlignment w:val="baseline"/>
              <w:rPr>
                <w:rFonts w:ascii="Arial" w:hAnsi="Arial" w:cs="Arial"/>
                <w:b/>
                <w:bCs/>
                <w:color w:val="000000" w:themeColor="text1"/>
              </w:rPr>
            </w:pPr>
            <w:r w:rsidRPr="00A52CAA">
              <w:rPr>
                <w:rFonts w:ascii="Arial" w:hAnsi="Arial" w:cs="Arial"/>
                <w:color w:val="000000" w:themeColor="text1"/>
              </w:rPr>
              <w:t>No. (%) 0                     </w:t>
            </w:r>
          </w:p>
        </w:tc>
        <w:tc>
          <w:tcPr>
            <w:tcW w:w="1710" w:type="dxa"/>
            <w:shd w:val="clear" w:color="auto" w:fill="auto"/>
            <w:hideMark/>
          </w:tcPr>
          <w:p w14:paraId="667A0BAA"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10 (1.2)</w:t>
            </w:r>
          </w:p>
        </w:tc>
      </w:tr>
      <w:tr w:rsidR="00EC4505" w:rsidRPr="00BC2D2F" w14:paraId="7EDAF6E4" w14:textId="77777777" w:rsidTr="007D6DC7">
        <w:trPr>
          <w:trHeight w:val="113"/>
        </w:trPr>
        <w:tc>
          <w:tcPr>
            <w:tcW w:w="4410" w:type="dxa"/>
            <w:shd w:val="clear" w:color="auto" w:fill="auto"/>
            <w:hideMark/>
          </w:tcPr>
          <w:p w14:paraId="7138FC60"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1 </w:t>
            </w:r>
          </w:p>
        </w:tc>
        <w:tc>
          <w:tcPr>
            <w:tcW w:w="1710" w:type="dxa"/>
            <w:shd w:val="clear" w:color="auto" w:fill="auto"/>
            <w:hideMark/>
          </w:tcPr>
          <w:p w14:paraId="3236E424"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492 (57.5)</w:t>
            </w:r>
          </w:p>
        </w:tc>
      </w:tr>
      <w:tr w:rsidR="00EC4505" w:rsidRPr="00BC2D2F" w14:paraId="4170065B" w14:textId="77777777" w:rsidTr="007D6DC7">
        <w:trPr>
          <w:trHeight w:val="113"/>
        </w:trPr>
        <w:tc>
          <w:tcPr>
            <w:tcW w:w="4410" w:type="dxa"/>
            <w:shd w:val="clear" w:color="auto" w:fill="auto"/>
            <w:hideMark/>
          </w:tcPr>
          <w:p w14:paraId="313E8369"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2 </w:t>
            </w:r>
          </w:p>
        </w:tc>
        <w:tc>
          <w:tcPr>
            <w:tcW w:w="1710" w:type="dxa"/>
            <w:shd w:val="clear" w:color="auto" w:fill="auto"/>
            <w:hideMark/>
          </w:tcPr>
          <w:p w14:paraId="46443347"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183 (21.4)</w:t>
            </w:r>
          </w:p>
        </w:tc>
      </w:tr>
      <w:tr w:rsidR="00EC4505" w:rsidRPr="00BC2D2F" w14:paraId="565D176E" w14:textId="77777777" w:rsidTr="007D6DC7">
        <w:trPr>
          <w:trHeight w:val="113"/>
        </w:trPr>
        <w:tc>
          <w:tcPr>
            <w:tcW w:w="4410" w:type="dxa"/>
            <w:shd w:val="clear" w:color="auto" w:fill="auto"/>
            <w:hideMark/>
          </w:tcPr>
          <w:p w14:paraId="01B0A98E"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3 </w:t>
            </w:r>
          </w:p>
        </w:tc>
        <w:tc>
          <w:tcPr>
            <w:tcW w:w="1710" w:type="dxa"/>
            <w:shd w:val="clear" w:color="auto" w:fill="auto"/>
            <w:hideMark/>
          </w:tcPr>
          <w:p w14:paraId="71654D8D"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112 (13.1)</w:t>
            </w:r>
          </w:p>
        </w:tc>
      </w:tr>
      <w:tr w:rsidR="00EC4505" w:rsidRPr="00BC2D2F" w14:paraId="60FF5C0D" w14:textId="77777777" w:rsidTr="007D6DC7">
        <w:trPr>
          <w:trHeight w:val="113"/>
        </w:trPr>
        <w:tc>
          <w:tcPr>
            <w:tcW w:w="4410" w:type="dxa"/>
            <w:tcBorders>
              <w:bottom w:val="single" w:sz="4" w:space="0" w:color="auto"/>
            </w:tcBorders>
            <w:shd w:val="clear" w:color="auto" w:fill="auto"/>
            <w:hideMark/>
          </w:tcPr>
          <w:p w14:paraId="4C58B572"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4 </w:t>
            </w:r>
          </w:p>
        </w:tc>
        <w:tc>
          <w:tcPr>
            <w:tcW w:w="1710" w:type="dxa"/>
            <w:tcBorders>
              <w:bottom w:val="single" w:sz="4" w:space="0" w:color="auto"/>
            </w:tcBorders>
            <w:shd w:val="clear" w:color="auto" w:fill="auto"/>
            <w:hideMark/>
          </w:tcPr>
          <w:p w14:paraId="0235B221"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59 (6.9)</w:t>
            </w:r>
          </w:p>
        </w:tc>
      </w:tr>
      <w:tr w:rsidR="00EC4505" w:rsidRPr="00BC2D2F" w14:paraId="5998E0A6" w14:textId="77777777" w:rsidTr="007D6DC7">
        <w:trPr>
          <w:trHeight w:val="113"/>
        </w:trPr>
        <w:tc>
          <w:tcPr>
            <w:tcW w:w="4410" w:type="dxa"/>
            <w:tcBorders>
              <w:top w:val="single" w:sz="4" w:space="0" w:color="auto"/>
            </w:tcBorders>
            <w:shd w:val="clear" w:color="auto" w:fill="auto"/>
            <w:hideMark/>
          </w:tcPr>
          <w:p w14:paraId="3F7B442E" w14:textId="77777777" w:rsidR="00EC4505" w:rsidRPr="00A52CAA" w:rsidRDefault="00EC4505" w:rsidP="007D6DC7">
            <w:pPr>
              <w:spacing w:after="0" w:line="240" w:lineRule="auto"/>
              <w:textAlignment w:val="baseline"/>
              <w:rPr>
                <w:rFonts w:ascii="Arial" w:hAnsi="Arial" w:cs="Arial"/>
                <w:b/>
                <w:bCs/>
                <w:color w:val="000000" w:themeColor="text1"/>
              </w:rPr>
            </w:pPr>
          </w:p>
          <w:p w14:paraId="76F360F0"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b/>
                <w:bCs/>
                <w:color w:val="000000" w:themeColor="text1"/>
              </w:rPr>
              <w:t>Patient MD </w:t>
            </w:r>
          </w:p>
        </w:tc>
        <w:tc>
          <w:tcPr>
            <w:tcW w:w="1710" w:type="dxa"/>
            <w:tcBorders>
              <w:top w:val="single" w:sz="4" w:space="0" w:color="auto"/>
            </w:tcBorders>
            <w:shd w:val="clear" w:color="auto" w:fill="auto"/>
            <w:hideMark/>
          </w:tcPr>
          <w:p w14:paraId="71DADB49" w14:textId="77777777" w:rsidR="00EC4505" w:rsidRPr="00A52CAA" w:rsidRDefault="00EC4505" w:rsidP="007D6DC7">
            <w:pPr>
              <w:spacing w:after="0" w:line="240" w:lineRule="auto"/>
              <w:textAlignment w:val="baseline"/>
              <w:rPr>
                <w:rFonts w:ascii="Arial" w:hAnsi="Arial" w:cs="Arial"/>
                <w:color w:val="000000" w:themeColor="text1"/>
              </w:rPr>
            </w:pPr>
          </w:p>
          <w:p w14:paraId="741B6259"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 = 240</w:t>
            </w:r>
          </w:p>
        </w:tc>
      </w:tr>
      <w:tr w:rsidR="00EC4505" w:rsidRPr="00BC2D2F" w14:paraId="7213F52D" w14:textId="77777777" w:rsidTr="007D6DC7">
        <w:trPr>
          <w:trHeight w:val="113"/>
        </w:trPr>
        <w:tc>
          <w:tcPr>
            <w:tcW w:w="4410" w:type="dxa"/>
            <w:shd w:val="clear" w:color="auto" w:fill="auto"/>
            <w:hideMark/>
          </w:tcPr>
          <w:p w14:paraId="58EF24EF" w14:textId="77777777" w:rsidR="00EC4505" w:rsidRPr="00A52CAA" w:rsidRDefault="00EC4505" w:rsidP="007D6DC7">
            <w:pPr>
              <w:spacing w:after="0" w:line="240" w:lineRule="auto"/>
              <w:textAlignment w:val="baseline"/>
              <w:rPr>
                <w:rFonts w:ascii="Arial" w:hAnsi="Arial" w:cs="Arial"/>
                <w:b/>
                <w:bCs/>
                <w:color w:val="000000" w:themeColor="text1"/>
              </w:rPr>
            </w:pPr>
            <w:r w:rsidRPr="00A52CAA">
              <w:rPr>
                <w:rFonts w:ascii="Arial" w:hAnsi="Arial" w:cs="Arial"/>
                <w:color w:val="000000" w:themeColor="text1"/>
              </w:rPr>
              <w:t>No. (%) 0 </w:t>
            </w:r>
          </w:p>
        </w:tc>
        <w:tc>
          <w:tcPr>
            <w:tcW w:w="1710" w:type="dxa"/>
            <w:shd w:val="clear" w:color="auto" w:fill="auto"/>
            <w:hideMark/>
          </w:tcPr>
          <w:p w14:paraId="6968BC7D"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10 (4.2)</w:t>
            </w:r>
          </w:p>
        </w:tc>
      </w:tr>
      <w:tr w:rsidR="00EC4505" w:rsidRPr="00BC2D2F" w14:paraId="2D95F7CA" w14:textId="77777777" w:rsidTr="007D6DC7">
        <w:trPr>
          <w:trHeight w:val="113"/>
        </w:trPr>
        <w:tc>
          <w:tcPr>
            <w:tcW w:w="4410" w:type="dxa"/>
            <w:shd w:val="clear" w:color="auto" w:fill="auto"/>
            <w:hideMark/>
          </w:tcPr>
          <w:p w14:paraId="02B1C386"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1 </w:t>
            </w:r>
          </w:p>
        </w:tc>
        <w:tc>
          <w:tcPr>
            <w:tcW w:w="1710" w:type="dxa"/>
            <w:shd w:val="clear" w:color="auto" w:fill="auto"/>
            <w:hideMark/>
          </w:tcPr>
          <w:p w14:paraId="78A6AF09"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42 (17.5)</w:t>
            </w:r>
          </w:p>
        </w:tc>
      </w:tr>
      <w:tr w:rsidR="00EC4505" w:rsidRPr="00BC2D2F" w14:paraId="0D4F16E9" w14:textId="77777777" w:rsidTr="007D6DC7">
        <w:trPr>
          <w:trHeight w:val="113"/>
        </w:trPr>
        <w:tc>
          <w:tcPr>
            <w:tcW w:w="4410" w:type="dxa"/>
            <w:shd w:val="clear" w:color="auto" w:fill="auto"/>
            <w:hideMark/>
          </w:tcPr>
          <w:p w14:paraId="6D4FD32D"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2 </w:t>
            </w:r>
          </w:p>
        </w:tc>
        <w:tc>
          <w:tcPr>
            <w:tcW w:w="1710" w:type="dxa"/>
            <w:shd w:val="clear" w:color="auto" w:fill="auto"/>
            <w:hideMark/>
          </w:tcPr>
          <w:p w14:paraId="2A655A8A"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65 (27.1)</w:t>
            </w:r>
          </w:p>
        </w:tc>
      </w:tr>
      <w:tr w:rsidR="00EC4505" w:rsidRPr="00BC2D2F" w14:paraId="6ABC4691" w14:textId="77777777" w:rsidTr="007D6DC7">
        <w:trPr>
          <w:trHeight w:val="113"/>
        </w:trPr>
        <w:tc>
          <w:tcPr>
            <w:tcW w:w="4410" w:type="dxa"/>
            <w:shd w:val="clear" w:color="auto" w:fill="auto"/>
            <w:hideMark/>
          </w:tcPr>
          <w:p w14:paraId="2E2E93A8"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3 </w:t>
            </w:r>
          </w:p>
        </w:tc>
        <w:tc>
          <w:tcPr>
            <w:tcW w:w="1710" w:type="dxa"/>
            <w:shd w:val="clear" w:color="auto" w:fill="auto"/>
            <w:hideMark/>
          </w:tcPr>
          <w:p w14:paraId="4BE3518C"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69 (28.8)</w:t>
            </w:r>
          </w:p>
        </w:tc>
      </w:tr>
      <w:tr w:rsidR="00EC4505" w:rsidRPr="00BC2D2F" w14:paraId="6017B946" w14:textId="77777777" w:rsidTr="007D6DC7">
        <w:trPr>
          <w:trHeight w:val="113"/>
        </w:trPr>
        <w:tc>
          <w:tcPr>
            <w:tcW w:w="4410" w:type="dxa"/>
            <w:shd w:val="clear" w:color="auto" w:fill="auto"/>
            <w:hideMark/>
          </w:tcPr>
          <w:p w14:paraId="53EC194B"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No. (%) 4 </w:t>
            </w:r>
          </w:p>
        </w:tc>
        <w:tc>
          <w:tcPr>
            <w:tcW w:w="1710" w:type="dxa"/>
            <w:shd w:val="clear" w:color="auto" w:fill="auto"/>
            <w:hideMark/>
          </w:tcPr>
          <w:p w14:paraId="23932C50"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54 (22.5)</w:t>
            </w:r>
          </w:p>
        </w:tc>
      </w:tr>
      <w:tr w:rsidR="00EC4505" w:rsidRPr="00BC2D2F" w14:paraId="19B076DC" w14:textId="77777777" w:rsidTr="007D6DC7">
        <w:trPr>
          <w:trHeight w:val="113"/>
        </w:trPr>
        <w:tc>
          <w:tcPr>
            <w:tcW w:w="4410" w:type="dxa"/>
            <w:tcBorders>
              <w:bottom w:val="single" w:sz="4" w:space="0" w:color="auto"/>
            </w:tcBorders>
            <w:shd w:val="clear" w:color="auto" w:fill="auto"/>
            <w:hideMark/>
          </w:tcPr>
          <w:p w14:paraId="092BA5D3" w14:textId="77777777" w:rsidR="00EC4505" w:rsidRPr="00A52CAA" w:rsidRDefault="00EC4505" w:rsidP="007D6DC7">
            <w:pPr>
              <w:spacing w:after="0" w:line="240" w:lineRule="auto"/>
              <w:textAlignment w:val="baseline"/>
              <w:rPr>
                <w:rFonts w:ascii="Arial" w:hAnsi="Arial" w:cs="Arial"/>
                <w:b/>
                <w:bCs/>
                <w:color w:val="000000" w:themeColor="text1"/>
              </w:rPr>
            </w:pPr>
            <w:r w:rsidRPr="00A52CAA">
              <w:rPr>
                <w:rFonts w:ascii="Arial" w:hAnsi="Arial" w:cs="Arial"/>
                <w:b/>
                <w:bCs/>
                <w:color w:val="000000" w:themeColor="text1"/>
              </w:rPr>
              <w:t>No. (%)</w:t>
            </w:r>
            <w:r w:rsidRPr="00A52CAA">
              <w:rPr>
                <w:rFonts w:ascii="Arial" w:hAnsi="Arial" w:cs="Arial"/>
                <w:color w:val="000000" w:themeColor="text1"/>
              </w:rPr>
              <w:t xml:space="preserve"> </w:t>
            </w:r>
            <w:r w:rsidRPr="00A52CAA">
              <w:rPr>
                <w:rFonts w:ascii="Arial" w:hAnsi="Arial" w:cs="Arial"/>
                <w:b/>
                <w:bCs/>
                <w:color w:val="000000" w:themeColor="text1"/>
              </w:rPr>
              <w:t>Definite Genetic Diagnosis</w:t>
            </w:r>
          </w:p>
          <w:p w14:paraId="6A8538A3"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b/>
                <w:bCs/>
                <w:color w:val="000000" w:themeColor="text1"/>
              </w:rPr>
              <w:t>No. (%)</w:t>
            </w:r>
            <w:r w:rsidRPr="00A52CAA">
              <w:rPr>
                <w:rFonts w:ascii="Arial" w:hAnsi="Arial" w:cs="Arial"/>
                <w:color w:val="000000" w:themeColor="text1"/>
              </w:rPr>
              <w:t xml:space="preserve"> </w:t>
            </w:r>
            <w:r w:rsidRPr="00A52CAA">
              <w:rPr>
                <w:rFonts w:ascii="Arial" w:eastAsia="Times New Roman" w:hAnsi="Arial" w:cs="Arial"/>
                <w:b/>
                <w:bCs/>
                <w:color w:val="000000" w:themeColor="text1"/>
                <w:shd w:val="clear" w:color="auto" w:fill="FFFFFF"/>
              </w:rPr>
              <w:t>Possible</w:t>
            </w:r>
            <w:r w:rsidRPr="00A52CAA">
              <w:rPr>
                <w:rFonts w:ascii="Arial" w:eastAsia="Times New Roman" w:hAnsi="Arial" w:cs="Arial"/>
                <w:color w:val="000000" w:themeColor="text1"/>
                <w:shd w:val="clear" w:color="auto" w:fill="FFFFFF"/>
              </w:rPr>
              <w:t xml:space="preserve"> </w:t>
            </w:r>
            <w:r w:rsidRPr="00A52CAA">
              <w:rPr>
                <w:rFonts w:ascii="Arial" w:hAnsi="Arial" w:cs="Arial"/>
                <w:b/>
                <w:bCs/>
                <w:color w:val="000000" w:themeColor="text1"/>
              </w:rPr>
              <w:t>Genetic Diagnosis</w:t>
            </w:r>
          </w:p>
        </w:tc>
        <w:tc>
          <w:tcPr>
            <w:tcW w:w="1710" w:type="dxa"/>
            <w:tcBorders>
              <w:bottom w:val="single" w:sz="4" w:space="0" w:color="auto"/>
            </w:tcBorders>
            <w:shd w:val="clear" w:color="auto" w:fill="auto"/>
            <w:hideMark/>
          </w:tcPr>
          <w:p w14:paraId="13DAACC5"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54 (22.5)</w:t>
            </w:r>
          </w:p>
          <w:p w14:paraId="4722B617" w14:textId="77777777" w:rsidR="00EC4505" w:rsidRPr="00A52CAA" w:rsidRDefault="00EC4505" w:rsidP="007D6DC7">
            <w:pPr>
              <w:spacing w:after="0" w:line="240" w:lineRule="auto"/>
              <w:textAlignment w:val="baseline"/>
              <w:rPr>
                <w:rFonts w:ascii="Arial" w:hAnsi="Arial" w:cs="Arial"/>
                <w:color w:val="000000" w:themeColor="text1"/>
              </w:rPr>
            </w:pPr>
            <w:r w:rsidRPr="00A52CAA">
              <w:rPr>
                <w:rFonts w:ascii="Arial" w:hAnsi="Arial" w:cs="Arial"/>
                <w:color w:val="000000" w:themeColor="text1"/>
              </w:rPr>
              <w:t>69 (37.1)</w:t>
            </w:r>
          </w:p>
        </w:tc>
      </w:tr>
    </w:tbl>
    <w:p w14:paraId="21CC9BFB" w14:textId="77777777" w:rsidR="00EC4505" w:rsidRPr="00A52CAA" w:rsidRDefault="00EC4505" w:rsidP="00EC4505">
      <w:pPr>
        <w:adjustRightInd w:val="0"/>
        <w:snapToGrid w:val="0"/>
        <w:spacing w:after="0" w:line="240" w:lineRule="auto"/>
        <w:rPr>
          <w:rFonts w:ascii="Arial" w:eastAsia="Arial" w:hAnsi="Arial" w:cs="Arial"/>
          <w:color w:val="000000" w:themeColor="text1"/>
          <w:lang w:bidi="he-IL"/>
        </w:rPr>
      </w:pPr>
    </w:p>
    <w:p w14:paraId="4188BFA7" w14:textId="77777777" w:rsidR="00EC4505" w:rsidRPr="00A52CAA" w:rsidRDefault="00EC4505" w:rsidP="00EC4505">
      <w:pPr>
        <w:adjustRightInd w:val="0"/>
        <w:snapToGrid w:val="0"/>
        <w:spacing w:after="0" w:line="240" w:lineRule="auto"/>
        <w:rPr>
          <w:rFonts w:ascii="Arial" w:eastAsia="Arial" w:hAnsi="Arial" w:cs="Arial"/>
          <w:color w:val="000000" w:themeColor="text1"/>
        </w:rPr>
      </w:pPr>
      <w:r w:rsidRPr="00A52CAA">
        <w:rPr>
          <w:rFonts w:ascii="Arial" w:eastAsia="Arial" w:hAnsi="Arial" w:cs="Arial"/>
          <w:b/>
          <w:bCs/>
          <w:color w:val="000000" w:themeColor="text1"/>
        </w:rPr>
        <w:t>Supplemental Table 1.</w:t>
      </w:r>
      <w:r w:rsidRPr="00A52CAA">
        <w:rPr>
          <w:rFonts w:ascii="Arial" w:eastAsia="Arial" w:hAnsi="Arial" w:cs="Arial"/>
          <w:color w:val="000000" w:themeColor="text1"/>
        </w:rPr>
        <w:t xml:space="preserve"> Descriptive analysis of genetic data (number(percentage)</w:t>
      </w:r>
      <w:r>
        <w:rPr>
          <w:rFonts w:ascii="Arial" w:eastAsia="Arial" w:hAnsi="Arial" w:cs="Arial"/>
          <w:color w:val="000000" w:themeColor="text1"/>
        </w:rPr>
        <w:t>)</w:t>
      </w:r>
      <w:r w:rsidRPr="00A52CAA">
        <w:rPr>
          <w:rFonts w:ascii="Arial" w:eastAsia="Arial" w:hAnsi="Arial" w:cs="Arial"/>
          <w:color w:val="000000" w:themeColor="text1"/>
        </w:rPr>
        <w:t>.</w:t>
      </w:r>
    </w:p>
    <w:p w14:paraId="362D50D8" w14:textId="77777777" w:rsidR="00EC4505" w:rsidRPr="00A52CAA" w:rsidRDefault="00EC4505" w:rsidP="00EC4505">
      <w:pPr>
        <w:adjustRightInd w:val="0"/>
        <w:snapToGrid w:val="0"/>
        <w:spacing w:after="0" w:line="240" w:lineRule="auto"/>
        <w:rPr>
          <w:rFonts w:ascii="Arial" w:eastAsia="Arial" w:hAnsi="Arial" w:cs="Arial"/>
          <w:color w:val="000000" w:themeColor="text1"/>
        </w:rPr>
      </w:pPr>
    </w:p>
    <w:p w14:paraId="03834CE2" w14:textId="77777777" w:rsidR="00EC4505" w:rsidRPr="00A52CAA" w:rsidRDefault="00EC4505" w:rsidP="00EC4505">
      <w:pPr>
        <w:adjustRightInd w:val="0"/>
        <w:snapToGrid w:val="0"/>
        <w:spacing w:after="0" w:line="480" w:lineRule="auto"/>
        <w:rPr>
          <w:rFonts w:ascii="Arial" w:eastAsia="Times New Roman" w:hAnsi="Arial" w:cs="Arial"/>
          <w:b/>
          <w:bCs/>
          <w:color w:val="000000" w:themeColor="text1"/>
        </w:rPr>
      </w:pPr>
    </w:p>
    <w:p w14:paraId="5F29287B" w14:textId="77777777" w:rsidR="00EC4505" w:rsidRPr="00A52CAA" w:rsidRDefault="00EC4505" w:rsidP="00EC4505">
      <w:pPr>
        <w:adjustRightInd w:val="0"/>
        <w:snapToGrid w:val="0"/>
        <w:spacing w:after="0" w:line="480" w:lineRule="auto"/>
        <w:rPr>
          <w:rFonts w:ascii="Arial" w:hAnsi="Arial" w:cs="Arial"/>
          <w:b/>
          <w:bCs/>
          <w:color w:val="000000" w:themeColor="text1"/>
        </w:rPr>
      </w:pPr>
    </w:p>
    <w:tbl>
      <w:tblPr>
        <w:tblW w:w="7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4140"/>
      </w:tblGrid>
      <w:tr w:rsidR="00EC4505" w:rsidRPr="00BC2D2F" w14:paraId="7E4D71B3" w14:textId="77777777" w:rsidTr="007D6DC7">
        <w:tc>
          <w:tcPr>
            <w:tcW w:w="3330" w:type="dxa"/>
            <w:tcBorders>
              <w:top w:val="single" w:sz="6" w:space="0" w:color="4472C4"/>
              <w:left w:val="nil"/>
              <w:bottom w:val="single" w:sz="6" w:space="0" w:color="4472C4"/>
              <w:right w:val="nil"/>
            </w:tcBorders>
            <w:hideMark/>
          </w:tcPr>
          <w:p w14:paraId="4902E13B" w14:textId="77777777" w:rsidR="00EC4505" w:rsidRPr="00A52CAA" w:rsidRDefault="00EC4505" w:rsidP="007D6DC7">
            <w:pPr>
              <w:adjustRightInd w:val="0"/>
              <w:snapToGrid w:val="0"/>
              <w:spacing w:after="0" w:line="480" w:lineRule="auto"/>
              <w:rPr>
                <w:rFonts w:ascii="Arial" w:hAnsi="Arial" w:cs="Arial"/>
                <w:color w:val="000000" w:themeColor="text1"/>
              </w:rPr>
            </w:pPr>
          </w:p>
        </w:tc>
        <w:tc>
          <w:tcPr>
            <w:tcW w:w="4140" w:type="dxa"/>
            <w:tcBorders>
              <w:top w:val="single" w:sz="6" w:space="0" w:color="4472C4"/>
              <w:left w:val="nil"/>
              <w:bottom w:val="single" w:sz="6" w:space="0" w:color="4472C4"/>
              <w:right w:val="nil"/>
            </w:tcBorders>
            <w:hideMark/>
          </w:tcPr>
          <w:p w14:paraId="0E877984"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lang w:bidi="he-IL"/>
              </w:rPr>
            </w:pPr>
            <w:r w:rsidRPr="00A52CAA">
              <w:rPr>
                <w:rFonts w:ascii="Arial" w:eastAsia="Times New Roman" w:hAnsi="Arial" w:cs="Arial"/>
                <w:b/>
                <w:bCs/>
                <w:color w:val="000000" w:themeColor="text1"/>
              </w:rPr>
              <w:t> Definite Genetic Diagnosis </w:t>
            </w:r>
          </w:p>
        </w:tc>
      </w:tr>
      <w:tr w:rsidR="00EC4505" w:rsidRPr="00BC2D2F" w14:paraId="58449124" w14:textId="77777777" w:rsidTr="007D6DC7">
        <w:tc>
          <w:tcPr>
            <w:tcW w:w="3330" w:type="dxa"/>
            <w:tcBorders>
              <w:top w:val="nil"/>
              <w:left w:val="nil"/>
              <w:bottom w:val="nil"/>
              <w:right w:val="nil"/>
            </w:tcBorders>
            <w:hideMark/>
          </w:tcPr>
          <w:p w14:paraId="7C0FDB6E"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 xml:space="preserve">Dichotomized </w:t>
            </w:r>
            <w:r>
              <w:rPr>
                <w:rFonts w:ascii="Arial" w:eastAsia="Times New Roman" w:hAnsi="Arial" w:cs="Arial"/>
                <w:b/>
                <w:bCs/>
                <w:color w:val="000000" w:themeColor="text1"/>
              </w:rPr>
              <w:t>r</w:t>
            </w:r>
            <w:r w:rsidRPr="00A52CAA">
              <w:rPr>
                <w:rFonts w:ascii="Arial" w:eastAsia="Times New Roman" w:hAnsi="Arial" w:cs="Arial"/>
                <w:b/>
                <w:bCs/>
                <w:color w:val="000000" w:themeColor="text1"/>
              </w:rPr>
              <w:t>ace/</w:t>
            </w:r>
            <w:r>
              <w:rPr>
                <w:rFonts w:ascii="Arial" w:eastAsia="Times New Roman" w:hAnsi="Arial" w:cs="Arial"/>
                <w:b/>
                <w:bCs/>
                <w:color w:val="000000" w:themeColor="text1"/>
              </w:rPr>
              <w:t>e</w:t>
            </w:r>
            <w:r w:rsidRPr="00A52CAA">
              <w:rPr>
                <w:rFonts w:ascii="Arial" w:eastAsia="Times New Roman" w:hAnsi="Arial" w:cs="Arial"/>
                <w:b/>
                <w:bCs/>
                <w:color w:val="000000" w:themeColor="text1"/>
              </w:rPr>
              <w:t>thnicity  </w:t>
            </w:r>
          </w:p>
        </w:tc>
        <w:tc>
          <w:tcPr>
            <w:tcW w:w="4140" w:type="dxa"/>
            <w:tcBorders>
              <w:top w:val="nil"/>
              <w:left w:val="nil"/>
              <w:bottom w:val="nil"/>
              <w:right w:val="nil"/>
            </w:tcBorders>
            <w:hideMark/>
          </w:tcPr>
          <w:p w14:paraId="07621176"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0.177 (95% CI: 0.084-0.372, p&lt;0.001)</w:t>
            </w:r>
          </w:p>
        </w:tc>
      </w:tr>
      <w:tr w:rsidR="00EC4505" w:rsidRPr="00BC2D2F" w14:paraId="34304D30" w14:textId="77777777" w:rsidTr="007D6DC7">
        <w:tc>
          <w:tcPr>
            <w:tcW w:w="3330" w:type="dxa"/>
            <w:tcBorders>
              <w:top w:val="nil"/>
              <w:left w:val="nil"/>
              <w:bottom w:val="nil"/>
              <w:right w:val="nil"/>
            </w:tcBorders>
            <w:hideMark/>
          </w:tcPr>
          <w:p w14:paraId="5980F189"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 xml:space="preserve">Primary </w:t>
            </w:r>
            <w:r>
              <w:rPr>
                <w:rFonts w:ascii="Arial" w:eastAsia="Times New Roman" w:hAnsi="Arial" w:cs="Arial"/>
                <w:b/>
                <w:bCs/>
                <w:color w:val="000000" w:themeColor="text1"/>
              </w:rPr>
              <w:t>h</w:t>
            </w:r>
            <w:r w:rsidRPr="00A52CAA">
              <w:rPr>
                <w:rFonts w:ascii="Arial" w:eastAsia="Times New Roman" w:hAnsi="Arial" w:cs="Arial"/>
                <w:b/>
                <w:bCs/>
                <w:color w:val="000000" w:themeColor="text1"/>
              </w:rPr>
              <w:t xml:space="preserve">ome </w:t>
            </w:r>
            <w:r>
              <w:rPr>
                <w:rFonts w:ascii="Arial" w:eastAsia="Times New Roman" w:hAnsi="Arial" w:cs="Arial"/>
                <w:b/>
                <w:bCs/>
                <w:color w:val="000000" w:themeColor="text1"/>
              </w:rPr>
              <w:t>l</w:t>
            </w:r>
            <w:r w:rsidRPr="00A52CAA">
              <w:rPr>
                <w:rFonts w:ascii="Arial" w:eastAsia="Times New Roman" w:hAnsi="Arial" w:cs="Arial"/>
                <w:b/>
                <w:bCs/>
                <w:color w:val="000000" w:themeColor="text1"/>
              </w:rPr>
              <w:t>anguage </w:t>
            </w:r>
          </w:p>
        </w:tc>
        <w:tc>
          <w:tcPr>
            <w:tcW w:w="4140" w:type="dxa"/>
            <w:tcBorders>
              <w:top w:val="nil"/>
              <w:left w:val="nil"/>
              <w:bottom w:val="nil"/>
              <w:right w:val="nil"/>
            </w:tcBorders>
            <w:hideMark/>
          </w:tcPr>
          <w:p w14:paraId="42BEFE58"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0.854 (95% CI: 0.592-1.231, p=0.40) </w:t>
            </w:r>
          </w:p>
        </w:tc>
      </w:tr>
      <w:tr w:rsidR="00EC4505" w:rsidRPr="00BC2D2F" w14:paraId="21A68B8C" w14:textId="77777777" w:rsidTr="007D6DC7">
        <w:tc>
          <w:tcPr>
            <w:tcW w:w="3330" w:type="dxa"/>
            <w:tcBorders>
              <w:top w:val="nil"/>
              <w:left w:val="nil"/>
              <w:bottom w:val="nil"/>
              <w:right w:val="nil"/>
            </w:tcBorders>
            <w:hideMark/>
          </w:tcPr>
          <w:p w14:paraId="3C0DEE66"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Hearing loss laterality </w:t>
            </w:r>
          </w:p>
        </w:tc>
        <w:tc>
          <w:tcPr>
            <w:tcW w:w="4140" w:type="dxa"/>
            <w:tcBorders>
              <w:top w:val="nil"/>
              <w:left w:val="nil"/>
              <w:bottom w:val="nil"/>
              <w:right w:val="nil"/>
            </w:tcBorders>
            <w:hideMark/>
          </w:tcPr>
          <w:p w14:paraId="7D7F8F39"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0.240 (95% CI: 0.075-0.770, p=0.02)</w:t>
            </w:r>
          </w:p>
        </w:tc>
      </w:tr>
      <w:tr w:rsidR="00EC4505" w:rsidRPr="00BC2D2F" w14:paraId="0A5E27F3" w14:textId="77777777" w:rsidTr="007D6DC7">
        <w:tc>
          <w:tcPr>
            <w:tcW w:w="3330" w:type="dxa"/>
            <w:tcBorders>
              <w:top w:val="nil"/>
              <w:left w:val="nil"/>
              <w:bottom w:val="nil"/>
              <w:right w:val="nil"/>
            </w:tcBorders>
            <w:hideMark/>
          </w:tcPr>
          <w:p w14:paraId="0D444DDB"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Hearing loss onset </w:t>
            </w:r>
          </w:p>
        </w:tc>
        <w:tc>
          <w:tcPr>
            <w:tcW w:w="4140" w:type="dxa"/>
            <w:tcBorders>
              <w:top w:val="nil"/>
              <w:left w:val="nil"/>
              <w:bottom w:val="nil"/>
              <w:right w:val="nil"/>
            </w:tcBorders>
            <w:hideMark/>
          </w:tcPr>
          <w:p w14:paraId="106B95CA"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1.002 (95% CI: 0.992-1.009, p=0.96)</w:t>
            </w:r>
          </w:p>
        </w:tc>
      </w:tr>
      <w:tr w:rsidR="00EC4505" w:rsidRPr="00BC2D2F" w14:paraId="1A968305" w14:textId="77777777" w:rsidTr="007D6DC7">
        <w:tc>
          <w:tcPr>
            <w:tcW w:w="3330" w:type="dxa"/>
            <w:tcBorders>
              <w:top w:val="nil"/>
              <w:left w:val="nil"/>
              <w:bottom w:val="nil"/>
              <w:right w:val="nil"/>
            </w:tcBorders>
            <w:hideMark/>
          </w:tcPr>
          <w:p w14:paraId="592F4647"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Baseline hearing loss level </w:t>
            </w:r>
          </w:p>
        </w:tc>
        <w:tc>
          <w:tcPr>
            <w:tcW w:w="4140" w:type="dxa"/>
            <w:tcBorders>
              <w:top w:val="nil"/>
              <w:left w:val="nil"/>
              <w:bottom w:val="nil"/>
              <w:right w:val="nil"/>
            </w:tcBorders>
            <w:hideMark/>
          </w:tcPr>
          <w:p w14:paraId="05A80A0F"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0.878 (95% CI: 0.642-1.201, p=0.42)</w:t>
            </w:r>
          </w:p>
        </w:tc>
      </w:tr>
      <w:tr w:rsidR="00EC4505" w:rsidRPr="00BC2D2F" w14:paraId="468F6BC5" w14:textId="77777777" w:rsidTr="007D6DC7">
        <w:tc>
          <w:tcPr>
            <w:tcW w:w="3330" w:type="dxa"/>
            <w:tcBorders>
              <w:top w:val="nil"/>
              <w:left w:val="nil"/>
              <w:bottom w:val="single" w:sz="4" w:space="0" w:color="404040" w:themeColor="text1" w:themeTint="BF"/>
              <w:right w:val="nil"/>
            </w:tcBorders>
            <w:hideMark/>
          </w:tcPr>
          <w:p w14:paraId="1B2D18AE"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lastRenderedPageBreak/>
              <w:t> </w:t>
            </w:r>
          </w:p>
        </w:tc>
        <w:tc>
          <w:tcPr>
            <w:tcW w:w="4140" w:type="dxa"/>
            <w:tcBorders>
              <w:top w:val="nil"/>
              <w:left w:val="nil"/>
              <w:bottom w:val="single" w:sz="4" w:space="0" w:color="404040" w:themeColor="text1" w:themeTint="BF"/>
              <w:right w:val="nil"/>
            </w:tcBorders>
            <w:hideMark/>
          </w:tcPr>
          <w:p w14:paraId="2C189817"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 </w:t>
            </w:r>
          </w:p>
        </w:tc>
      </w:tr>
      <w:tr w:rsidR="00EC4505" w:rsidRPr="00BC2D2F" w14:paraId="7049BE79" w14:textId="77777777" w:rsidTr="007D6DC7">
        <w:tc>
          <w:tcPr>
            <w:tcW w:w="3330" w:type="dxa"/>
            <w:tcBorders>
              <w:top w:val="single" w:sz="4" w:space="0" w:color="404040" w:themeColor="text1" w:themeTint="BF"/>
              <w:left w:val="nil"/>
              <w:bottom w:val="single" w:sz="4" w:space="0" w:color="404040" w:themeColor="text1" w:themeTint="BF"/>
              <w:right w:val="nil"/>
            </w:tcBorders>
          </w:tcPr>
          <w:p w14:paraId="07262E00"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p>
        </w:tc>
        <w:tc>
          <w:tcPr>
            <w:tcW w:w="4140" w:type="dxa"/>
            <w:tcBorders>
              <w:top w:val="single" w:sz="4" w:space="0" w:color="404040" w:themeColor="text1" w:themeTint="BF"/>
              <w:left w:val="nil"/>
              <w:bottom w:val="single" w:sz="4" w:space="0" w:color="404040" w:themeColor="text1" w:themeTint="BF"/>
              <w:right w:val="nil"/>
            </w:tcBorders>
            <w:hideMark/>
          </w:tcPr>
          <w:p w14:paraId="5EBF69C6" w14:textId="77777777" w:rsidR="00EC4505" w:rsidRPr="00293613"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BC2D2F">
              <w:rPr>
                <w:rFonts w:ascii="Arial" w:eastAsia="Times New Roman" w:hAnsi="Arial" w:cs="Arial"/>
                <w:b/>
                <w:bCs/>
                <w:color w:val="000000" w:themeColor="text1"/>
              </w:rPr>
              <w:t>Possible Genetic Diagnosis</w:t>
            </w:r>
          </w:p>
        </w:tc>
      </w:tr>
      <w:tr w:rsidR="00EC4505" w:rsidRPr="00BC2D2F" w14:paraId="74CFBEA5" w14:textId="77777777" w:rsidTr="007D6DC7">
        <w:tc>
          <w:tcPr>
            <w:tcW w:w="3330" w:type="dxa"/>
            <w:tcBorders>
              <w:top w:val="single" w:sz="4" w:space="0" w:color="404040" w:themeColor="text1" w:themeTint="BF"/>
              <w:left w:val="nil"/>
              <w:bottom w:val="nil"/>
              <w:right w:val="nil"/>
            </w:tcBorders>
            <w:hideMark/>
          </w:tcPr>
          <w:p w14:paraId="581D1739"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 xml:space="preserve">Dichotomized </w:t>
            </w:r>
            <w:r>
              <w:rPr>
                <w:rFonts w:ascii="Arial" w:eastAsia="Times New Roman" w:hAnsi="Arial" w:cs="Arial"/>
                <w:b/>
                <w:bCs/>
                <w:color w:val="000000" w:themeColor="text1"/>
              </w:rPr>
              <w:t>r</w:t>
            </w:r>
            <w:r w:rsidRPr="00A52CAA">
              <w:rPr>
                <w:rFonts w:ascii="Arial" w:eastAsia="Times New Roman" w:hAnsi="Arial" w:cs="Arial"/>
                <w:b/>
                <w:bCs/>
                <w:color w:val="000000" w:themeColor="text1"/>
              </w:rPr>
              <w:t>ace/</w:t>
            </w:r>
            <w:r>
              <w:rPr>
                <w:rFonts w:ascii="Arial" w:eastAsia="Times New Roman" w:hAnsi="Arial" w:cs="Arial"/>
                <w:b/>
                <w:bCs/>
                <w:color w:val="000000" w:themeColor="text1"/>
              </w:rPr>
              <w:t>e</w:t>
            </w:r>
            <w:r w:rsidRPr="00A52CAA">
              <w:rPr>
                <w:rFonts w:ascii="Arial" w:eastAsia="Times New Roman" w:hAnsi="Arial" w:cs="Arial"/>
                <w:b/>
                <w:bCs/>
                <w:color w:val="000000" w:themeColor="text1"/>
              </w:rPr>
              <w:t>thnicity  </w:t>
            </w:r>
          </w:p>
        </w:tc>
        <w:tc>
          <w:tcPr>
            <w:tcW w:w="4140" w:type="dxa"/>
            <w:tcBorders>
              <w:top w:val="single" w:sz="4" w:space="0" w:color="404040" w:themeColor="text1" w:themeTint="BF"/>
              <w:left w:val="nil"/>
              <w:bottom w:val="nil"/>
              <w:right w:val="nil"/>
            </w:tcBorders>
            <w:hideMark/>
          </w:tcPr>
          <w:p w14:paraId="6F10DBDE"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0.799 (95% CI: 0.411-1.552, p=0.51)</w:t>
            </w:r>
          </w:p>
        </w:tc>
      </w:tr>
      <w:tr w:rsidR="00EC4505" w:rsidRPr="00BC2D2F" w14:paraId="2B12E559" w14:textId="77777777" w:rsidTr="007D6DC7">
        <w:tc>
          <w:tcPr>
            <w:tcW w:w="3330" w:type="dxa"/>
            <w:tcBorders>
              <w:top w:val="nil"/>
              <w:left w:val="nil"/>
              <w:bottom w:val="nil"/>
              <w:right w:val="nil"/>
            </w:tcBorders>
            <w:hideMark/>
          </w:tcPr>
          <w:p w14:paraId="60D1A877"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 xml:space="preserve">Primary </w:t>
            </w:r>
            <w:r>
              <w:rPr>
                <w:rFonts w:ascii="Arial" w:eastAsia="Times New Roman" w:hAnsi="Arial" w:cs="Arial"/>
                <w:b/>
                <w:bCs/>
                <w:color w:val="000000" w:themeColor="text1"/>
              </w:rPr>
              <w:t>h</w:t>
            </w:r>
            <w:r w:rsidRPr="00A52CAA">
              <w:rPr>
                <w:rFonts w:ascii="Arial" w:eastAsia="Times New Roman" w:hAnsi="Arial" w:cs="Arial"/>
                <w:b/>
                <w:bCs/>
                <w:color w:val="000000" w:themeColor="text1"/>
              </w:rPr>
              <w:t xml:space="preserve">ome </w:t>
            </w:r>
            <w:r>
              <w:rPr>
                <w:rFonts w:ascii="Arial" w:eastAsia="Times New Roman" w:hAnsi="Arial" w:cs="Arial"/>
                <w:b/>
                <w:bCs/>
                <w:color w:val="000000" w:themeColor="text1"/>
              </w:rPr>
              <w:t>l</w:t>
            </w:r>
            <w:r w:rsidRPr="00A52CAA">
              <w:rPr>
                <w:rFonts w:ascii="Arial" w:eastAsia="Times New Roman" w:hAnsi="Arial" w:cs="Arial"/>
                <w:b/>
                <w:bCs/>
                <w:color w:val="000000" w:themeColor="text1"/>
              </w:rPr>
              <w:t>anguage </w:t>
            </w:r>
          </w:p>
        </w:tc>
        <w:tc>
          <w:tcPr>
            <w:tcW w:w="4140" w:type="dxa"/>
            <w:tcBorders>
              <w:top w:val="nil"/>
              <w:left w:val="nil"/>
              <w:bottom w:val="nil"/>
              <w:right w:val="nil"/>
            </w:tcBorders>
            <w:hideMark/>
          </w:tcPr>
          <w:p w14:paraId="6638C60E"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1.189 (95% CI: 0.823-1.716, p=0.36)</w:t>
            </w:r>
          </w:p>
        </w:tc>
      </w:tr>
      <w:tr w:rsidR="00EC4505" w:rsidRPr="00BC2D2F" w14:paraId="2F324432" w14:textId="77777777" w:rsidTr="007D6DC7">
        <w:tc>
          <w:tcPr>
            <w:tcW w:w="3330" w:type="dxa"/>
            <w:tcBorders>
              <w:top w:val="nil"/>
              <w:left w:val="nil"/>
              <w:bottom w:val="nil"/>
              <w:right w:val="nil"/>
            </w:tcBorders>
            <w:hideMark/>
          </w:tcPr>
          <w:p w14:paraId="0EF54E25"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Hearing loss laterality </w:t>
            </w:r>
          </w:p>
        </w:tc>
        <w:tc>
          <w:tcPr>
            <w:tcW w:w="4140" w:type="dxa"/>
            <w:tcBorders>
              <w:top w:val="nil"/>
              <w:left w:val="nil"/>
              <w:bottom w:val="nil"/>
              <w:right w:val="nil"/>
            </w:tcBorders>
            <w:hideMark/>
          </w:tcPr>
          <w:p w14:paraId="73C38781"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0.603 (95% CI: 0.262-1.390, p=0.24)</w:t>
            </w:r>
          </w:p>
        </w:tc>
      </w:tr>
      <w:tr w:rsidR="00EC4505" w:rsidRPr="00BC2D2F" w14:paraId="3A9B4265" w14:textId="77777777" w:rsidTr="007D6DC7">
        <w:tc>
          <w:tcPr>
            <w:tcW w:w="3330" w:type="dxa"/>
            <w:tcBorders>
              <w:top w:val="nil"/>
              <w:left w:val="nil"/>
              <w:bottom w:val="nil"/>
              <w:right w:val="nil"/>
            </w:tcBorders>
            <w:hideMark/>
          </w:tcPr>
          <w:p w14:paraId="366EEE08"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Hearing loss onset </w:t>
            </w:r>
          </w:p>
        </w:tc>
        <w:tc>
          <w:tcPr>
            <w:tcW w:w="4140" w:type="dxa"/>
            <w:tcBorders>
              <w:top w:val="nil"/>
              <w:left w:val="nil"/>
              <w:bottom w:val="nil"/>
              <w:right w:val="nil"/>
            </w:tcBorders>
            <w:hideMark/>
          </w:tcPr>
          <w:p w14:paraId="58AE87C4"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1.00 (95% CI: 0.991-1.007, p=0.85)</w:t>
            </w:r>
          </w:p>
        </w:tc>
      </w:tr>
      <w:tr w:rsidR="00EC4505" w:rsidRPr="00BC2D2F" w14:paraId="18E0436F" w14:textId="77777777" w:rsidTr="007D6DC7">
        <w:tc>
          <w:tcPr>
            <w:tcW w:w="3330" w:type="dxa"/>
            <w:tcBorders>
              <w:top w:val="nil"/>
              <w:left w:val="nil"/>
              <w:bottom w:val="single" w:sz="6" w:space="0" w:color="4472C4"/>
              <w:right w:val="nil"/>
            </w:tcBorders>
            <w:hideMark/>
          </w:tcPr>
          <w:p w14:paraId="714EEE83" w14:textId="77777777" w:rsidR="00EC4505" w:rsidRPr="00A52CAA" w:rsidRDefault="00EC4505" w:rsidP="007D6DC7">
            <w:pPr>
              <w:adjustRightInd w:val="0"/>
              <w:snapToGrid w:val="0"/>
              <w:spacing w:after="0" w:line="480" w:lineRule="auto"/>
              <w:textAlignment w:val="baseline"/>
              <w:rPr>
                <w:rFonts w:ascii="Arial" w:eastAsia="Times New Roman" w:hAnsi="Arial" w:cs="Arial"/>
                <w:b/>
                <w:bCs/>
                <w:color w:val="000000" w:themeColor="text1"/>
              </w:rPr>
            </w:pPr>
            <w:r w:rsidRPr="00A52CAA">
              <w:rPr>
                <w:rFonts w:ascii="Arial" w:eastAsia="Times New Roman" w:hAnsi="Arial" w:cs="Arial"/>
                <w:b/>
                <w:bCs/>
                <w:color w:val="000000" w:themeColor="text1"/>
              </w:rPr>
              <w:t>Baseline hearing loss level </w:t>
            </w:r>
          </w:p>
        </w:tc>
        <w:tc>
          <w:tcPr>
            <w:tcW w:w="4140" w:type="dxa"/>
            <w:tcBorders>
              <w:top w:val="nil"/>
              <w:left w:val="nil"/>
              <w:bottom w:val="single" w:sz="6" w:space="0" w:color="4472C4"/>
              <w:right w:val="nil"/>
            </w:tcBorders>
            <w:hideMark/>
          </w:tcPr>
          <w:p w14:paraId="7C20FEEA" w14:textId="77777777" w:rsidR="00EC4505" w:rsidRPr="00A52CAA" w:rsidRDefault="00EC4505" w:rsidP="007D6DC7">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0.844 (95% CI: 0.629-1.131, p=0.26)</w:t>
            </w:r>
          </w:p>
        </w:tc>
      </w:tr>
    </w:tbl>
    <w:p w14:paraId="6E87A681" w14:textId="77777777" w:rsidR="00EC4505" w:rsidRPr="00A52CAA" w:rsidRDefault="00EC4505" w:rsidP="00EC4505">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color w:val="000000" w:themeColor="text1"/>
        </w:rPr>
        <w:t> </w:t>
      </w:r>
    </w:p>
    <w:p w14:paraId="650B9102" w14:textId="77777777" w:rsidR="00EC4505" w:rsidRPr="00A52CAA" w:rsidRDefault="00EC4505" w:rsidP="00EC4505">
      <w:pPr>
        <w:adjustRightInd w:val="0"/>
        <w:snapToGrid w:val="0"/>
        <w:spacing w:after="0" w:line="480" w:lineRule="auto"/>
        <w:rPr>
          <w:rFonts w:ascii="Arial" w:hAnsi="Arial" w:cs="Arial"/>
          <w:color w:val="000000" w:themeColor="text1"/>
        </w:rPr>
      </w:pPr>
      <w:r w:rsidRPr="00A52CAA">
        <w:rPr>
          <w:rFonts w:ascii="Arial" w:hAnsi="Arial" w:cs="Arial"/>
          <w:b/>
          <w:bCs/>
          <w:color w:val="000000" w:themeColor="text1"/>
        </w:rPr>
        <w:t>Supplemental Table 2</w:t>
      </w:r>
      <w:r w:rsidRPr="00A52CAA">
        <w:rPr>
          <w:rFonts w:ascii="Arial" w:eastAsia="Times New Roman" w:hAnsi="Arial" w:cs="Arial"/>
          <w:color w:val="000000" w:themeColor="text1"/>
        </w:rPr>
        <w:t xml:space="preserve">. Logistic regression analysis of definite patient MD and new patient MD with demographic covariates that were significant on univariate analysis, including dichotomized race/ethnicity and primary home language as well as definite clinical covariates including hearing loss laterality, hearing loss onset, and baseline hearing loss level. </w:t>
      </w:r>
      <w:r w:rsidRPr="00A52CAA">
        <w:rPr>
          <w:rFonts w:ascii="Arial" w:hAnsi="Arial" w:cs="Arial"/>
          <w:color w:val="000000" w:themeColor="text1"/>
        </w:rPr>
        <w:t xml:space="preserve">Results include the regression coefficient, 95% confidence interval, and p-values.  </w:t>
      </w:r>
    </w:p>
    <w:p w14:paraId="07C6D42B" w14:textId="77777777" w:rsidR="00EC4505" w:rsidRPr="00A52CAA" w:rsidRDefault="00EC4505" w:rsidP="00EC4505">
      <w:pPr>
        <w:adjustRightInd w:val="0"/>
        <w:snapToGrid w:val="0"/>
        <w:spacing w:after="0" w:line="480" w:lineRule="auto"/>
        <w:textAlignment w:val="baseline"/>
        <w:rPr>
          <w:rFonts w:ascii="Arial" w:eastAsia="Times New Roman" w:hAnsi="Arial" w:cs="Arial"/>
          <w:color w:val="000000" w:themeColor="text1"/>
          <w:lang w:bidi="he-IL"/>
        </w:rPr>
      </w:pPr>
    </w:p>
    <w:p w14:paraId="71C6324F" w14:textId="77777777" w:rsidR="00EC4505" w:rsidRPr="00A52CAA" w:rsidRDefault="00EC4505" w:rsidP="00EC4505">
      <w:pPr>
        <w:adjustRightInd w:val="0"/>
        <w:snapToGrid w:val="0"/>
        <w:spacing w:after="0" w:line="480" w:lineRule="auto"/>
        <w:rPr>
          <w:rFonts w:ascii="Arial" w:eastAsia="Times New Roman" w:hAnsi="Arial" w:cs="Arial"/>
          <w:b/>
          <w:bCs/>
          <w:color w:val="000000" w:themeColor="text1"/>
        </w:rPr>
      </w:pPr>
    </w:p>
    <w:p w14:paraId="5B8505D8" w14:textId="77777777" w:rsidR="00EC4505" w:rsidRPr="00A52CAA" w:rsidRDefault="00EC4505" w:rsidP="00EC4505">
      <w:pPr>
        <w:adjustRightInd w:val="0"/>
        <w:snapToGrid w:val="0"/>
        <w:spacing w:after="0" w:line="480" w:lineRule="auto"/>
        <w:rPr>
          <w:rFonts w:ascii="Arial" w:eastAsia="Times New Roman" w:hAnsi="Arial" w:cs="Arial"/>
          <w:b/>
          <w:bCs/>
          <w:color w:val="000000" w:themeColor="text1"/>
        </w:rPr>
      </w:pPr>
    </w:p>
    <w:p w14:paraId="193E2722" w14:textId="77777777" w:rsidR="00EC4505" w:rsidRPr="00A52CAA" w:rsidRDefault="00EC4505" w:rsidP="00EC4505">
      <w:pPr>
        <w:adjustRightInd w:val="0"/>
        <w:snapToGrid w:val="0"/>
        <w:spacing w:after="0" w:line="480" w:lineRule="auto"/>
        <w:rPr>
          <w:rFonts w:ascii="Arial" w:eastAsia="Times New Roman" w:hAnsi="Arial" w:cs="Arial"/>
          <w:b/>
          <w:bCs/>
          <w:color w:val="000000" w:themeColor="text1"/>
        </w:rPr>
      </w:pPr>
    </w:p>
    <w:p w14:paraId="006FF9E7" w14:textId="77777777" w:rsidR="00EC4505" w:rsidRPr="00A52CAA" w:rsidRDefault="00EC4505" w:rsidP="00EC4505">
      <w:pPr>
        <w:spacing w:after="0" w:line="240" w:lineRule="auto"/>
        <w:rPr>
          <w:rFonts w:ascii="Arial" w:eastAsia="Times New Roman" w:hAnsi="Arial" w:cs="Arial"/>
          <w:b/>
          <w:bCs/>
          <w:color w:val="000000" w:themeColor="text1"/>
        </w:rPr>
      </w:pPr>
      <w:r w:rsidRPr="00A52CAA">
        <w:rPr>
          <w:rFonts w:ascii="Arial" w:eastAsia="Times New Roman" w:hAnsi="Arial" w:cs="Arial"/>
          <w:b/>
          <w:bCs/>
          <w:color w:val="000000" w:themeColor="text1"/>
        </w:rPr>
        <w:br w:type="page"/>
      </w:r>
    </w:p>
    <w:p w14:paraId="62D2CF62" w14:textId="77777777" w:rsidR="00EC4505" w:rsidRPr="00A52CAA" w:rsidRDefault="00EC4505" w:rsidP="00EC4505">
      <w:pPr>
        <w:adjustRightInd w:val="0"/>
        <w:snapToGrid w:val="0"/>
        <w:spacing w:after="0" w:line="480" w:lineRule="auto"/>
        <w:rPr>
          <w:rFonts w:ascii="Arial" w:eastAsia="Times New Roman" w:hAnsi="Arial" w:cs="Arial"/>
          <w:b/>
          <w:bCs/>
          <w:color w:val="000000" w:themeColor="text1"/>
        </w:rPr>
      </w:pPr>
      <w:r w:rsidRPr="00A52CAA">
        <w:rPr>
          <w:rFonts w:ascii="Arial" w:eastAsia="Times New Roman" w:hAnsi="Arial" w:cs="Arial"/>
          <w:b/>
          <w:bCs/>
          <w:color w:val="000000" w:themeColor="text1"/>
        </w:rPr>
        <w:lastRenderedPageBreak/>
        <w:t>Supplemental Figure Legends</w:t>
      </w:r>
    </w:p>
    <w:p w14:paraId="4C6AD2D8" w14:textId="77777777" w:rsidR="00EC4505" w:rsidRPr="00A52CAA" w:rsidRDefault="00EC4505" w:rsidP="00EC4505">
      <w:pPr>
        <w:adjustRightInd w:val="0"/>
        <w:snapToGrid w:val="0"/>
        <w:spacing w:after="0" w:line="480" w:lineRule="auto"/>
        <w:textAlignment w:val="baseline"/>
        <w:rPr>
          <w:rFonts w:ascii="Arial" w:eastAsia="Times New Roman" w:hAnsi="Arial" w:cs="Arial"/>
          <w:color w:val="000000" w:themeColor="text1"/>
        </w:rPr>
      </w:pPr>
    </w:p>
    <w:p w14:paraId="39279185" w14:textId="77777777" w:rsidR="00EC4505" w:rsidRPr="00A52CAA" w:rsidRDefault="00EC4505" w:rsidP="00EC4505">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b/>
          <w:bCs/>
          <w:color w:val="000000" w:themeColor="text1"/>
        </w:rPr>
        <w:t>Supplemental Figure 1. Variant classification.</w:t>
      </w:r>
      <w:r w:rsidRPr="00A52CAA">
        <w:rPr>
          <w:rFonts w:ascii="Arial" w:eastAsia="Times New Roman" w:hAnsi="Arial" w:cs="Arial"/>
          <w:color w:val="000000" w:themeColor="text1"/>
        </w:rPr>
        <w:t xml:space="preserve"> Algorithm for variant categorization into Variant Molecular Diagnoses (Variant MDs) of 1-6 based on clinical report classifications, </w:t>
      </w:r>
      <w:r w:rsidRPr="00A52CAA">
        <w:rPr>
          <w:rFonts w:ascii="Arial" w:eastAsia="Times New Roman" w:hAnsi="Arial" w:cs="Arial"/>
          <w:i/>
          <w:iCs/>
          <w:color w:val="000000" w:themeColor="text1"/>
        </w:rPr>
        <w:t xml:space="preserve">in silico </w:t>
      </w:r>
      <w:r w:rsidRPr="00A52CAA">
        <w:rPr>
          <w:rFonts w:ascii="Arial" w:eastAsia="Times New Roman" w:hAnsi="Arial" w:cs="Arial"/>
          <w:color w:val="000000" w:themeColor="text1"/>
        </w:rPr>
        <w:t xml:space="preserve">analysis, </w:t>
      </w:r>
      <w:proofErr w:type="spellStart"/>
      <w:r w:rsidRPr="00A52CAA">
        <w:rPr>
          <w:rFonts w:ascii="Arial" w:eastAsia="Times New Roman" w:hAnsi="Arial" w:cs="Arial"/>
          <w:color w:val="000000" w:themeColor="text1"/>
        </w:rPr>
        <w:t>ClinVar</w:t>
      </w:r>
      <w:proofErr w:type="spellEnd"/>
      <w:r w:rsidRPr="00A52CAA">
        <w:rPr>
          <w:rFonts w:ascii="Arial" w:eastAsia="Times New Roman" w:hAnsi="Arial" w:cs="Arial"/>
          <w:color w:val="000000" w:themeColor="text1"/>
        </w:rPr>
        <w:t xml:space="preserve"> and PROVEAN with number of variants included for each step. </w:t>
      </w:r>
    </w:p>
    <w:p w14:paraId="3E06681E" w14:textId="77777777" w:rsidR="00EC4505" w:rsidRPr="00A52CAA" w:rsidRDefault="00EC4505" w:rsidP="00EC4505">
      <w:pPr>
        <w:adjustRightInd w:val="0"/>
        <w:snapToGrid w:val="0"/>
        <w:spacing w:after="0" w:line="480" w:lineRule="auto"/>
        <w:textAlignment w:val="baseline"/>
        <w:rPr>
          <w:rFonts w:ascii="Arial" w:eastAsia="Times New Roman" w:hAnsi="Arial" w:cs="Arial"/>
          <w:b/>
          <w:bCs/>
          <w:color w:val="000000" w:themeColor="text1"/>
        </w:rPr>
      </w:pPr>
    </w:p>
    <w:p w14:paraId="16D527B5" w14:textId="77777777" w:rsidR="00EC4505" w:rsidRPr="00A52CAA" w:rsidRDefault="00EC4505" w:rsidP="00EC4505">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b/>
          <w:bCs/>
          <w:color w:val="000000" w:themeColor="text1"/>
        </w:rPr>
        <w:t>Supplemental Figure 2. Gene classification.</w:t>
      </w:r>
      <w:r w:rsidRPr="00A52CAA">
        <w:rPr>
          <w:rFonts w:ascii="Arial" w:eastAsia="Times New Roman" w:hAnsi="Arial" w:cs="Arial"/>
          <w:color w:val="000000" w:themeColor="text1"/>
        </w:rPr>
        <w:t xml:space="preserve"> Algorithm for gene categorization into Gene Molecular Diagnoses (Gene MDs) of 1-4 based on Variant MDs and inheritance pattern with number of variants included for each step.  </w:t>
      </w:r>
    </w:p>
    <w:p w14:paraId="0A61184F" w14:textId="77777777" w:rsidR="00EC4505" w:rsidRPr="00A52CAA" w:rsidRDefault="00EC4505" w:rsidP="00EC4505">
      <w:pPr>
        <w:adjustRightInd w:val="0"/>
        <w:snapToGrid w:val="0"/>
        <w:spacing w:after="0" w:line="480" w:lineRule="auto"/>
        <w:textAlignment w:val="baseline"/>
        <w:rPr>
          <w:rFonts w:ascii="Arial" w:eastAsia="Times New Roman" w:hAnsi="Arial" w:cs="Arial"/>
          <w:b/>
          <w:bCs/>
          <w:color w:val="000000" w:themeColor="text1"/>
        </w:rPr>
      </w:pPr>
    </w:p>
    <w:p w14:paraId="49EE421A" w14:textId="77777777" w:rsidR="00EC4505" w:rsidRPr="00A52CAA" w:rsidRDefault="00EC4505" w:rsidP="00EC4505">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b/>
          <w:bCs/>
          <w:color w:val="000000" w:themeColor="text1"/>
        </w:rPr>
        <w:t>Supplemental Figure 3. Inheritance classification.</w:t>
      </w:r>
      <w:r w:rsidRPr="00A52CAA">
        <w:rPr>
          <w:rFonts w:ascii="Arial" w:eastAsia="Times New Roman" w:hAnsi="Arial" w:cs="Arial"/>
          <w:color w:val="000000" w:themeColor="text1"/>
        </w:rPr>
        <w:t xml:space="preserve"> Algorithm for inheritance pattern determination for hearing-loss genes.  </w:t>
      </w:r>
    </w:p>
    <w:p w14:paraId="546AAA26" w14:textId="77777777" w:rsidR="00EC4505" w:rsidRPr="00A52CAA" w:rsidRDefault="00EC4505" w:rsidP="00EC4505">
      <w:pPr>
        <w:adjustRightInd w:val="0"/>
        <w:snapToGrid w:val="0"/>
        <w:spacing w:after="0" w:line="480" w:lineRule="auto"/>
        <w:textAlignment w:val="baseline"/>
        <w:rPr>
          <w:rFonts w:ascii="Arial" w:eastAsia="Times New Roman" w:hAnsi="Arial" w:cs="Arial"/>
          <w:color w:val="000000" w:themeColor="text1"/>
        </w:rPr>
      </w:pPr>
    </w:p>
    <w:p w14:paraId="1B0E5151" w14:textId="77777777" w:rsidR="00EC4505" w:rsidRPr="00A52CAA" w:rsidRDefault="00EC4505" w:rsidP="00EC4505">
      <w:pPr>
        <w:adjustRightInd w:val="0"/>
        <w:snapToGrid w:val="0"/>
        <w:spacing w:after="0" w:line="480" w:lineRule="auto"/>
        <w:textAlignment w:val="baseline"/>
        <w:rPr>
          <w:rFonts w:ascii="Arial" w:eastAsia="Times New Roman" w:hAnsi="Arial" w:cs="Arial"/>
          <w:color w:val="000000" w:themeColor="text1"/>
        </w:rPr>
      </w:pPr>
      <w:r w:rsidRPr="00A52CAA">
        <w:rPr>
          <w:rFonts w:ascii="Arial" w:eastAsia="Times New Roman" w:hAnsi="Arial" w:cs="Arial"/>
          <w:b/>
          <w:bCs/>
          <w:color w:val="000000" w:themeColor="text1"/>
        </w:rPr>
        <w:t>Supplemental Figure 4. Complex Inheritance classification.</w:t>
      </w:r>
      <w:r w:rsidRPr="00A52CAA">
        <w:rPr>
          <w:rFonts w:ascii="Arial" w:eastAsia="Times New Roman" w:hAnsi="Arial" w:cs="Arial"/>
          <w:color w:val="000000" w:themeColor="text1"/>
        </w:rPr>
        <w:t xml:space="preserve"> Algorithm for inheritance pattern for non-simple autosomal recessive/dominant genes.</w:t>
      </w:r>
    </w:p>
    <w:p w14:paraId="102B879A" w14:textId="77777777" w:rsidR="00EC4505" w:rsidRDefault="00EC4505"/>
    <w:sectPr w:rsidR="00EC4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5"/>
    <w:rsid w:val="00EC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9BFFC"/>
  <w15:chartTrackingRefBased/>
  <w15:docId w15:val="{81C7A12F-4717-A34A-B1BB-106BE89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50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Dylan</dc:creator>
  <cp:keywords/>
  <dc:description/>
  <cp:lastModifiedBy>Chan, Dylan</cp:lastModifiedBy>
  <cp:revision>1</cp:revision>
  <dcterms:created xsi:type="dcterms:W3CDTF">2021-04-13T05:34:00Z</dcterms:created>
  <dcterms:modified xsi:type="dcterms:W3CDTF">2021-04-13T05:34:00Z</dcterms:modified>
</cp:coreProperties>
</file>