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C15E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1. </w:t>
      </w:r>
      <w:r w:rsidRPr="0037267D">
        <w:rPr>
          <w:rFonts w:ascii="Times New Roman" w:hAnsi="Times New Roman" w:cs="Times New Roman"/>
          <w:sz w:val="20"/>
          <w:szCs w:val="20"/>
        </w:rPr>
        <w:t>Clinical and pathologic characteristics (N = 231)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1"/>
        <w:gridCol w:w="3085"/>
      </w:tblGrid>
      <w:tr w:rsidR="00EE6A6A" w:rsidRPr="0037267D" w14:paraId="075E0640" w14:textId="77777777" w:rsidTr="0003135F">
        <w:trPr>
          <w:trHeight w:val="315"/>
        </w:trPr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2A0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Characteristics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B656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</w:tr>
      <w:tr w:rsidR="00EE6A6A" w:rsidRPr="0037267D" w14:paraId="529ECF55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72F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Age (y)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F33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64.2 (29-92)</w:t>
            </w:r>
          </w:p>
        </w:tc>
      </w:tr>
      <w:tr w:rsidR="00EE6A6A" w:rsidRPr="0037267D" w14:paraId="48983167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C79F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ED2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214E82F8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2685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7796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173 (74.9)</w:t>
            </w:r>
          </w:p>
        </w:tc>
      </w:tr>
      <w:tr w:rsidR="00EE6A6A" w:rsidRPr="0037267D" w14:paraId="5B8FBECD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36E3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97A8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58 (25.1)</w:t>
            </w:r>
          </w:p>
        </w:tc>
      </w:tr>
      <w:tr w:rsidR="00EE6A6A" w:rsidRPr="0037267D" w14:paraId="232FB65C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B636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ECOG Performance status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0A2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02334519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B27F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B27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162 (70.1)</w:t>
            </w:r>
          </w:p>
        </w:tc>
      </w:tr>
      <w:tr w:rsidR="00EE6A6A" w:rsidRPr="0037267D" w14:paraId="0D97FEAA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81D7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B998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63 (27.3)</w:t>
            </w:r>
          </w:p>
        </w:tc>
      </w:tr>
      <w:tr w:rsidR="00EE6A6A" w:rsidRPr="0037267D" w14:paraId="4BD167F3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6D18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E114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 (2.6)</w:t>
            </w:r>
          </w:p>
        </w:tc>
      </w:tr>
      <w:tr w:rsidR="00EE6A6A" w:rsidRPr="0037267D" w14:paraId="1B2A453A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AB2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Smoking history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8A6D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335941BD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7C71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Never smoker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C1A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69 (29.9)</w:t>
            </w:r>
          </w:p>
        </w:tc>
      </w:tr>
      <w:tr w:rsidR="00EE6A6A" w:rsidRPr="0037267D" w14:paraId="6619A302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B9FE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FFF1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57 (24.7)</w:t>
            </w:r>
          </w:p>
        </w:tc>
      </w:tr>
      <w:tr w:rsidR="00EE6A6A" w:rsidRPr="0037267D" w14:paraId="7F70634D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6822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Ex-smoker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A31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105 (45.5)</w:t>
            </w:r>
          </w:p>
        </w:tc>
      </w:tr>
      <w:tr w:rsidR="00EE6A6A" w:rsidRPr="0037267D" w14:paraId="13E9B814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E8F8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Smoking (pack*year)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4E45D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162</w:t>
            </w:r>
          </w:p>
        </w:tc>
      </w:tr>
      <w:tr w:rsidR="00EE6A6A" w:rsidRPr="0037267D" w14:paraId="33FCE74E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78726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&lt;20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872E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18 (11.1)</w:t>
            </w:r>
          </w:p>
        </w:tc>
      </w:tr>
      <w:tr w:rsidR="00EE6A6A" w:rsidRPr="0037267D" w14:paraId="09726366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25795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Dotum" w:hAnsi="Times New Roman" w:cs="Times New Roman"/>
                <w:sz w:val="20"/>
                <w:szCs w:val="20"/>
              </w:rPr>
              <w:t>≥</w:t>
            </w: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20 (heavy smoker)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6A41A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144 (88.9)</w:t>
            </w:r>
          </w:p>
        </w:tc>
      </w:tr>
      <w:tr w:rsidR="00EE6A6A" w:rsidRPr="0037267D" w14:paraId="09491368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BED8A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Clinical stage at diagnosis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4846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5BCF6165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A2D09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Dotum" w:hAnsi="Times New Roman" w:cs="Times New Roman"/>
                <w:sz w:val="20"/>
                <w:szCs w:val="20"/>
              </w:rPr>
              <w:t>≤</w:t>
            </w: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Stage IIIc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E8B36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76 (33.6)</w:t>
            </w:r>
          </w:p>
        </w:tc>
      </w:tr>
      <w:tr w:rsidR="00EE6A6A" w:rsidRPr="0037267D" w14:paraId="4699DD2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8442C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Stage </w:t>
            </w: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C15B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93 (36.4)</w:t>
            </w:r>
          </w:p>
        </w:tc>
      </w:tr>
      <w:tr w:rsidR="00EE6A6A" w:rsidRPr="0037267D" w14:paraId="33F234A0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5180D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Stage </w:t>
            </w: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8751F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62 (31.8)</w:t>
            </w:r>
          </w:p>
        </w:tc>
      </w:tr>
      <w:tr w:rsidR="00EE6A6A" w:rsidRPr="0037267D" w14:paraId="3F612A66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9BC7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Histology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FC8A4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3276F777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45756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Adenocarcinoma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72E4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162 (70.1)</w:t>
            </w:r>
          </w:p>
        </w:tc>
      </w:tr>
      <w:tr w:rsidR="00EE6A6A" w:rsidRPr="0037267D" w14:paraId="40FE3AF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06760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Squamous cell carcinoma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A8AD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62 (26.8)</w:t>
            </w:r>
          </w:p>
        </w:tc>
      </w:tr>
      <w:tr w:rsidR="00EE6A6A" w:rsidRPr="0037267D" w14:paraId="4C7DF71C" w14:textId="77777777" w:rsidTr="0003135F">
        <w:trPr>
          <w:trHeight w:val="510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816A6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Others (</w:t>
            </w: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Adenosquamous</w:t>
            </w:r>
            <w:proofErr w:type="spellEnd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cell carcinoma, etc.)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9DC1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7 (3.1)</w:t>
            </w:r>
          </w:p>
        </w:tc>
      </w:tr>
      <w:tr w:rsidR="00EE6A6A" w:rsidRPr="0037267D" w14:paraId="254AA93A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DDE51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Metastatic site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6878A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7638AEAF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AE5B8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Lymph node (SCN or </w:t>
            </w: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extrathoracic</w:t>
            </w:r>
            <w:proofErr w:type="spellEnd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BA0E8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89 (38.5)</w:t>
            </w:r>
          </w:p>
        </w:tc>
      </w:tr>
      <w:tr w:rsidR="00EE6A6A" w:rsidRPr="0037267D" w14:paraId="79F5A082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25792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Pleural metastasis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680BD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80 (34.6)</w:t>
            </w:r>
          </w:p>
        </w:tc>
      </w:tr>
      <w:tr w:rsidR="00EE6A6A" w:rsidRPr="0037267D" w14:paraId="44913966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B90DD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Malignant pleural/pericardial effusion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14F0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60 (26.0)</w:t>
            </w:r>
          </w:p>
        </w:tc>
      </w:tr>
      <w:tr w:rsidR="00EE6A6A" w:rsidRPr="0037267D" w14:paraId="6FC276C5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3DBF1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Lung to lung metastasis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76E1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57 (24.7)</w:t>
            </w:r>
          </w:p>
        </w:tc>
      </w:tr>
      <w:tr w:rsidR="00EE6A6A" w:rsidRPr="0037267D" w14:paraId="0FC4DCB3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34606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Bone metastasis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221B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76 (32.9)</w:t>
            </w:r>
          </w:p>
        </w:tc>
      </w:tr>
      <w:tr w:rsidR="00EE6A6A" w:rsidRPr="0037267D" w14:paraId="2D65EB44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389BC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Brain or CNS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7A872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47 (20.3)</w:t>
            </w:r>
          </w:p>
        </w:tc>
      </w:tr>
      <w:tr w:rsidR="00EE6A6A" w:rsidRPr="0037267D" w14:paraId="2936B76E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F5EFA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Liver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B7D68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28 (12.1)</w:t>
            </w:r>
          </w:p>
        </w:tc>
      </w:tr>
      <w:tr w:rsidR="00EE6A6A" w:rsidRPr="0037267D" w14:paraId="4779E4E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7B6BA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Miscellaneous</w:t>
            </w:r>
            <w:r w:rsidRPr="0037267D">
              <w:rPr>
                <w:rFonts w:ascii="Batang" w:eastAsia="Batang" w:hAnsi="Batang" w:cs="Times New Roma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9C72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18 (7.8)</w:t>
            </w:r>
          </w:p>
        </w:tc>
      </w:tr>
      <w:tr w:rsidR="00EE6A6A" w:rsidRPr="0037267D" w14:paraId="03E1DB5A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710B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Number of metastatic sites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7CA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7E3EABB4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C685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7FF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13 (5.6)</w:t>
            </w:r>
          </w:p>
        </w:tc>
      </w:tr>
      <w:tr w:rsidR="00EE6A6A" w:rsidRPr="0037267D" w14:paraId="7B0C9D4F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0B55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87E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89 (38.5)</w:t>
            </w:r>
          </w:p>
        </w:tc>
      </w:tr>
      <w:tr w:rsidR="00EE6A6A" w:rsidRPr="0037267D" w14:paraId="2E98A5E5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D676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42F6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63 (27.3)</w:t>
            </w:r>
          </w:p>
        </w:tc>
      </w:tr>
      <w:tr w:rsidR="00EE6A6A" w:rsidRPr="0037267D" w14:paraId="2245CB05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0375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5AFF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37 (16.0)</w:t>
            </w:r>
          </w:p>
        </w:tc>
      </w:tr>
      <w:tr w:rsidR="00EE6A6A" w:rsidRPr="0037267D" w14:paraId="7C030F18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453F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Dotum" w:hAnsi="Times New Roman" w:cs="Times New Roman"/>
                <w:sz w:val="20"/>
                <w:szCs w:val="20"/>
              </w:rPr>
              <w:t>≥</w:t>
            </w: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783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29 (12.6)</w:t>
            </w:r>
          </w:p>
        </w:tc>
      </w:tr>
      <w:tr w:rsidR="00EE6A6A" w:rsidRPr="0037267D" w14:paraId="434897A3" w14:textId="77777777" w:rsidTr="0003135F">
        <w:trPr>
          <w:trHeight w:val="510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125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Oncogenic driver mutation (n=43)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635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34E69FD0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328A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EGFR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A84F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31 (13.4)</w:t>
            </w:r>
          </w:p>
        </w:tc>
      </w:tr>
      <w:tr w:rsidR="00EE6A6A" w:rsidRPr="0037267D" w14:paraId="7039436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C27C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ALK / ROS-1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D34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4 (1.7)</w:t>
            </w:r>
          </w:p>
        </w:tc>
      </w:tr>
      <w:tr w:rsidR="00EE6A6A" w:rsidRPr="0037267D" w14:paraId="57CD2E67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DDBE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Others (</w:t>
            </w:r>
            <w:r w:rsidRPr="0037267D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K</w:t>
            </w: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-Ras, B-RAF, BRCA…)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A57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8 (3.4)</w:t>
            </w:r>
          </w:p>
        </w:tc>
      </w:tr>
      <w:tr w:rsidR="00EE6A6A" w:rsidRPr="0037267D" w14:paraId="6DDE285A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086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Immune checkpoint blockade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08D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785F5F8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00A0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Pembrolizumab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7E4C1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98 (42.4)</w:t>
            </w:r>
          </w:p>
        </w:tc>
      </w:tr>
      <w:tr w:rsidR="00EE6A6A" w:rsidRPr="0037267D" w14:paraId="29A42B5E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DC2F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Nivolumab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FA47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108 (46.8)</w:t>
            </w:r>
          </w:p>
        </w:tc>
      </w:tr>
      <w:tr w:rsidR="00EE6A6A" w:rsidRPr="0037267D" w14:paraId="02D7B7A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8A1F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Durvalumab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79F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10 (4.3)</w:t>
            </w:r>
          </w:p>
        </w:tc>
      </w:tr>
      <w:tr w:rsidR="00EE6A6A" w:rsidRPr="0037267D" w14:paraId="01813B5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515D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Avelumab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274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6 (2.6)</w:t>
            </w:r>
          </w:p>
        </w:tc>
      </w:tr>
      <w:tr w:rsidR="00EE6A6A" w:rsidRPr="0037267D" w14:paraId="730D0A64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D3D35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Atezolizumab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0F98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 (0.9)</w:t>
            </w:r>
          </w:p>
        </w:tc>
      </w:tr>
      <w:tr w:rsidR="00EE6A6A" w:rsidRPr="0037267D" w14:paraId="6005CD9B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85CE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Switch to other ICB or combination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03D6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7 (3.0)</w:t>
            </w:r>
          </w:p>
        </w:tc>
      </w:tr>
      <w:tr w:rsidR="00EE6A6A" w:rsidRPr="0037267D" w14:paraId="695D3127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9B3C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Number of prior systemic treatment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92429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05E3157D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3938A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≤</w:t>
            </w:r>
            <w:r w:rsidRPr="0037267D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FDDF6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141 (61.0)</w:t>
            </w:r>
          </w:p>
        </w:tc>
      </w:tr>
      <w:tr w:rsidR="00EE6A6A" w:rsidRPr="0037267D" w14:paraId="1C1D9E4C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C1E32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5070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53 (22.9)</w:t>
            </w:r>
          </w:p>
        </w:tc>
      </w:tr>
      <w:tr w:rsidR="00EE6A6A" w:rsidRPr="0037267D" w14:paraId="1503997E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E99A2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B564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17 (7.4)</w:t>
            </w:r>
          </w:p>
        </w:tc>
      </w:tr>
      <w:tr w:rsidR="00EE6A6A" w:rsidRPr="0037267D" w14:paraId="10077DBB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43A49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Dotum" w:hAnsi="Times New Roman" w:cs="Times New Roman"/>
                <w:sz w:val="20"/>
                <w:szCs w:val="20"/>
              </w:rPr>
              <w:t>≥</w:t>
            </w: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CCF3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20 (8.7)</w:t>
            </w:r>
          </w:p>
        </w:tc>
      </w:tr>
      <w:tr w:rsidR="00EE6A6A" w:rsidRPr="0037267D" w14:paraId="47206A20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F1A52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Tumor response to ICBs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175C8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EE6A6A" w:rsidRPr="0037267D" w14:paraId="24BDB251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19C1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CR/PR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CC991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50 (21.6)</w:t>
            </w:r>
          </w:p>
        </w:tc>
      </w:tr>
      <w:tr w:rsidR="00EE6A6A" w:rsidRPr="0037267D" w14:paraId="29480E4C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EA3D2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F7353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79 (34.2)</w:t>
            </w:r>
          </w:p>
        </w:tc>
      </w:tr>
      <w:tr w:rsidR="00EE6A6A" w:rsidRPr="0037267D" w14:paraId="647AB942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9369A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0863E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82 (35.5)</w:t>
            </w:r>
          </w:p>
        </w:tc>
      </w:tr>
      <w:tr w:rsidR="00EE6A6A" w:rsidRPr="0037267D" w14:paraId="2EB60B7E" w14:textId="77777777" w:rsidTr="0003135F">
        <w:trPr>
          <w:trHeight w:val="315"/>
        </w:trPr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216C8" w14:textId="77777777" w:rsidR="00EE6A6A" w:rsidRPr="0037267D" w:rsidRDefault="00EE6A6A" w:rsidP="0003135F">
            <w:pPr>
              <w:spacing w:line="360" w:lineRule="auto"/>
              <w:ind w:leftChars="92" w:left="221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0CF85" w14:textId="77777777" w:rsidR="00EE6A6A" w:rsidRPr="0037267D" w:rsidRDefault="00EE6A6A" w:rsidP="0003135F">
            <w:pPr>
              <w:spacing w:line="36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 w:val="20"/>
                <w:szCs w:val="20"/>
              </w:rPr>
              <w:t>20 (8.7)</w:t>
            </w:r>
          </w:p>
        </w:tc>
      </w:tr>
    </w:tbl>
    <w:p w14:paraId="18E3A303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sz w:val="20"/>
          <w:szCs w:val="20"/>
        </w:rPr>
        <w:t>Values are presented as mean (range) or number (%).</w:t>
      </w:r>
    </w:p>
    <w:p w14:paraId="6FF17371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Batang" w:eastAsia="Batang" w:hAnsi="Batang" w:cs="Times New Roman" w:hint="eastAsia"/>
          <w:sz w:val="20"/>
          <w:szCs w:val="20"/>
          <w:vertAlign w:val="superscript"/>
        </w:rPr>
        <w:t>†</w:t>
      </w:r>
      <w:r w:rsidRPr="0037267D">
        <w:rPr>
          <w:rFonts w:ascii="Times New Roman" w:hAnsi="Times New Roman" w:cs="Times New Roman"/>
          <w:sz w:val="20"/>
          <w:szCs w:val="20"/>
        </w:rPr>
        <w:t xml:space="preserve">Miscellany includes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lymphagitic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metastasis and metastasis to the adrenal glands, skin, kidney, bowel.</w:t>
      </w:r>
    </w:p>
    <w:p w14:paraId="1CE6AF96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sz w:val="20"/>
          <w:szCs w:val="20"/>
        </w:rPr>
        <w:br w:type="page"/>
      </w:r>
    </w:p>
    <w:p w14:paraId="58EAD8F2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D1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Table 2. </w:t>
      </w:r>
      <w:r w:rsidRPr="00560D10">
        <w:rPr>
          <w:rFonts w:ascii="Times New Roman" w:hAnsi="Times New Roman" w:cs="Times New Roman"/>
          <w:bCs/>
          <w:sz w:val="20"/>
          <w:szCs w:val="20"/>
        </w:rPr>
        <w:t>Serologic inflammatory markers</w:t>
      </w:r>
      <w:r w:rsidRPr="00560D10">
        <w:rPr>
          <w:rFonts w:ascii="Times New Roman" w:hAnsi="Times New Roman" w:cs="Times New Roman"/>
          <w:sz w:val="20"/>
          <w:szCs w:val="20"/>
        </w:rPr>
        <w:t xml:space="preserve"> associated with HPD by univariate and multivariate analyses (n = 155)</w:t>
      </w:r>
      <w:r w:rsidRPr="00560D10">
        <w:rPr>
          <w:rFonts w:ascii="Times New Roman" w:eastAsia="Batang" w:hAnsi="Times New Roman" w:cs="Times New Roman"/>
          <w:sz w:val="20"/>
          <w:szCs w:val="20"/>
          <w:vertAlign w:val="superscript"/>
        </w:rPr>
        <w:t>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783"/>
        <w:gridCol w:w="1235"/>
        <w:gridCol w:w="1647"/>
        <w:gridCol w:w="1117"/>
      </w:tblGrid>
      <w:tr w:rsidR="00EE6A6A" w:rsidRPr="0037267D" w14:paraId="4FACD73F" w14:textId="77777777" w:rsidTr="0003135F">
        <w:tc>
          <w:tcPr>
            <w:tcW w:w="3244" w:type="dxa"/>
            <w:tcBorders>
              <w:top w:val="single" w:sz="4" w:space="0" w:color="auto"/>
            </w:tcBorders>
          </w:tcPr>
          <w:p w14:paraId="44919262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9849B" w14:textId="77777777" w:rsidR="00EE6A6A" w:rsidRPr="0037267D" w:rsidRDefault="00EE6A6A" w:rsidP="0003135F">
            <w:pPr>
              <w:spacing w:before="240" w:line="360" w:lineRule="auto"/>
              <w:ind w:firstLineChars="400" w:firstLine="801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267D">
              <w:rPr>
                <w:rFonts w:ascii="Times New Roman" w:hAnsi="Times New Roman" w:cs="Times New Roman"/>
                <w:b/>
                <w:bCs/>
                <w:szCs w:val="20"/>
              </w:rPr>
              <w:t>Univariate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10154" w14:textId="77777777" w:rsidR="00EE6A6A" w:rsidRPr="0037267D" w:rsidRDefault="00EE6A6A" w:rsidP="0003135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267D">
              <w:rPr>
                <w:rFonts w:ascii="Times New Roman" w:hAnsi="Times New Roman" w:cs="Times New Roman"/>
                <w:b/>
                <w:bCs/>
                <w:szCs w:val="20"/>
              </w:rPr>
              <w:t>Multivariate</w:t>
            </w:r>
          </w:p>
        </w:tc>
      </w:tr>
      <w:tr w:rsidR="00EE6A6A" w:rsidRPr="0037267D" w14:paraId="05871AAD" w14:textId="77777777" w:rsidTr="0003135F"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34CA5CA9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525191E4" w14:textId="77777777" w:rsidR="00EE6A6A" w:rsidRPr="0037267D" w:rsidRDefault="00EE6A6A" w:rsidP="0003135F">
            <w:pPr>
              <w:spacing w:before="240" w:line="360" w:lineRule="auto"/>
              <w:ind w:leftChars="-53" w:left="-127" w:firstLineChars="59" w:firstLine="11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267D">
              <w:rPr>
                <w:rFonts w:ascii="Times New Roman" w:hAnsi="Times New Roman" w:cs="Times New Roman"/>
                <w:b/>
                <w:bCs/>
                <w:szCs w:val="20"/>
              </w:rPr>
              <w:t>HR (95% CI)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E56B125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267D">
              <w:rPr>
                <w:rFonts w:ascii="Times New Roman" w:hAnsi="Times New Roman" w:cs="Times New Roman"/>
                <w:b/>
                <w:bCs/>
                <w:i/>
                <w:szCs w:val="20"/>
              </w:rPr>
              <w:t>P</w:t>
            </w:r>
            <w:r w:rsidRPr="0037267D">
              <w:rPr>
                <w:rFonts w:ascii="Times New Roman" w:hAnsi="Times New Roman" w:cs="Times New Roman"/>
                <w:b/>
                <w:bCs/>
                <w:szCs w:val="20"/>
              </w:rPr>
              <w:t>-value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7ED69FB2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267D">
              <w:rPr>
                <w:rFonts w:ascii="Times New Roman" w:hAnsi="Times New Roman" w:cs="Times New Roman"/>
                <w:b/>
                <w:bCs/>
                <w:szCs w:val="20"/>
              </w:rPr>
              <w:t>HR (95% CI)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0AB965E8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267D">
              <w:rPr>
                <w:rFonts w:ascii="Times New Roman" w:hAnsi="Times New Roman" w:cs="Times New Roman"/>
                <w:b/>
                <w:bCs/>
                <w:i/>
                <w:szCs w:val="20"/>
              </w:rPr>
              <w:t>P</w:t>
            </w:r>
            <w:r w:rsidRPr="0037267D">
              <w:rPr>
                <w:rFonts w:ascii="Times New Roman" w:hAnsi="Times New Roman" w:cs="Times New Roman"/>
                <w:b/>
                <w:bCs/>
                <w:szCs w:val="20"/>
              </w:rPr>
              <w:t>-value</w:t>
            </w:r>
          </w:p>
        </w:tc>
      </w:tr>
      <w:tr w:rsidR="00EE6A6A" w:rsidRPr="0037267D" w14:paraId="68B08627" w14:textId="77777777" w:rsidTr="0003135F"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14:paraId="2B170477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szCs w:val="20"/>
              </w:rPr>
            </w:pPr>
            <w:r w:rsidRPr="0037267D">
              <w:rPr>
                <w:rFonts w:ascii="Times New Roman" w:hAnsi="Times New Roman" w:cs="Times New Roman"/>
                <w:szCs w:val="20"/>
              </w:rPr>
              <w:t>NLR (base</w:t>
            </w:r>
            <w:r w:rsidRPr="0037267D">
              <w:rPr>
                <w:rFonts w:ascii="Times New Roman" w:hAnsi="Times New Roman"/>
                <w:sz w:val="22"/>
                <w:vertAlign w:val="superscript"/>
              </w:rPr>
              <w:t>‡</w:t>
            </w:r>
            <w:r w:rsidRPr="0037267D">
              <w:rPr>
                <w:rFonts w:ascii="Times New Roman" w:hAnsi="Times New Roman" w:cs="Times New Roman"/>
                <w:szCs w:val="20"/>
              </w:rPr>
              <w:t>),  ≥5 vs &lt;5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14:paraId="2D1303C0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2.20 (0.88-5.52)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4D83B145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0.092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503479B5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1.53 (0.55-4.26)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082E0633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0.4117</w:t>
            </w:r>
          </w:p>
        </w:tc>
      </w:tr>
      <w:tr w:rsidR="00EE6A6A" w:rsidRPr="0037267D" w14:paraId="329F6EA7" w14:textId="77777777" w:rsidTr="0003135F">
        <w:tc>
          <w:tcPr>
            <w:tcW w:w="3244" w:type="dxa"/>
            <w:vAlign w:val="center"/>
          </w:tcPr>
          <w:p w14:paraId="571765C6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szCs w:val="20"/>
              </w:rPr>
            </w:pPr>
            <w:r w:rsidRPr="0037267D">
              <w:rPr>
                <w:rFonts w:ascii="Times New Roman" w:hAnsi="Times New Roman" w:cs="Times New Roman"/>
                <w:szCs w:val="20"/>
              </w:rPr>
              <w:t>PLR (base),  ≥150 vs &lt;150</w:t>
            </w:r>
          </w:p>
        </w:tc>
        <w:tc>
          <w:tcPr>
            <w:tcW w:w="1783" w:type="dxa"/>
            <w:vAlign w:val="center"/>
          </w:tcPr>
          <w:p w14:paraId="37A85471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1.67 (0.68-4.13)</w:t>
            </w:r>
          </w:p>
        </w:tc>
        <w:tc>
          <w:tcPr>
            <w:tcW w:w="1235" w:type="dxa"/>
            <w:vAlign w:val="center"/>
          </w:tcPr>
          <w:p w14:paraId="4FBC4206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0.2644</w:t>
            </w:r>
          </w:p>
        </w:tc>
        <w:tc>
          <w:tcPr>
            <w:tcW w:w="1647" w:type="dxa"/>
            <w:vAlign w:val="center"/>
          </w:tcPr>
          <w:p w14:paraId="043DCB42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1.24 (0.47-3.3</w:t>
            </w:r>
            <w:r w:rsidRPr="0037267D">
              <w:rPr>
                <w:rFonts w:ascii="Times New Roman" w:eastAsia="Malgun Gothic" w:hAnsi="Times New Roman" w:cs="Times New Roman"/>
                <w:szCs w:val="20"/>
              </w:rPr>
              <w:t>1</w:t>
            </w: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)</w:t>
            </w:r>
            <w:r w:rsidRPr="0037267D">
              <w:rPr>
                <w:rFonts w:ascii="Times New Roman" w:eastAsia="Malgun Gothic" w:hAnsi="Times New Roman" w:cs="Times New Roman"/>
                <w:szCs w:val="2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51AB45BE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0.6638</w:t>
            </w:r>
          </w:p>
        </w:tc>
      </w:tr>
      <w:tr w:rsidR="00EE6A6A" w:rsidRPr="0037267D" w14:paraId="58046F38" w14:textId="77777777" w:rsidTr="0003135F">
        <w:tc>
          <w:tcPr>
            <w:tcW w:w="3244" w:type="dxa"/>
            <w:vAlign w:val="center"/>
          </w:tcPr>
          <w:p w14:paraId="2964D456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szCs w:val="20"/>
              </w:rPr>
            </w:pPr>
            <w:r w:rsidRPr="0037267D">
              <w:rPr>
                <w:rFonts w:ascii="Times New Roman" w:hAnsi="Times New Roman" w:cs="Times New Roman"/>
                <w:szCs w:val="20"/>
              </w:rPr>
              <w:t>CAR (base),  ≥0.5 vs &lt;0.5</w:t>
            </w:r>
          </w:p>
        </w:tc>
        <w:tc>
          <w:tcPr>
            <w:tcW w:w="1783" w:type="dxa"/>
            <w:vAlign w:val="center"/>
          </w:tcPr>
          <w:p w14:paraId="1C32AEA7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2.62 (1.09-6.33)</w:t>
            </w:r>
          </w:p>
        </w:tc>
        <w:tc>
          <w:tcPr>
            <w:tcW w:w="1235" w:type="dxa"/>
            <w:vAlign w:val="center"/>
          </w:tcPr>
          <w:p w14:paraId="5F62F41D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b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b/>
                <w:szCs w:val="20"/>
              </w:rPr>
              <w:t>0.0318</w:t>
            </w:r>
          </w:p>
        </w:tc>
        <w:tc>
          <w:tcPr>
            <w:tcW w:w="1647" w:type="dxa"/>
            <w:vAlign w:val="center"/>
          </w:tcPr>
          <w:p w14:paraId="723BE642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2.18 (0.85-5.55)</w:t>
            </w:r>
          </w:p>
        </w:tc>
        <w:tc>
          <w:tcPr>
            <w:tcW w:w="1117" w:type="dxa"/>
            <w:vAlign w:val="center"/>
          </w:tcPr>
          <w:p w14:paraId="7EFD5720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0.1031</w:t>
            </w:r>
          </w:p>
        </w:tc>
      </w:tr>
      <w:tr w:rsidR="00EE6A6A" w:rsidRPr="0037267D" w14:paraId="556BA727" w14:textId="77777777" w:rsidTr="0003135F"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3D2B9647" w14:textId="77777777" w:rsidR="00EE6A6A" w:rsidRPr="0037267D" w:rsidRDefault="00EE6A6A" w:rsidP="0003135F">
            <w:pPr>
              <w:spacing w:before="240" w:line="360" w:lineRule="auto"/>
              <w:rPr>
                <w:rFonts w:ascii="Times New Roman" w:hAnsi="Times New Roman" w:cs="Times New Roman"/>
                <w:szCs w:val="20"/>
              </w:rPr>
            </w:pPr>
            <w:r w:rsidRPr="0037267D">
              <w:rPr>
                <w:rFonts w:ascii="Times New Roman" w:hAnsi="Times New Roman" w:cs="Times New Roman"/>
                <w:szCs w:val="20"/>
              </w:rPr>
              <w:t>LDH (base),  ≥400 vs &lt;400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4C3100F4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0.35 (0.09-1.36)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0EFE5E58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/>
                <w:szCs w:val="20"/>
              </w:rPr>
              <w:t>0.1290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4F76174E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0.77 (0.32-1.85)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068F42A" w14:textId="77777777" w:rsidR="00EE6A6A" w:rsidRPr="0037267D" w:rsidRDefault="00EE6A6A" w:rsidP="0003135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37267D">
              <w:rPr>
                <w:rFonts w:ascii="Times New Roman" w:eastAsia="Malgun Gothic" w:hAnsi="Times New Roman" w:cs="Times New Roman" w:hint="eastAsia"/>
                <w:szCs w:val="20"/>
              </w:rPr>
              <w:t>0.553</w:t>
            </w:r>
          </w:p>
        </w:tc>
      </w:tr>
    </w:tbl>
    <w:p w14:paraId="1DF87058" w14:textId="77777777" w:rsidR="00EE6A6A" w:rsidRPr="0037267D" w:rsidRDefault="00EE6A6A" w:rsidP="00EE6A6A">
      <w:pPr>
        <w:spacing w:line="480" w:lineRule="auto"/>
        <w:mirrorIndents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eastAsia="Batang" w:hAnsi="Times New Roman" w:cs="Times New Roman"/>
          <w:sz w:val="20"/>
          <w:szCs w:val="20"/>
          <w:vertAlign w:val="superscript"/>
        </w:rPr>
        <w:t xml:space="preserve">† </w:t>
      </w:r>
      <w:r w:rsidRPr="0037267D">
        <w:rPr>
          <w:rFonts w:ascii="Times New Roman" w:hAnsi="Times New Roman" w:cs="Times New Roman"/>
          <w:sz w:val="20"/>
          <w:szCs w:val="20"/>
        </w:rPr>
        <w:t>Non evaluable group and Non-HPD PD group were excluded.</w:t>
      </w:r>
    </w:p>
    <w:p w14:paraId="5EFA946B" w14:textId="77777777" w:rsidR="00EE6A6A" w:rsidRPr="0037267D" w:rsidRDefault="00EE6A6A" w:rsidP="00EE6A6A">
      <w:pPr>
        <w:spacing w:line="480" w:lineRule="auto"/>
        <w:mirrorIndents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/>
          <w:sz w:val="22"/>
          <w:vertAlign w:val="superscript"/>
        </w:rPr>
        <w:t xml:space="preserve">‡ </w:t>
      </w:r>
      <w:r w:rsidRPr="0037267D">
        <w:rPr>
          <w:rFonts w:ascii="Times New Roman" w:hAnsi="Times New Roman" w:cs="Times New Roman"/>
          <w:sz w:val="20"/>
          <w:szCs w:val="20"/>
        </w:rPr>
        <w:t xml:space="preserve">Base implies </w:t>
      </w:r>
      <w:r w:rsidRPr="0037267D">
        <w:rPr>
          <w:rFonts w:ascii="Times New Roman" w:hAnsi="Times New Roman" w:cs="Times New Roman"/>
          <w:bCs/>
          <w:sz w:val="20"/>
          <w:szCs w:val="20"/>
        </w:rPr>
        <w:t>at the beginning of immunotherapy</w:t>
      </w:r>
    </w:p>
    <w:p w14:paraId="4E1CAC67" w14:textId="77777777" w:rsidR="00EE6A6A" w:rsidRPr="0037267D" w:rsidRDefault="00EE6A6A" w:rsidP="00EE6A6A">
      <w:pPr>
        <w:spacing w:line="48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37267D">
        <w:rPr>
          <w:rFonts w:ascii="Times New Roman" w:hAnsi="Times New Roman" w:cs="Times New Roman"/>
          <w:i/>
          <w:sz w:val="20"/>
          <w:szCs w:val="20"/>
        </w:rPr>
        <w:t>HPD</w:t>
      </w:r>
      <w:r w:rsidRPr="003726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hyperprogressive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disease, HR hazard ratio, CAR, C-reactive protein-albumin ratio; ICB, i</w:t>
      </w:r>
      <w:r w:rsidRPr="0037267D">
        <w:rPr>
          <w:rFonts w:ascii="Times New Roman" w:eastAsiaTheme="majorHAnsi" w:hAnsi="Times New Roman" w:cs="Times New Roman"/>
          <w:sz w:val="20"/>
          <w:szCs w:val="20"/>
        </w:rPr>
        <w:t xml:space="preserve">mmune checkpoint blockades; </w:t>
      </w:r>
      <w:r w:rsidRPr="0037267D">
        <w:rPr>
          <w:rFonts w:ascii="Times New Roman" w:hAnsi="Times New Roman" w:cs="Times New Roman"/>
          <w:sz w:val="20"/>
          <w:szCs w:val="20"/>
        </w:rPr>
        <w:t>LDH, lactate dehydrogenase; NLR, neutrophil-to-lymphocyte ratio; PLR, platelet-to-lymphocyte ratio.</w:t>
      </w:r>
    </w:p>
    <w:p w14:paraId="3D0EDBF6" w14:textId="77777777" w:rsidR="00EE6A6A" w:rsidRPr="0037267D" w:rsidRDefault="00EE6A6A" w:rsidP="00EE6A6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267D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E193F76" w14:textId="77777777" w:rsidR="00EE6A6A" w:rsidRPr="00415CA5" w:rsidRDefault="00EE6A6A" w:rsidP="00EE6A6A">
      <w:pPr>
        <w:spacing w:line="480" w:lineRule="auto"/>
        <w:rPr>
          <w:rFonts w:ascii="Times New Roman" w:hAnsi="Times New Roman" w:cs="Times New Roman"/>
          <w:b/>
          <w:sz w:val="20"/>
        </w:rPr>
      </w:pPr>
      <w:r w:rsidRPr="00415CA5">
        <w:rPr>
          <w:rFonts w:ascii="Times New Roman" w:hAnsi="Times New Roman" w:cs="Times New Roman"/>
          <w:b/>
          <w:sz w:val="20"/>
        </w:rPr>
        <w:lastRenderedPageBreak/>
        <w:t xml:space="preserve">Supplementary figure legends </w:t>
      </w:r>
    </w:p>
    <w:p w14:paraId="29A47C91" w14:textId="77777777" w:rsidR="00EE6A6A" w:rsidRPr="0037267D" w:rsidRDefault="00EE6A6A" w:rsidP="00EE6A6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37267D">
        <w:rPr>
          <w:rFonts w:ascii="Times New Roman" w:hAnsi="Times New Roman" w:cs="Times New Roman"/>
          <w:b/>
          <w:sz w:val="20"/>
          <w:szCs w:val="20"/>
        </w:rPr>
        <w:t xml:space="preserve"> Fig. 1</w:t>
      </w:r>
      <w:r w:rsidRPr="0037267D">
        <w:rPr>
          <w:rFonts w:ascii="Times New Roman" w:hAnsi="Times New Roman" w:cs="Times New Roman"/>
          <w:sz w:val="20"/>
          <w:szCs w:val="20"/>
        </w:rPr>
        <w:t xml:space="preserve"> CONSORT flow diagram for the present study.</w:t>
      </w:r>
    </w:p>
    <w:p w14:paraId="264B9354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i/>
          <w:sz w:val="20"/>
          <w:szCs w:val="20"/>
        </w:rPr>
        <w:t>HPD</w:t>
      </w:r>
      <w:r w:rsidRPr="003726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hyperprogressive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disease, </w:t>
      </w:r>
      <w:r w:rsidRPr="0037267D">
        <w:rPr>
          <w:rFonts w:ascii="Times New Roman" w:hAnsi="Times New Roman" w:cs="Times New Roman"/>
          <w:i/>
          <w:sz w:val="20"/>
          <w:szCs w:val="20"/>
        </w:rPr>
        <w:t>ICBs</w:t>
      </w:r>
      <w:r w:rsidRPr="0037267D">
        <w:rPr>
          <w:rFonts w:ascii="Times New Roman" w:hAnsi="Times New Roman" w:cs="Times New Roman"/>
          <w:sz w:val="20"/>
          <w:szCs w:val="20"/>
        </w:rPr>
        <w:t xml:space="preserve"> Immune checkpoint blockades, </w:t>
      </w:r>
      <w:r w:rsidRPr="0037267D">
        <w:rPr>
          <w:rFonts w:ascii="Times New Roman" w:hAnsi="Times New Roman" w:cs="Times New Roman"/>
          <w:i/>
          <w:sz w:val="20"/>
          <w:szCs w:val="20"/>
        </w:rPr>
        <w:t>Non-HPD PD</w:t>
      </w:r>
      <w:r w:rsidRPr="0037267D">
        <w:rPr>
          <w:rFonts w:ascii="Times New Roman" w:hAnsi="Times New Roman" w:cs="Times New Roman"/>
          <w:sz w:val="20"/>
          <w:szCs w:val="20"/>
        </w:rPr>
        <w:t xml:space="preserve"> non-HPD progressive disease, </w:t>
      </w:r>
      <w:r w:rsidRPr="0037267D">
        <w:rPr>
          <w:rFonts w:ascii="Times New Roman" w:hAnsi="Times New Roman" w:cs="Times New Roman"/>
          <w:i/>
          <w:sz w:val="20"/>
          <w:szCs w:val="20"/>
        </w:rPr>
        <w:t>NE</w:t>
      </w:r>
      <w:r w:rsidRPr="0037267D">
        <w:rPr>
          <w:rFonts w:ascii="Times New Roman" w:hAnsi="Times New Roman" w:cs="Times New Roman"/>
          <w:sz w:val="20"/>
          <w:szCs w:val="20"/>
        </w:rPr>
        <w:t xml:space="preserve"> Not evaluable, </w:t>
      </w:r>
      <w:r w:rsidRPr="0037267D">
        <w:rPr>
          <w:rFonts w:ascii="Times New Roman" w:hAnsi="Times New Roman" w:cs="Times New Roman"/>
          <w:i/>
          <w:sz w:val="20"/>
          <w:szCs w:val="20"/>
        </w:rPr>
        <w:t>PR/CR</w:t>
      </w:r>
      <w:r w:rsidRPr="0037267D">
        <w:rPr>
          <w:rFonts w:ascii="Times New Roman" w:hAnsi="Times New Roman" w:cs="Times New Roman"/>
          <w:sz w:val="20"/>
          <w:szCs w:val="20"/>
        </w:rPr>
        <w:t xml:space="preserve"> partial/complete response, </w:t>
      </w:r>
      <w:r w:rsidRPr="0037267D">
        <w:rPr>
          <w:rFonts w:ascii="Times New Roman" w:hAnsi="Times New Roman" w:cs="Times New Roman"/>
          <w:i/>
          <w:sz w:val="20"/>
          <w:szCs w:val="20"/>
        </w:rPr>
        <w:t>SD</w:t>
      </w:r>
      <w:r w:rsidRPr="0037267D">
        <w:rPr>
          <w:rFonts w:ascii="Times New Roman" w:hAnsi="Times New Roman" w:cs="Times New Roman"/>
          <w:sz w:val="20"/>
          <w:szCs w:val="20"/>
        </w:rPr>
        <w:t xml:space="preserve"> stable disease.</w:t>
      </w:r>
    </w:p>
    <w:p w14:paraId="3C5FD063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CA3BC2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37267D">
        <w:rPr>
          <w:rFonts w:ascii="Times New Roman" w:hAnsi="Times New Roman" w:cs="Times New Roman"/>
          <w:b/>
          <w:sz w:val="20"/>
          <w:szCs w:val="20"/>
        </w:rPr>
        <w:t xml:space="preserve"> Fig. 2</w:t>
      </w:r>
      <w:r w:rsidRPr="0037267D">
        <w:rPr>
          <w:rFonts w:ascii="Times New Roman" w:hAnsi="Times New Roman" w:cs="Times New Roman"/>
          <w:sz w:val="20"/>
          <w:szCs w:val="20"/>
        </w:rPr>
        <w:t xml:space="preserve"> Spider plot depicting percentage change in the sum of the largest diameters of target lesions over time according to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hyperprogressive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disease status.</w:t>
      </w:r>
    </w:p>
    <w:p w14:paraId="63635A7D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i/>
          <w:sz w:val="20"/>
          <w:szCs w:val="20"/>
        </w:rPr>
        <w:t>ICBs</w:t>
      </w:r>
      <w:r w:rsidRPr="0037267D">
        <w:rPr>
          <w:rFonts w:ascii="Times New Roman" w:hAnsi="Times New Roman" w:cs="Times New Roman"/>
          <w:sz w:val="20"/>
          <w:szCs w:val="20"/>
        </w:rPr>
        <w:t xml:space="preserve"> Immune checkpoint blockades.</w:t>
      </w:r>
    </w:p>
    <w:p w14:paraId="75936584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A7FAD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37267D">
        <w:rPr>
          <w:rFonts w:ascii="Times New Roman" w:hAnsi="Times New Roman" w:cs="Times New Roman"/>
          <w:b/>
          <w:sz w:val="20"/>
          <w:szCs w:val="20"/>
        </w:rPr>
        <w:t xml:space="preserve"> Fig. 3</w:t>
      </w:r>
      <w:r w:rsidRPr="0037267D">
        <w:rPr>
          <w:rFonts w:ascii="Times New Roman" w:hAnsi="Times New Roman" w:cs="Times New Roman"/>
          <w:sz w:val="20"/>
          <w:szCs w:val="20"/>
        </w:rPr>
        <w:t xml:space="preserve"> Scatterplot of tumor response pattern and PD-L1 expression levels.</w:t>
      </w:r>
    </w:p>
    <w:p w14:paraId="51F0DA1A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sz w:val="20"/>
          <w:szCs w:val="20"/>
        </w:rPr>
        <w:t xml:space="preserve">Symbols (dots) in the scatterplot represent the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tumoral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PD-L1 (22C3) expressions. The mean level of PD-L1 expression in  HPD group was significantly lower compared to that of SD/PR/CR group (</w:t>
      </w:r>
      <w:r w:rsidRPr="0037267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37267D">
        <w:rPr>
          <w:rFonts w:ascii="Times New Roman" w:hAnsi="Times New Roman" w:cs="Times New Roman"/>
          <w:sz w:val="20"/>
          <w:szCs w:val="20"/>
        </w:rPr>
        <w:t xml:space="preserve"> = 0.003). </w:t>
      </w:r>
    </w:p>
    <w:p w14:paraId="1FEBF183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267D">
        <w:rPr>
          <w:rFonts w:ascii="Times New Roman" w:hAnsi="Times New Roman" w:cs="Times New Roman"/>
          <w:i/>
          <w:sz w:val="20"/>
          <w:szCs w:val="20"/>
        </w:rPr>
        <w:t>HPD</w:t>
      </w:r>
      <w:r w:rsidRPr="003726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hyperprogressive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disease, </w:t>
      </w:r>
      <w:r w:rsidRPr="0037267D">
        <w:rPr>
          <w:rFonts w:ascii="Times New Roman" w:hAnsi="Times New Roman" w:cs="Times New Roman"/>
          <w:i/>
          <w:iCs/>
          <w:sz w:val="20"/>
          <w:szCs w:val="20"/>
        </w:rPr>
        <w:t>SD</w:t>
      </w:r>
      <w:r w:rsidRPr="0037267D">
        <w:rPr>
          <w:rFonts w:ascii="Times New Roman" w:hAnsi="Times New Roman" w:cs="Times New Roman"/>
          <w:i/>
          <w:sz w:val="20"/>
          <w:szCs w:val="20"/>
        </w:rPr>
        <w:t xml:space="preserve"> stable disease, </w:t>
      </w:r>
      <w:r w:rsidRPr="0037267D">
        <w:rPr>
          <w:rFonts w:ascii="Times New Roman" w:hAnsi="Times New Roman" w:cs="Times New Roman"/>
          <w:i/>
          <w:iCs/>
          <w:sz w:val="20"/>
          <w:szCs w:val="20"/>
        </w:rPr>
        <w:t>PR/CR</w:t>
      </w:r>
      <w:r w:rsidRPr="0037267D">
        <w:rPr>
          <w:rFonts w:ascii="Times New Roman" w:hAnsi="Times New Roman" w:cs="Times New Roman"/>
          <w:i/>
          <w:sz w:val="20"/>
          <w:szCs w:val="20"/>
        </w:rPr>
        <w:t xml:space="preserve"> partial/complete response</w:t>
      </w:r>
    </w:p>
    <w:p w14:paraId="399CEECE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8221DC" w14:textId="77777777" w:rsidR="00EE6A6A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b/>
          <w:bCs/>
          <w:sz w:val="20"/>
          <w:szCs w:val="20"/>
        </w:rPr>
        <w:t>Supplementary Fig. 4</w:t>
      </w:r>
      <w:r w:rsidRPr="0037267D">
        <w:rPr>
          <w:rFonts w:ascii="Times New Roman" w:hAnsi="Times New Roman" w:cs="Times New Roman"/>
          <w:sz w:val="20"/>
          <w:szCs w:val="20"/>
        </w:rPr>
        <w:t xml:space="preserve"> Kaplan-Meier survival curve in each patient group according to the tumor response pattern (n = 211)</w:t>
      </w:r>
      <w:r w:rsidRPr="005C7F0D">
        <w:rPr>
          <w:rFonts w:ascii="Times New Roman" w:eastAsia="Batang" w:hAnsi="Times New Roman" w:cs="Times New Roman"/>
          <w:sz w:val="20"/>
          <w:szCs w:val="20"/>
          <w:vertAlign w:val="superscript"/>
        </w:rPr>
        <w:t xml:space="preserve"> </w:t>
      </w:r>
      <w:r w:rsidRPr="0037267D">
        <w:rPr>
          <w:rFonts w:ascii="Times New Roman" w:eastAsia="Batang" w:hAnsi="Times New Roman" w:cs="Times New Roman"/>
          <w:sz w:val="20"/>
          <w:szCs w:val="20"/>
          <w:vertAlign w:val="superscript"/>
        </w:rPr>
        <w:t>†</w:t>
      </w:r>
      <w:r w:rsidRPr="0037267D">
        <w:rPr>
          <w:rFonts w:ascii="Times New Roman" w:hAnsi="Times New Roman" w:cs="Times New Roman"/>
          <w:sz w:val="20"/>
          <w:szCs w:val="20"/>
        </w:rPr>
        <w:t>.</w:t>
      </w:r>
    </w:p>
    <w:p w14:paraId="1F59EAA3" w14:textId="77777777" w:rsidR="00EE6A6A" w:rsidRPr="005C7F0D" w:rsidRDefault="00EE6A6A" w:rsidP="00EE6A6A">
      <w:pPr>
        <w:spacing w:line="480" w:lineRule="auto"/>
        <w:mirrorIndents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eastAsia="Batang" w:hAnsi="Times New Roman" w:cs="Times New Roman"/>
          <w:sz w:val="20"/>
          <w:szCs w:val="20"/>
          <w:vertAlign w:val="superscript"/>
        </w:rPr>
        <w:t xml:space="preserve">† </w:t>
      </w:r>
      <w:r w:rsidRPr="0037267D">
        <w:rPr>
          <w:rFonts w:ascii="Times New Roman" w:hAnsi="Times New Roman" w:cs="Times New Roman"/>
          <w:sz w:val="20"/>
          <w:szCs w:val="20"/>
        </w:rPr>
        <w:t xml:space="preserve">Non evaluable group </w:t>
      </w:r>
      <w:r>
        <w:rPr>
          <w:rFonts w:ascii="Times New Roman" w:hAnsi="Times New Roman" w:cs="Times New Roman" w:hint="eastAsia"/>
          <w:sz w:val="20"/>
          <w:szCs w:val="20"/>
        </w:rPr>
        <w:t xml:space="preserve">was </w:t>
      </w:r>
      <w:r w:rsidRPr="0037267D">
        <w:rPr>
          <w:rFonts w:ascii="Times New Roman" w:hAnsi="Times New Roman" w:cs="Times New Roman"/>
          <w:sz w:val="20"/>
          <w:szCs w:val="20"/>
        </w:rPr>
        <w:t>excluded.</w:t>
      </w:r>
    </w:p>
    <w:p w14:paraId="578B3067" w14:textId="77777777" w:rsidR="00EE6A6A" w:rsidRPr="0037267D" w:rsidRDefault="00EE6A6A" w:rsidP="00EE6A6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7D">
        <w:rPr>
          <w:rFonts w:ascii="Times New Roman" w:hAnsi="Times New Roman" w:cs="Times New Roman"/>
          <w:i/>
          <w:sz w:val="20"/>
          <w:szCs w:val="20"/>
        </w:rPr>
        <w:t>HPD</w:t>
      </w:r>
      <w:r w:rsidRPr="003726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67D">
        <w:rPr>
          <w:rFonts w:ascii="Times New Roman" w:hAnsi="Times New Roman" w:cs="Times New Roman"/>
          <w:sz w:val="20"/>
          <w:szCs w:val="20"/>
        </w:rPr>
        <w:t>hyperprogressive</w:t>
      </w:r>
      <w:proofErr w:type="spellEnd"/>
      <w:r w:rsidRPr="0037267D">
        <w:rPr>
          <w:rFonts w:ascii="Times New Roman" w:hAnsi="Times New Roman" w:cs="Times New Roman"/>
          <w:sz w:val="20"/>
          <w:szCs w:val="20"/>
        </w:rPr>
        <w:t xml:space="preserve"> disease, </w:t>
      </w:r>
      <w:r w:rsidRPr="0037267D">
        <w:rPr>
          <w:rFonts w:ascii="Times New Roman" w:hAnsi="Times New Roman" w:cs="Times New Roman"/>
          <w:i/>
          <w:sz w:val="20"/>
          <w:szCs w:val="20"/>
        </w:rPr>
        <w:t xml:space="preserve">Non-HPD PD </w:t>
      </w:r>
      <w:r w:rsidRPr="0037267D">
        <w:rPr>
          <w:rFonts w:ascii="Times New Roman" w:hAnsi="Times New Roman" w:cs="Times New Roman"/>
          <w:sz w:val="20"/>
          <w:szCs w:val="20"/>
        </w:rPr>
        <w:t xml:space="preserve">non-HPD progressive disease, </w:t>
      </w:r>
      <w:r w:rsidRPr="0037267D">
        <w:rPr>
          <w:rFonts w:ascii="Times New Roman" w:hAnsi="Times New Roman" w:cs="Times New Roman"/>
          <w:i/>
          <w:sz w:val="20"/>
          <w:szCs w:val="20"/>
        </w:rPr>
        <w:t xml:space="preserve">PR/CR </w:t>
      </w:r>
      <w:r w:rsidRPr="0037267D">
        <w:rPr>
          <w:rFonts w:ascii="Times New Roman" w:hAnsi="Times New Roman" w:cs="Times New Roman"/>
          <w:sz w:val="20"/>
          <w:szCs w:val="20"/>
        </w:rPr>
        <w:t xml:space="preserve">partial/complete response, </w:t>
      </w:r>
      <w:r w:rsidRPr="0037267D">
        <w:rPr>
          <w:rFonts w:ascii="Times New Roman" w:hAnsi="Times New Roman" w:cs="Times New Roman"/>
          <w:i/>
          <w:sz w:val="20"/>
          <w:szCs w:val="20"/>
        </w:rPr>
        <w:t>SD</w:t>
      </w:r>
      <w:r w:rsidRPr="0037267D">
        <w:rPr>
          <w:rFonts w:ascii="Times New Roman" w:hAnsi="Times New Roman" w:cs="Times New Roman"/>
          <w:sz w:val="20"/>
          <w:szCs w:val="20"/>
        </w:rPr>
        <w:t xml:space="preserve"> stable disease.</w:t>
      </w:r>
    </w:p>
    <w:p w14:paraId="3E763D9E" w14:textId="77777777" w:rsidR="00EE6A6A" w:rsidRDefault="00EE6A6A">
      <w:bookmarkStart w:id="0" w:name="_GoBack"/>
      <w:bookmarkEnd w:id="0"/>
    </w:p>
    <w:sectPr w:rsidR="00EE6A6A" w:rsidSect="00EB5A09">
      <w:footerReference w:type="default" r:id="rId4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189093"/>
      <w:docPartObj>
        <w:docPartGallery w:val="Page Numbers (Bottom of Page)"/>
        <w:docPartUnique/>
      </w:docPartObj>
    </w:sdtPr>
    <w:sdtEndPr/>
    <w:sdtContent>
      <w:p w14:paraId="11CCBA4F" w14:textId="77777777" w:rsidR="001F1485" w:rsidRDefault="00EE6A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4C3D">
          <w:rPr>
            <w:noProof/>
            <w:lang w:val="ko-KR"/>
          </w:rPr>
          <w:t>26</w:t>
        </w:r>
        <w:r>
          <w:fldChar w:fldCharType="end"/>
        </w:r>
      </w:p>
    </w:sdtContent>
  </w:sdt>
  <w:p w14:paraId="761428D6" w14:textId="77777777" w:rsidR="001F1485" w:rsidRDefault="00EE6A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6A"/>
    <w:rsid w:val="007940AA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4418"/>
  <w15:chartTrackingRefBased/>
  <w15:docId w15:val="{F51D3FD5-C423-1A4E-95FF-87A7736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A6A"/>
    <w:rPr>
      <w:rFonts w:ascii="Gulim" w:eastAsia="Gulim" w:hAnsi="Gulim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A6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6A6A"/>
    <w:rPr>
      <w:rFonts w:ascii="Gulim" w:eastAsia="Gulim" w:hAnsi="Gulim" w:cs="Gulim"/>
      <w:lang w:eastAsia="ko-KR"/>
    </w:rPr>
  </w:style>
  <w:style w:type="table" w:styleId="TableGrid">
    <w:name w:val="Table Grid"/>
    <w:basedOn w:val="TableNormal"/>
    <w:uiPriority w:val="39"/>
    <w:rsid w:val="00EE6A6A"/>
    <w:pPr>
      <w:jc w:val="both"/>
    </w:pPr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E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2020-10-14T19:33:00Z</dcterms:created>
  <dcterms:modified xsi:type="dcterms:W3CDTF">2020-10-14T19:34:00Z</dcterms:modified>
</cp:coreProperties>
</file>