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50" w:rsidRDefault="00202FDE">
      <w:pPr>
        <w:ind w:firstLine="420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Table S1. </w:t>
      </w:r>
      <w:r>
        <w:rPr>
          <w:sz w:val="21"/>
          <w:szCs w:val="21"/>
        </w:rPr>
        <w:t xml:space="preserve"> Soil physical and chemical properties in two region</w:t>
      </w:r>
      <w:r>
        <w:rPr>
          <w:rFonts w:hint="eastAsia"/>
          <w:sz w:val="21"/>
          <w:szCs w:val="21"/>
        </w:rPr>
        <w:t>s (</w:t>
      </w:r>
      <w:proofErr w:type="spellStart"/>
      <w:r>
        <w:rPr>
          <w:sz w:val="21"/>
          <w:szCs w:val="21"/>
        </w:rPr>
        <w:t>Mean±SD</w:t>
      </w:r>
      <w:proofErr w:type="spellEnd"/>
      <w:r>
        <w:rPr>
          <w:rFonts w:hint="eastAsia"/>
          <w:sz w:val="21"/>
          <w:szCs w:val="21"/>
        </w:rPr>
        <w:t>).</w:t>
      </w:r>
    </w:p>
    <w:tbl>
      <w:tblPr>
        <w:tblStyle w:val="a9"/>
        <w:tblpPr w:leftFromText="180" w:rightFromText="180" w:vertAnchor="text" w:horzAnchor="page" w:tblpXSpec="center" w:tblpY="552"/>
        <w:tblOverlap w:val="never"/>
        <w:tblW w:w="10620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930"/>
        <w:gridCol w:w="915"/>
        <w:gridCol w:w="1125"/>
        <w:gridCol w:w="660"/>
        <w:gridCol w:w="1273"/>
        <w:gridCol w:w="1772"/>
        <w:gridCol w:w="1779"/>
        <w:gridCol w:w="1056"/>
      </w:tblGrid>
      <w:tr w:rsidR="001B7550" w:rsidTr="00202FDE">
        <w:trPr>
          <w:trHeight w:val="464"/>
          <w:jc w:val="center"/>
        </w:trPr>
        <w:tc>
          <w:tcPr>
            <w:tcW w:w="1110" w:type="dxa"/>
            <w:tcBorders>
              <w:bottom w:val="nil"/>
            </w:tcBorders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 xml:space="preserve">Sampling </w:t>
            </w:r>
            <w:r>
              <w:rPr>
                <w:rFonts w:eastAsia="宋体" w:cs="宋体" w:hint="eastAsia"/>
                <w:sz w:val="21"/>
                <w:szCs w:val="21"/>
              </w:rPr>
              <w:t>Locations</w:t>
            </w:r>
          </w:p>
        </w:tc>
        <w:tc>
          <w:tcPr>
            <w:tcW w:w="930" w:type="dxa"/>
            <w:tcBorders>
              <w:bottom w:val="nil"/>
            </w:tcBorders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Dry matter</w:t>
            </w:r>
          </w:p>
        </w:tc>
        <w:tc>
          <w:tcPr>
            <w:tcW w:w="915" w:type="dxa"/>
            <w:tcBorders>
              <w:bottom w:val="nil"/>
            </w:tcBorders>
            <w:vAlign w:val="center"/>
          </w:tcPr>
          <w:p w:rsidR="001B7550" w:rsidRDefault="00202FDE">
            <w:pPr>
              <w:pStyle w:val="a8"/>
              <w:widowControl/>
              <w:spacing w:beforeAutospacing="0" w:afterAutospacing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Water</w:t>
            </w:r>
          </w:p>
          <w:p w:rsidR="001B7550" w:rsidRDefault="001B7550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1B7550" w:rsidRDefault="00202FDE">
            <w:pPr>
              <w:pStyle w:val="a8"/>
              <w:widowControl/>
              <w:spacing w:beforeAutospacing="0" w:afterAutospacing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Capacity</w:t>
            </w:r>
          </w:p>
          <w:p w:rsidR="001B7550" w:rsidRDefault="001B7550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bottom w:val="nil"/>
            </w:tcBorders>
            <w:vAlign w:val="center"/>
          </w:tcPr>
          <w:p w:rsidR="001B7550" w:rsidRDefault="00202FDE">
            <w:pPr>
              <w:widowControl/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pH</w:t>
            </w:r>
          </w:p>
          <w:p w:rsidR="001B7550" w:rsidRDefault="001B7550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Electrical conductivity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1B7550" w:rsidRDefault="00202FDE">
            <w:pPr>
              <w:widowControl/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C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ation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exchange capacity</w:t>
            </w:r>
          </w:p>
          <w:p w:rsidR="001B7550" w:rsidRDefault="001B7550">
            <w:pPr>
              <w:ind w:firstLine="420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tcBorders>
              <w:bottom w:val="nil"/>
            </w:tcBorders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E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xchange sodium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:rsidR="001B7550" w:rsidRDefault="00202FDE">
            <w:pPr>
              <w:widowControl/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Organic matter</w:t>
            </w:r>
          </w:p>
          <w:p w:rsidR="001B7550" w:rsidRDefault="001B7550">
            <w:pPr>
              <w:ind w:firstLine="420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</w:tr>
      <w:tr w:rsidR="001B7550" w:rsidTr="00202FDE">
        <w:trPr>
          <w:trHeight w:val="428"/>
          <w:jc w:val="center"/>
        </w:trPr>
        <w:tc>
          <w:tcPr>
            <w:tcW w:w="1110" w:type="dxa"/>
            <w:tcBorders>
              <w:top w:val="nil"/>
            </w:tcBorders>
            <w:vAlign w:val="center"/>
          </w:tcPr>
          <w:p w:rsidR="001B7550" w:rsidRDefault="001B7550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（</w:t>
            </w:r>
            <w:r>
              <w:rPr>
                <w:rFonts w:eastAsia="宋体" w:cs="宋体" w:hint="eastAsia"/>
                <w:sz w:val="21"/>
                <w:szCs w:val="21"/>
              </w:rPr>
              <w:t>%</w:t>
            </w:r>
            <w:r>
              <w:rPr>
                <w:rFonts w:eastAsia="宋体" w:cs="宋体" w:hint="eastAsia"/>
                <w:sz w:val="21"/>
                <w:szCs w:val="21"/>
              </w:rPr>
              <w:t>）</w:t>
            </w:r>
          </w:p>
        </w:tc>
        <w:tc>
          <w:tcPr>
            <w:tcW w:w="915" w:type="dxa"/>
            <w:tcBorders>
              <w:top w:val="nil"/>
            </w:tcBorders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（</w:t>
            </w:r>
            <w:r>
              <w:rPr>
                <w:rFonts w:eastAsia="宋体" w:cs="宋体" w:hint="eastAsia"/>
                <w:sz w:val="21"/>
                <w:szCs w:val="21"/>
              </w:rPr>
              <w:t>%</w:t>
            </w:r>
            <w:r>
              <w:rPr>
                <w:rFonts w:eastAsia="宋体" w:cs="宋体" w:hint="eastAsia"/>
                <w:sz w:val="21"/>
                <w:szCs w:val="21"/>
              </w:rPr>
              <w:t>）</w:t>
            </w: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（</w:t>
            </w:r>
            <w:r>
              <w:rPr>
                <w:rFonts w:eastAsia="宋体" w:cs="宋体" w:hint="eastAsia"/>
                <w:sz w:val="21"/>
                <w:szCs w:val="21"/>
              </w:rPr>
              <w:t>g/cm3</w:t>
            </w:r>
            <w:r>
              <w:rPr>
                <w:rFonts w:eastAsia="宋体" w:cs="宋体" w:hint="eastAsia"/>
                <w:sz w:val="21"/>
                <w:szCs w:val="21"/>
              </w:rPr>
              <w:t>）</w:t>
            </w:r>
          </w:p>
        </w:tc>
        <w:tc>
          <w:tcPr>
            <w:tcW w:w="660" w:type="dxa"/>
            <w:vMerge/>
            <w:tcBorders>
              <w:top w:val="nil"/>
            </w:tcBorders>
            <w:vAlign w:val="center"/>
          </w:tcPr>
          <w:p w:rsidR="001B7550" w:rsidRDefault="001B7550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:rsidR="001B7550" w:rsidRDefault="00202FDE">
            <w:pPr>
              <w:widowControl/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µs/cm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  <w:p w:rsidR="001B7550" w:rsidRDefault="001B7550">
            <w:pPr>
              <w:ind w:firstLine="420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1B7550" w:rsidRDefault="00202FDE">
            <w:pPr>
              <w:widowControl/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（</w:t>
            </w:r>
            <w:proofErr w:type="spellStart"/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cmol</w:t>
            </w:r>
            <w:proofErr w:type="spellEnd"/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/kg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  <w:p w:rsidR="001B7550" w:rsidRDefault="001B7550">
            <w:pPr>
              <w:ind w:firstLine="420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nil"/>
            </w:tcBorders>
            <w:vAlign w:val="center"/>
          </w:tcPr>
          <w:p w:rsidR="001B7550" w:rsidRDefault="00202FDE">
            <w:pPr>
              <w:widowControl/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（</w:t>
            </w:r>
            <w:proofErr w:type="spellStart"/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cmol</w:t>
            </w:r>
            <w:proofErr w:type="spellEnd"/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(Na+)/kg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  <w:p w:rsidR="001B7550" w:rsidRDefault="001B7550">
            <w:pPr>
              <w:ind w:firstLine="420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</w:tcBorders>
            <w:vAlign w:val="center"/>
          </w:tcPr>
          <w:p w:rsidR="001B7550" w:rsidRDefault="00202FDE">
            <w:pPr>
              <w:widowControl/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g/kg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  <w:p w:rsidR="001B7550" w:rsidRDefault="001B7550">
            <w:pPr>
              <w:ind w:firstLine="420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</w:tr>
      <w:tr w:rsidR="001B7550" w:rsidTr="00202FDE">
        <w:trPr>
          <w:trHeight w:val="616"/>
          <w:jc w:val="center"/>
        </w:trPr>
        <w:tc>
          <w:tcPr>
            <w:tcW w:w="1110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proofErr w:type="spellStart"/>
            <w:r>
              <w:rPr>
                <w:rFonts w:eastAsia="宋体" w:cs="宋体" w:hint="eastAsia"/>
                <w:sz w:val="21"/>
                <w:szCs w:val="21"/>
              </w:rPr>
              <w:t>Guanxian</w:t>
            </w:r>
            <w:proofErr w:type="spellEnd"/>
          </w:p>
        </w:tc>
        <w:tc>
          <w:tcPr>
            <w:tcW w:w="930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94.13</w:t>
            </w:r>
          </w:p>
        </w:tc>
        <w:tc>
          <w:tcPr>
            <w:tcW w:w="915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6.29</w:t>
            </w:r>
          </w:p>
        </w:tc>
        <w:tc>
          <w:tcPr>
            <w:tcW w:w="1125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1.19</w:t>
            </w:r>
          </w:p>
        </w:tc>
        <w:tc>
          <w:tcPr>
            <w:tcW w:w="660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7.81</w:t>
            </w:r>
          </w:p>
        </w:tc>
        <w:tc>
          <w:tcPr>
            <w:tcW w:w="1273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134.9</w:t>
            </w:r>
          </w:p>
        </w:tc>
        <w:tc>
          <w:tcPr>
            <w:tcW w:w="1772" w:type="dxa"/>
            <w:vAlign w:val="center"/>
          </w:tcPr>
          <w:p w:rsidR="001B7550" w:rsidRDefault="00202FDE">
            <w:pPr>
              <w:ind w:firstLine="42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9.91</w:t>
            </w:r>
          </w:p>
        </w:tc>
        <w:tc>
          <w:tcPr>
            <w:tcW w:w="1779" w:type="dxa"/>
            <w:vAlign w:val="center"/>
          </w:tcPr>
          <w:p w:rsidR="001B7550" w:rsidRDefault="00202FDE">
            <w:pPr>
              <w:ind w:firstLine="42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0.94</w:t>
            </w:r>
          </w:p>
        </w:tc>
        <w:tc>
          <w:tcPr>
            <w:tcW w:w="1056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13.3</w:t>
            </w:r>
          </w:p>
        </w:tc>
      </w:tr>
      <w:tr w:rsidR="001B7550" w:rsidTr="00202FDE">
        <w:trPr>
          <w:trHeight w:val="616"/>
          <w:jc w:val="center"/>
        </w:trPr>
        <w:tc>
          <w:tcPr>
            <w:tcW w:w="1110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proofErr w:type="spellStart"/>
            <w:r>
              <w:rPr>
                <w:rFonts w:eastAsia="宋体" w:cs="宋体" w:hint="eastAsia"/>
                <w:sz w:val="21"/>
                <w:szCs w:val="21"/>
              </w:rPr>
              <w:t>Huimin</w:t>
            </w:r>
            <w:proofErr w:type="spellEnd"/>
          </w:p>
        </w:tc>
        <w:tc>
          <w:tcPr>
            <w:tcW w:w="930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95.53</w:t>
            </w:r>
          </w:p>
        </w:tc>
        <w:tc>
          <w:tcPr>
            <w:tcW w:w="915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4.72</w:t>
            </w:r>
          </w:p>
        </w:tc>
        <w:tc>
          <w:tcPr>
            <w:tcW w:w="1125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1.32</w:t>
            </w:r>
          </w:p>
        </w:tc>
        <w:tc>
          <w:tcPr>
            <w:tcW w:w="660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7.88</w:t>
            </w:r>
          </w:p>
        </w:tc>
        <w:tc>
          <w:tcPr>
            <w:tcW w:w="1273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145.8</w:t>
            </w:r>
          </w:p>
        </w:tc>
        <w:tc>
          <w:tcPr>
            <w:tcW w:w="1772" w:type="dxa"/>
            <w:vAlign w:val="center"/>
          </w:tcPr>
          <w:p w:rsidR="001B7550" w:rsidRDefault="00202FDE">
            <w:pPr>
              <w:ind w:firstLine="42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4.91</w:t>
            </w:r>
          </w:p>
        </w:tc>
        <w:tc>
          <w:tcPr>
            <w:tcW w:w="1779" w:type="dxa"/>
            <w:vAlign w:val="center"/>
          </w:tcPr>
          <w:p w:rsidR="001B7550" w:rsidRDefault="00202FDE">
            <w:pPr>
              <w:ind w:firstLine="42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0.22</w:t>
            </w:r>
          </w:p>
        </w:tc>
        <w:tc>
          <w:tcPr>
            <w:tcW w:w="1056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6.7</w:t>
            </w:r>
          </w:p>
        </w:tc>
      </w:tr>
      <w:tr w:rsidR="001B7550" w:rsidTr="00202FDE">
        <w:trPr>
          <w:trHeight w:val="635"/>
          <w:jc w:val="center"/>
        </w:trPr>
        <w:tc>
          <w:tcPr>
            <w:tcW w:w="1110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  <w:lang w:bidi="ar"/>
              </w:rPr>
              <w:t>P value</w:t>
            </w:r>
          </w:p>
        </w:tc>
        <w:tc>
          <w:tcPr>
            <w:tcW w:w="930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0.52</w:t>
            </w:r>
          </w:p>
        </w:tc>
        <w:tc>
          <w:tcPr>
            <w:tcW w:w="915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0.52</w:t>
            </w:r>
          </w:p>
        </w:tc>
        <w:tc>
          <w:tcPr>
            <w:tcW w:w="1125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0.46</w:t>
            </w:r>
          </w:p>
        </w:tc>
        <w:tc>
          <w:tcPr>
            <w:tcW w:w="660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0.58</w:t>
            </w:r>
          </w:p>
        </w:tc>
        <w:tc>
          <w:tcPr>
            <w:tcW w:w="1273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0.33</w:t>
            </w:r>
          </w:p>
        </w:tc>
        <w:tc>
          <w:tcPr>
            <w:tcW w:w="1772" w:type="dxa"/>
            <w:vAlign w:val="center"/>
          </w:tcPr>
          <w:p w:rsidR="001B7550" w:rsidRDefault="00202FDE">
            <w:pPr>
              <w:ind w:firstLine="42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/>
                <w:sz w:val="21"/>
                <w:szCs w:val="21"/>
              </w:rPr>
              <w:t>0.0000079</w:t>
            </w:r>
          </w:p>
        </w:tc>
        <w:tc>
          <w:tcPr>
            <w:tcW w:w="1779" w:type="dxa"/>
            <w:vAlign w:val="center"/>
          </w:tcPr>
          <w:p w:rsidR="001B7550" w:rsidRDefault="00202FDE">
            <w:pPr>
              <w:ind w:firstLine="42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0.00018</w:t>
            </w:r>
          </w:p>
        </w:tc>
        <w:tc>
          <w:tcPr>
            <w:tcW w:w="1056" w:type="dxa"/>
            <w:vAlign w:val="center"/>
          </w:tcPr>
          <w:p w:rsidR="001B7550" w:rsidRDefault="00202FDE">
            <w:pPr>
              <w:ind w:firstLineChars="0" w:firstLine="0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0.000097</w:t>
            </w:r>
          </w:p>
        </w:tc>
      </w:tr>
    </w:tbl>
    <w:p w:rsidR="001B7550" w:rsidRDefault="001B7550">
      <w:pPr>
        <w:widowControl/>
        <w:ind w:firstLineChars="0" w:firstLine="0"/>
        <w:jc w:val="left"/>
        <w:rPr>
          <w:sz w:val="21"/>
          <w:szCs w:val="21"/>
        </w:rPr>
      </w:pPr>
    </w:p>
    <w:sectPr w:rsidR="001B7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82B43"/>
    <w:rsid w:val="000C334A"/>
    <w:rsid w:val="00172A27"/>
    <w:rsid w:val="001B7550"/>
    <w:rsid w:val="00202FDE"/>
    <w:rsid w:val="00241BEE"/>
    <w:rsid w:val="003E3F89"/>
    <w:rsid w:val="003F378F"/>
    <w:rsid w:val="004059FE"/>
    <w:rsid w:val="00463C48"/>
    <w:rsid w:val="005C63BC"/>
    <w:rsid w:val="00612D01"/>
    <w:rsid w:val="006715E1"/>
    <w:rsid w:val="006864F0"/>
    <w:rsid w:val="00703C59"/>
    <w:rsid w:val="00802283"/>
    <w:rsid w:val="00874279"/>
    <w:rsid w:val="008E217C"/>
    <w:rsid w:val="008E5F9A"/>
    <w:rsid w:val="009A2594"/>
    <w:rsid w:val="00AC542D"/>
    <w:rsid w:val="00B2644E"/>
    <w:rsid w:val="00BC66C7"/>
    <w:rsid w:val="00C0494C"/>
    <w:rsid w:val="00C203D4"/>
    <w:rsid w:val="00C33EEE"/>
    <w:rsid w:val="00D41FB3"/>
    <w:rsid w:val="00D7784A"/>
    <w:rsid w:val="00E32568"/>
    <w:rsid w:val="00E45B73"/>
    <w:rsid w:val="00FD69D6"/>
    <w:rsid w:val="00FE35A5"/>
    <w:rsid w:val="00FF3E99"/>
    <w:rsid w:val="00FF4D79"/>
    <w:rsid w:val="03B471F0"/>
    <w:rsid w:val="07CE6EEF"/>
    <w:rsid w:val="07F9383B"/>
    <w:rsid w:val="08C13687"/>
    <w:rsid w:val="09433F71"/>
    <w:rsid w:val="10F06E3E"/>
    <w:rsid w:val="16132A6C"/>
    <w:rsid w:val="16967E0F"/>
    <w:rsid w:val="17563455"/>
    <w:rsid w:val="177547D3"/>
    <w:rsid w:val="1B203A29"/>
    <w:rsid w:val="1B28080A"/>
    <w:rsid w:val="1FB34DFB"/>
    <w:rsid w:val="21F453D4"/>
    <w:rsid w:val="252A14AB"/>
    <w:rsid w:val="26A37FB4"/>
    <w:rsid w:val="28F303FE"/>
    <w:rsid w:val="2AA82962"/>
    <w:rsid w:val="2E75227E"/>
    <w:rsid w:val="2F096A60"/>
    <w:rsid w:val="304970C8"/>
    <w:rsid w:val="304A052E"/>
    <w:rsid w:val="30DB0457"/>
    <w:rsid w:val="340F2698"/>
    <w:rsid w:val="34C054EF"/>
    <w:rsid w:val="38F53D66"/>
    <w:rsid w:val="393F5028"/>
    <w:rsid w:val="39E14247"/>
    <w:rsid w:val="3C5A3EDE"/>
    <w:rsid w:val="41C35B6E"/>
    <w:rsid w:val="44DB22EC"/>
    <w:rsid w:val="48E82B43"/>
    <w:rsid w:val="4B672222"/>
    <w:rsid w:val="4FFA27C6"/>
    <w:rsid w:val="52311CC1"/>
    <w:rsid w:val="5E0418BA"/>
    <w:rsid w:val="613B0BC2"/>
    <w:rsid w:val="614F20D1"/>
    <w:rsid w:val="6A835160"/>
    <w:rsid w:val="6AFD28E8"/>
    <w:rsid w:val="6C296E3B"/>
    <w:rsid w:val="74F60312"/>
    <w:rsid w:val="77EF1AF6"/>
    <w:rsid w:val="798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B1D40E-CF71-4C32-862C-9A77EC5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562"/>
      <w:jc w:val="both"/>
    </w:pPr>
    <w:rPr>
      <w:rFonts w:eastAsiaTheme="minorEastAsia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eastAsia="宋体"/>
      <w:b/>
      <w:sz w:val="30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eastAsia="宋体" w:cs="Times New Roman" w:hint="eastAsia"/>
      <w:b/>
      <w:kern w:val="0"/>
      <w:sz w:val="28"/>
      <w:szCs w:val="27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Pr>
      <w:rFonts w:ascii="Arial" w:eastAsia="黑体" w:hAnsi="Arial"/>
      <w:sz w:val="20"/>
    </w:rPr>
  </w:style>
  <w:style w:type="paragraph" w:styleId="a4">
    <w:name w:val="Plain Text"/>
    <w:basedOn w:val="a"/>
    <w:link w:val="a5"/>
    <w:qFormat/>
    <w:rPr>
      <w:rFonts w:ascii="宋体" w:eastAsia="宋体" w:hAnsi="Courier New" w:cs="Times New Roman" w:hint="eastAsia"/>
      <w:sz w:val="21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  <w:shd w:val="clear" w:color="auto" w:fill="F0AD4E"/>
    </w:rPr>
  </w:style>
  <w:style w:type="character" w:styleId="ab">
    <w:name w:val="FollowedHyperlink"/>
    <w:basedOn w:val="a0"/>
    <w:qFormat/>
    <w:rPr>
      <w:color w:val="256EB1"/>
      <w:u w:val="none"/>
    </w:rPr>
  </w:style>
  <w:style w:type="character" w:styleId="ac">
    <w:name w:val="Emphasis"/>
    <w:basedOn w:val="a0"/>
    <w:qFormat/>
    <w:rPr>
      <w:color w:val="CC0000"/>
      <w:sz w:val="24"/>
      <w:szCs w:val="24"/>
    </w:rPr>
  </w:style>
  <w:style w:type="character" w:styleId="HTML">
    <w:name w:val="HTML Definition"/>
    <w:basedOn w:val="a0"/>
    <w:qFormat/>
    <w:rPr>
      <w:i/>
    </w:rPr>
  </w:style>
  <w:style w:type="character" w:styleId="ad">
    <w:name w:val="Hyperlink"/>
    <w:basedOn w:val="a0"/>
    <w:qFormat/>
    <w:rPr>
      <w:color w:val="256EB1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qFormat/>
  </w:style>
  <w:style w:type="character" w:styleId="HTML2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info">
    <w:name w:val="info"/>
    <w:basedOn w:val="a0"/>
    <w:qFormat/>
    <w:rPr>
      <w:color w:val="555555"/>
    </w:rPr>
  </w:style>
  <w:style w:type="character" w:customStyle="1" w:styleId="fr">
    <w:name w:val="fr"/>
    <w:basedOn w:val="a0"/>
    <w:qFormat/>
  </w:style>
  <w:style w:type="character" w:customStyle="1" w:styleId="fr1">
    <w:name w:val="fr1"/>
    <w:basedOn w:val="a0"/>
    <w:qFormat/>
  </w:style>
  <w:style w:type="character" w:customStyle="1" w:styleId="fr2">
    <w:name w:val="fr2"/>
    <w:basedOn w:val="a0"/>
    <w:qFormat/>
  </w:style>
  <w:style w:type="character" w:customStyle="1" w:styleId="info2">
    <w:name w:val="info2"/>
    <w:basedOn w:val="a0"/>
    <w:qFormat/>
    <w:rPr>
      <w:color w:val="776955"/>
    </w:rPr>
  </w:style>
  <w:style w:type="paragraph" w:customStyle="1" w:styleId="paragraph">
    <w:name w:val="paragraph"/>
    <w:basedOn w:val="a"/>
    <w:qFormat/>
    <w:pPr>
      <w:spacing w:before="150" w:after="150" w:line="23" w:lineRule="atLeast"/>
      <w:ind w:left="150" w:right="150" w:firstLine="420"/>
      <w:jc w:val="left"/>
    </w:pPr>
    <w:rPr>
      <w:rFonts w:cs="Times New Roman"/>
      <w:kern w:val="0"/>
    </w:rPr>
  </w:style>
  <w:style w:type="character" w:customStyle="1" w:styleId="ui-icon18">
    <w:name w:val="ui-icon18"/>
    <w:basedOn w:val="a0"/>
    <w:qFormat/>
  </w:style>
  <w:style w:type="character" w:customStyle="1" w:styleId="ui-icon19">
    <w:name w:val="ui-icon19"/>
    <w:basedOn w:val="a0"/>
    <w:qFormat/>
  </w:style>
  <w:style w:type="character" w:customStyle="1" w:styleId="ui-icon">
    <w:name w:val="ui-icon"/>
    <w:basedOn w:val="a0"/>
    <w:qFormat/>
  </w:style>
  <w:style w:type="character" w:customStyle="1" w:styleId="ui-icon1">
    <w:name w:val="ui-icon1"/>
    <w:basedOn w:val="a0"/>
    <w:qFormat/>
  </w:style>
  <w:style w:type="character" w:customStyle="1" w:styleId="ui-icon13">
    <w:name w:val="ui-icon13"/>
    <w:basedOn w:val="a0"/>
    <w:qFormat/>
  </w:style>
  <w:style w:type="character" w:customStyle="1" w:styleId="ui-icon14">
    <w:name w:val="ui-icon14"/>
    <w:basedOn w:val="a0"/>
    <w:qFormat/>
  </w:style>
  <w:style w:type="character" w:customStyle="1" w:styleId="a5">
    <w:name w:val="纯文本 字符"/>
    <w:basedOn w:val="a0"/>
    <w:link w:val="a4"/>
    <w:qFormat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10">
    <w:name w:val="标题 1 字符"/>
    <w:link w:val="1"/>
    <w:qFormat/>
    <w:rPr>
      <w:rFonts w:eastAsiaTheme="minorEastAsia"/>
      <w:b/>
      <w:kern w:val="44"/>
      <w:sz w:val="32"/>
    </w:rPr>
  </w:style>
  <w:style w:type="character" w:customStyle="1" w:styleId="40">
    <w:name w:val="标题 4 字符"/>
    <w:link w:val="4"/>
    <w:qFormat/>
    <w:rPr>
      <w:rFonts w:ascii="Arial" w:eastAsia="黑体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5991;&#29486;1\&#40605;&#40761;&#32928;&#36947;&#24494;&#29983;&#29289;&#22810;&#26679;&#24615;&#34920;&#2668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麝鼹肠道微生物多样性表格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铅笔再灰ぐ还是继续描绘。</dc:creator>
  <cp:lastModifiedBy>LENOVO</cp:lastModifiedBy>
  <cp:revision>22</cp:revision>
  <dcterms:created xsi:type="dcterms:W3CDTF">2021-02-09T04:59:00Z</dcterms:created>
  <dcterms:modified xsi:type="dcterms:W3CDTF">2021-03-12T08:49:00Z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