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1843"/>
        <w:gridCol w:w="1984"/>
      </w:tblGrid>
      <w:tr w:rsidR="00F94034" w:rsidRPr="00005364" w14:paraId="78D2B83D" w14:textId="77777777" w:rsidTr="00026508">
        <w:tc>
          <w:tcPr>
            <w:tcW w:w="8188" w:type="dxa"/>
            <w:gridSpan w:val="4"/>
            <w:tcBorders>
              <w:bottom w:val="single" w:sz="12" w:space="0" w:color="auto"/>
            </w:tcBorders>
          </w:tcPr>
          <w:p w14:paraId="53295755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Supplemental Table 4. Model Performance at Different Sensitivity Thresholds for CRC Detection Among Patients with Signs or Symptoms</w:t>
            </w:r>
          </w:p>
          <w:p w14:paraId="74082DD2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  <w:b/>
              </w:rPr>
              <w:t>(CRC Model Only)</w:t>
            </w:r>
          </w:p>
        </w:tc>
      </w:tr>
      <w:tr w:rsidR="00F94034" w:rsidRPr="00005364" w14:paraId="7DE9E261" w14:textId="77777777" w:rsidTr="00026508">
        <w:tc>
          <w:tcPr>
            <w:tcW w:w="23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2EC2E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Performance Characteristic</w:t>
            </w:r>
          </w:p>
        </w:tc>
        <w:tc>
          <w:tcPr>
            <w:tcW w:w="57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5B6977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  <w:b/>
              </w:rPr>
              <w:t>Sensitivity of CRC Detection</w:t>
            </w:r>
          </w:p>
        </w:tc>
      </w:tr>
      <w:tr w:rsidR="00F94034" w:rsidRPr="00005364" w14:paraId="71A86BD0" w14:textId="77777777" w:rsidTr="00026508">
        <w:tc>
          <w:tcPr>
            <w:tcW w:w="23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9E8FAA" w14:textId="77777777" w:rsidR="00F94034" w:rsidRPr="00005364" w:rsidRDefault="00F94034" w:rsidP="000265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FA19F1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100%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EC1FA54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99%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2AD692B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05364">
              <w:rPr>
                <w:rFonts w:ascii="Calibri" w:eastAsia="Calibri" w:hAnsi="Calibri" w:cs="Calibri"/>
                <w:b/>
              </w:rPr>
              <w:t>95%</w:t>
            </w:r>
          </w:p>
        </w:tc>
      </w:tr>
      <w:tr w:rsidR="00F94034" w:rsidRPr="00005364" w14:paraId="265845CA" w14:textId="77777777" w:rsidTr="00026508">
        <w:tc>
          <w:tcPr>
            <w:tcW w:w="2392" w:type="dxa"/>
            <w:tcBorders>
              <w:top w:val="single" w:sz="12" w:space="0" w:color="auto"/>
              <w:right w:val="single" w:sz="12" w:space="0" w:color="auto"/>
            </w:tcBorders>
          </w:tcPr>
          <w:p w14:paraId="653CF88E" w14:textId="77777777" w:rsidR="00F94034" w:rsidRPr="00005364" w:rsidRDefault="00F94034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 xml:space="preserve">% missed CRC 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18524C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31A3156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0.7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EE3704E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5</w:t>
            </w:r>
          </w:p>
        </w:tc>
      </w:tr>
      <w:tr w:rsidR="00F94034" w:rsidRPr="00005364" w14:paraId="02850DE8" w14:textId="77777777" w:rsidTr="00026508">
        <w:tc>
          <w:tcPr>
            <w:tcW w:w="2392" w:type="dxa"/>
            <w:tcBorders>
              <w:right w:val="single" w:sz="12" w:space="0" w:color="auto"/>
            </w:tcBorders>
          </w:tcPr>
          <w:p w14:paraId="237A2E20" w14:textId="77777777" w:rsidR="00F94034" w:rsidRPr="00005364" w:rsidRDefault="00F94034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missed HRA</w:t>
            </w:r>
          </w:p>
        </w:tc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21485001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17.6</w:t>
            </w:r>
          </w:p>
        </w:tc>
        <w:tc>
          <w:tcPr>
            <w:tcW w:w="1843" w:type="dxa"/>
            <w:vAlign w:val="center"/>
          </w:tcPr>
          <w:p w14:paraId="6E31E9B0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52.6</w:t>
            </w:r>
          </w:p>
        </w:tc>
        <w:tc>
          <w:tcPr>
            <w:tcW w:w="1984" w:type="dxa"/>
            <w:vAlign w:val="center"/>
          </w:tcPr>
          <w:p w14:paraId="0BDEEF0A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67.1</w:t>
            </w:r>
          </w:p>
        </w:tc>
      </w:tr>
      <w:tr w:rsidR="00F94034" w:rsidRPr="00005364" w14:paraId="4E063793" w14:textId="77777777" w:rsidTr="00026508">
        <w:tc>
          <w:tcPr>
            <w:tcW w:w="2392" w:type="dxa"/>
            <w:tcBorders>
              <w:right w:val="single" w:sz="12" w:space="0" w:color="auto"/>
            </w:tcBorders>
          </w:tcPr>
          <w:p w14:paraId="45732465" w14:textId="77777777" w:rsidR="00F94034" w:rsidRPr="00005364" w:rsidRDefault="00F94034" w:rsidP="00026508">
            <w:pPr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% colonoscopies potentially avoided</w:t>
            </w:r>
          </w:p>
        </w:tc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14:paraId="6D48097D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31.6</w:t>
            </w:r>
          </w:p>
        </w:tc>
        <w:tc>
          <w:tcPr>
            <w:tcW w:w="1843" w:type="dxa"/>
            <w:vAlign w:val="center"/>
          </w:tcPr>
          <w:p w14:paraId="7FA0E63C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64.0</w:t>
            </w:r>
          </w:p>
        </w:tc>
        <w:tc>
          <w:tcPr>
            <w:tcW w:w="1984" w:type="dxa"/>
            <w:vAlign w:val="center"/>
          </w:tcPr>
          <w:p w14:paraId="5AAD864E" w14:textId="77777777" w:rsidR="00F94034" w:rsidRPr="00005364" w:rsidRDefault="00F94034" w:rsidP="00026508">
            <w:pPr>
              <w:jc w:val="center"/>
              <w:rPr>
                <w:rFonts w:ascii="Calibri" w:eastAsia="Calibri" w:hAnsi="Calibri" w:cs="Calibri"/>
              </w:rPr>
            </w:pPr>
            <w:r w:rsidRPr="00005364">
              <w:rPr>
                <w:rFonts w:ascii="Calibri" w:eastAsia="Calibri" w:hAnsi="Calibri" w:cs="Calibri"/>
              </w:rPr>
              <w:t>75.4</w:t>
            </w:r>
          </w:p>
        </w:tc>
      </w:tr>
    </w:tbl>
    <w:p w14:paraId="5F8EE90D" w14:textId="77777777" w:rsidR="00F94034" w:rsidRPr="00005364" w:rsidRDefault="00F94034" w:rsidP="00F94034">
      <w:pPr>
        <w:spacing w:after="0" w:line="240" w:lineRule="auto"/>
        <w:rPr>
          <w:rFonts w:ascii="Calibri" w:eastAsia="Calibri" w:hAnsi="Calibri" w:cs="Calibri"/>
        </w:rPr>
      </w:pPr>
    </w:p>
    <w:p w14:paraId="088F9216" w14:textId="77777777" w:rsidR="00F94034" w:rsidRPr="00005364" w:rsidRDefault="00F94034" w:rsidP="00F94034">
      <w:pPr>
        <w:spacing w:after="0" w:line="240" w:lineRule="auto"/>
        <w:rPr>
          <w:rFonts w:ascii="Calibri" w:eastAsia="Calibri" w:hAnsi="Calibri" w:cs="Calibri"/>
          <w:u w:val="single"/>
        </w:rPr>
      </w:pPr>
      <w:r w:rsidRPr="00005364">
        <w:rPr>
          <w:rFonts w:ascii="Calibri" w:eastAsia="Calibri" w:hAnsi="Calibri" w:cs="Calibri"/>
          <w:u w:val="single"/>
        </w:rPr>
        <w:t xml:space="preserve">Example of Interpretation (100% Column): </w:t>
      </w:r>
    </w:p>
    <w:p w14:paraId="06E3FADC" w14:textId="77777777" w:rsidR="00F94034" w:rsidRPr="00005364" w:rsidRDefault="00F94034" w:rsidP="00F94034">
      <w:pPr>
        <w:spacing w:after="0" w:line="240" w:lineRule="auto"/>
        <w:rPr>
          <w:rFonts w:ascii="Calibri" w:eastAsia="Calibri" w:hAnsi="Calibri" w:cs="Calibri"/>
        </w:rPr>
      </w:pPr>
      <w:r w:rsidRPr="00005364">
        <w:rPr>
          <w:rFonts w:ascii="Calibri" w:eastAsia="Calibri" w:hAnsi="Calibri" w:cs="Calibri"/>
        </w:rPr>
        <w:t>At 100% sensitivity threshold for CRC detection, application of the primary model for CRC would lead to a miss rate of 0% for CRC and 17.6% for HRA while permitting avoidance of up to 31.6% of colonoscopies</w:t>
      </w:r>
    </w:p>
    <w:p w14:paraId="5C122801" w14:textId="77777777" w:rsidR="00F94034" w:rsidRDefault="00F94034"/>
    <w:sectPr w:rsidR="00F9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4"/>
    <w:rsid w:val="00F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62E1"/>
  <w15:chartTrackingRefBased/>
  <w15:docId w15:val="{020E57E4-E147-42BC-BAA9-B56639D6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Antonova</dc:creator>
  <cp:keywords/>
  <dc:description/>
  <cp:lastModifiedBy>Lilia Antonova</cp:lastModifiedBy>
  <cp:revision>1</cp:revision>
  <dcterms:created xsi:type="dcterms:W3CDTF">2020-09-15T22:34:00Z</dcterms:created>
  <dcterms:modified xsi:type="dcterms:W3CDTF">2020-09-15T22:35:00Z</dcterms:modified>
</cp:coreProperties>
</file>