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E0" w:rsidRDefault="00E579E0" w:rsidP="00E579E0">
      <w:pPr>
        <w:rPr>
          <w:rFonts w:ascii="Times New Roman" w:hAnsi="Times New Roman" w:cs="Times New Roman"/>
        </w:rPr>
        <w:sectPr w:rsidR="00E579E0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9023" w:type="dxa"/>
        <w:tblLook w:val="04A0" w:firstRow="1" w:lastRow="0" w:firstColumn="1" w:lastColumn="0" w:noHBand="0" w:noVBand="1"/>
      </w:tblPr>
      <w:tblGrid>
        <w:gridCol w:w="2735"/>
        <w:gridCol w:w="6288"/>
      </w:tblGrid>
      <w:tr w:rsidR="00E579E0" w:rsidRPr="00050643" w:rsidTr="00821A9A">
        <w:trPr>
          <w:trHeight w:val="388"/>
        </w:trPr>
        <w:tc>
          <w:tcPr>
            <w:tcW w:w="9023" w:type="dxa"/>
            <w:gridSpan w:val="2"/>
            <w:shd w:val="clear" w:color="auto" w:fill="auto"/>
            <w:noWrap/>
            <w:vAlign w:val="center"/>
          </w:tcPr>
          <w:p w:rsidR="00E579E0" w:rsidRPr="00050643" w:rsidRDefault="00E579E0" w:rsidP="00821A9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50643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lastRenderedPageBreak/>
              <w:t xml:space="preserve">Supplementary Table 1. The criteria for the reimbursement of NUCs by the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</w:t>
            </w:r>
            <w:r w:rsidRPr="00050643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ational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H</w:t>
            </w:r>
            <w:r w:rsidRPr="00050643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ealth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I</w:t>
            </w:r>
            <w:r w:rsidRPr="00050643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nsurance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</w:t>
            </w:r>
            <w:r w:rsidRPr="00050643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ervice in the Republic of Korea</w:t>
            </w:r>
          </w:p>
        </w:tc>
      </w:tr>
      <w:tr w:rsidR="00E579E0" w:rsidRPr="00050643" w:rsidTr="00821A9A">
        <w:trPr>
          <w:trHeight w:val="388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E0" w:rsidRPr="00050643" w:rsidRDefault="00E579E0" w:rsidP="00821A9A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50643">
              <w:rPr>
                <w:rFonts w:ascii="Times New Roman" w:hAnsi="Times New Roman" w:cs="Times New Roman"/>
                <w:b/>
                <w:sz w:val="22"/>
              </w:rPr>
              <w:t>Virological and clinical status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E0" w:rsidRPr="00050643" w:rsidRDefault="00E579E0" w:rsidP="00821A9A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50643">
              <w:rPr>
                <w:rFonts w:ascii="Times New Roman" w:hAnsi="Times New Roman" w:cs="Times New Roman"/>
                <w:b/>
                <w:sz w:val="22"/>
              </w:rPr>
              <w:t>Criteria</w:t>
            </w:r>
          </w:p>
        </w:tc>
      </w:tr>
      <w:tr w:rsidR="00E579E0" w:rsidRPr="00050643" w:rsidTr="00821A9A">
        <w:trPr>
          <w:trHeight w:val="197"/>
        </w:trPr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E0" w:rsidRPr="00050643" w:rsidRDefault="00E579E0" w:rsidP="00821A9A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50643">
              <w:rPr>
                <w:rFonts w:ascii="Times New Roman" w:hAnsi="Times New Roman" w:cs="Times New Roman"/>
                <w:sz w:val="22"/>
              </w:rPr>
              <w:t>HBeAg-positive CHB</w:t>
            </w:r>
          </w:p>
        </w:tc>
        <w:tc>
          <w:tcPr>
            <w:tcW w:w="62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E0" w:rsidRPr="00050643" w:rsidRDefault="00E579E0" w:rsidP="00821A9A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50643">
              <w:rPr>
                <w:rFonts w:ascii="Times New Roman" w:hAnsi="Times New Roman" w:cs="Times New Roman"/>
                <w:sz w:val="22"/>
              </w:rPr>
              <w:t>Serum HBV-DNA ≥ 20,000 IU/mL &amp; Serum AST or ALT ≥ 80 U/mL</w:t>
            </w:r>
          </w:p>
        </w:tc>
      </w:tr>
      <w:tr w:rsidR="00E579E0" w:rsidRPr="00050643" w:rsidTr="00821A9A">
        <w:trPr>
          <w:trHeight w:val="232"/>
        </w:trPr>
        <w:tc>
          <w:tcPr>
            <w:tcW w:w="2735" w:type="dxa"/>
            <w:shd w:val="clear" w:color="auto" w:fill="auto"/>
            <w:noWrap/>
            <w:vAlign w:val="center"/>
            <w:hideMark/>
          </w:tcPr>
          <w:p w:rsidR="00E579E0" w:rsidRPr="00050643" w:rsidRDefault="00E579E0" w:rsidP="00821A9A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50643">
              <w:rPr>
                <w:rFonts w:ascii="Times New Roman" w:hAnsi="Times New Roman" w:cs="Times New Roman"/>
                <w:sz w:val="22"/>
              </w:rPr>
              <w:t>HBeAg-negative CHB</w:t>
            </w:r>
          </w:p>
        </w:tc>
        <w:tc>
          <w:tcPr>
            <w:tcW w:w="6287" w:type="dxa"/>
            <w:shd w:val="clear" w:color="auto" w:fill="auto"/>
            <w:noWrap/>
            <w:vAlign w:val="center"/>
            <w:hideMark/>
          </w:tcPr>
          <w:p w:rsidR="00E579E0" w:rsidRPr="00050643" w:rsidRDefault="00E579E0" w:rsidP="00821A9A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50643">
              <w:rPr>
                <w:rFonts w:ascii="Times New Roman" w:hAnsi="Times New Roman" w:cs="Times New Roman"/>
                <w:sz w:val="22"/>
              </w:rPr>
              <w:t>Serum HBV-DNA ≥ 2,000 IU/mL &amp; Serum AST or ALT ≥ 80 U/mL</w:t>
            </w:r>
          </w:p>
        </w:tc>
      </w:tr>
      <w:tr w:rsidR="00E579E0" w:rsidRPr="00050643" w:rsidTr="00821A9A">
        <w:trPr>
          <w:trHeight w:val="232"/>
        </w:trPr>
        <w:tc>
          <w:tcPr>
            <w:tcW w:w="2735" w:type="dxa"/>
            <w:shd w:val="clear" w:color="auto" w:fill="auto"/>
            <w:noWrap/>
            <w:vAlign w:val="center"/>
            <w:hideMark/>
          </w:tcPr>
          <w:p w:rsidR="00E579E0" w:rsidRPr="00050643" w:rsidRDefault="00E579E0" w:rsidP="00821A9A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50643">
              <w:rPr>
                <w:rFonts w:ascii="Times New Roman" w:hAnsi="Times New Roman" w:cs="Times New Roman"/>
                <w:sz w:val="22"/>
              </w:rPr>
              <w:t>Compensated cirrhosis</w:t>
            </w:r>
          </w:p>
        </w:tc>
        <w:tc>
          <w:tcPr>
            <w:tcW w:w="6287" w:type="dxa"/>
            <w:shd w:val="clear" w:color="auto" w:fill="auto"/>
            <w:noWrap/>
            <w:vAlign w:val="center"/>
            <w:hideMark/>
          </w:tcPr>
          <w:p w:rsidR="00E579E0" w:rsidRPr="00050643" w:rsidRDefault="00E579E0" w:rsidP="00821A9A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50643">
              <w:rPr>
                <w:rFonts w:ascii="Times New Roman" w:hAnsi="Times New Roman" w:cs="Times New Roman"/>
                <w:sz w:val="22"/>
              </w:rPr>
              <w:t>Serum HBV-DNA ≥ 2,000 IU/mL &amp; Serum AST or ALT≥ upper limit of normal</w:t>
            </w:r>
          </w:p>
        </w:tc>
      </w:tr>
      <w:tr w:rsidR="00E579E0" w:rsidRPr="00050643" w:rsidTr="00821A9A">
        <w:trPr>
          <w:trHeight w:val="232"/>
        </w:trPr>
        <w:tc>
          <w:tcPr>
            <w:tcW w:w="90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79E0" w:rsidRPr="00050643" w:rsidRDefault="00E579E0" w:rsidP="00821A9A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50643">
              <w:rPr>
                <w:rFonts w:ascii="Times New Roman" w:hAnsi="Times New Roman" w:cs="Times New Roman"/>
                <w:b/>
                <w:sz w:val="22"/>
              </w:rPr>
              <w:t>Abbreviations</w:t>
            </w:r>
            <w:r w:rsidRPr="00050643">
              <w:rPr>
                <w:rFonts w:ascii="Times New Roman" w:hAnsi="Times New Roman" w:cs="Times New Roman"/>
                <w:sz w:val="22"/>
              </w:rPr>
              <w:t>: NUC,</w:t>
            </w:r>
            <w:r w:rsidRPr="00050643">
              <w:rPr>
                <w:rFonts w:ascii="Times New Roman" w:eastAsia="HYSinMyeongJo-Medium" w:hAnsi="Times New Roman" w:cs="Times New Roman"/>
                <w:bCs/>
                <w:sz w:val="22"/>
              </w:rPr>
              <w:t xml:space="preserve"> nucleos(t)ide analog;</w:t>
            </w:r>
            <w:r w:rsidRPr="00050643">
              <w:rPr>
                <w:rFonts w:ascii="Times New Roman" w:hAnsi="Times New Roman" w:cs="Times New Roman"/>
                <w:sz w:val="22"/>
              </w:rPr>
              <w:t xml:space="preserve"> HBeAg, hepatitis B e antigen; CHB, chronic hepatitis B; HBV, hepatitis B virus; AST, aspartate aminotransferase; ALT, alanine aminotransferase</w:t>
            </w:r>
          </w:p>
        </w:tc>
      </w:tr>
    </w:tbl>
    <w:p w:rsidR="00E579E0" w:rsidRPr="00050643" w:rsidRDefault="00E579E0" w:rsidP="00E579E0">
      <w:pPr>
        <w:rPr>
          <w:rFonts w:ascii="Times New Roman" w:hAnsi="Times New Roman" w:cs="Times New Roman"/>
        </w:rPr>
      </w:pPr>
    </w:p>
    <w:p w:rsidR="00E579E0" w:rsidRDefault="00E579E0" w:rsidP="00E579E0">
      <w:pPr>
        <w:rPr>
          <w:rFonts w:ascii="Times New Roman" w:hAnsi="Times New Roman" w:cs="Times New Roman"/>
        </w:rPr>
      </w:pPr>
    </w:p>
    <w:p w:rsidR="00E579E0" w:rsidRPr="00050643" w:rsidRDefault="00E579E0" w:rsidP="00E579E0">
      <w:pPr>
        <w:rPr>
          <w:rFonts w:ascii="Times New Roman" w:hAnsi="Times New Roman" w:cs="Times New Roman"/>
        </w:rPr>
        <w:sectPr w:rsidR="00E579E0" w:rsidRPr="0005064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89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0"/>
        <w:gridCol w:w="1899"/>
        <w:gridCol w:w="2073"/>
        <w:gridCol w:w="1905"/>
      </w:tblGrid>
      <w:tr w:rsidR="00E579E0" w:rsidRPr="00C74969" w:rsidTr="00821A9A">
        <w:trPr>
          <w:trHeight w:val="320"/>
        </w:trPr>
        <w:tc>
          <w:tcPr>
            <w:tcW w:w="89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lastRenderedPageBreak/>
              <w:t>Supplementary t</w:t>
            </w:r>
            <w:r w:rsidRPr="00C74969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 xml:space="preserve">able 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2</w:t>
            </w:r>
            <w:r w:rsidRPr="00C74969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 xml:space="preserve">. </w:t>
            </w:r>
            <w:r w:rsidRPr="006117B5">
              <w:rPr>
                <w:rFonts w:ascii="Times New Roman" w:hAnsi="Times New Roman" w:cs="Times New Roman"/>
                <w:b/>
                <w:sz w:val="22"/>
              </w:rPr>
              <w:t xml:space="preserve">Comparison of </w:t>
            </w:r>
            <w:r w:rsidRPr="006117B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seline characteristics between patients with HCC and those without</w:t>
            </w:r>
          </w:p>
        </w:tc>
      </w:tr>
      <w:tr w:rsidR="00E579E0" w:rsidRPr="006117B5" w:rsidTr="00821A9A">
        <w:trPr>
          <w:trHeight w:val="899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891EC7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Variables</w:t>
            </w:r>
            <w:r w:rsidRPr="00C74969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Patients with HCC (N=89</w:t>
            </w:r>
            <w:r w:rsidRPr="00C74969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 xml:space="preserve">Patients without HCC </w:t>
            </w:r>
            <w:r w:rsidRPr="00C74969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(N=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1721</w:t>
            </w:r>
            <w:r w:rsidRPr="00C74969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C74969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p-value</w:t>
            </w:r>
            <w:r w:rsidRPr="00C74969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Age</w:t>
            </w: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 years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56.9 ± 9.3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52.1 ± 11.5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Male, no. (%)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74 (83.1)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1011 (58.7)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Diabetes, no. (%)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21 (23.6)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280 (16.3)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0.070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Hypertension, no. (%)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41 (46.1)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362  (21.0)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Liver cirrhosis, no. (%)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43 (48.3)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496 (28.8)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HBeAg positivity, no. (%)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Gulim" w:hAnsi="Times New Roman" w:cs="Times New Roman"/>
                <w:color w:val="010205"/>
                <w:kern w:val="0"/>
                <w:sz w:val="22"/>
              </w:rPr>
              <w:t>35 (39.3)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Gulim" w:hAnsi="Times New Roman" w:cs="Times New Roman"/>
                <w:color w:val="010205"/>
                <w:kern w:val="0"/>
                <w:sz w:val="22"/>
              </w:rPr>
              <w:t>650 (</w:t>
            </w:r>
            <w:r w:rsidRPr="00AB24A7">
              <w:rPr>
                <w:rFonts w:ascii="Times New Roman" w:eastAsia="Gulim" w:hAnsi="Times New Roman" w:cs="Times New Roman"/>
                <w:color w:val="010205"/>
                <w:kern w:val="0"/>
                <w:sz w:val="22"/>
              </w:rPr>
              <w:t>37.8</w:t>
            </w:r>
            <w:r w:rsidRPr="00666C0D">
              <w:rPr>
                <w:rFonts w:ascii="Times New Roman" w:eastAsia="Gulim" w:hAnsi="Times New Roman" w:cs="Times New Roman"/>
                <w:color w:val="010205"/>
                <w:kern w:val="0"/>
                <w:sz w:val="22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0.768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AST</w:t>
            </w: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 IU/mL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70.6 ± 98.9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76.7 ± 133.3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0.671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ALT</w:t>
            </w: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 IU/mL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Gulim" w:hAnsi="Times New Roman" w:cs="Times New Roman"/>
                <w:color w:val="010205"/>
                <w:kern w:val="0"/>
                <w:sz w:val="22"/>
              </w:rPr>
              <w:t xml:space="preserve">66.1 </w:t>
            </w:r>
            <w:r w:rsidRPr="00666C0D">
              <w:rPr>
                <w:rFonts w:ascii="Times New Roman" w:eastAsia="Malgun Gothic" w:hAnsi="Times New Roman" w:cs="Times New Roman"/>
                <w:color w:val="010205"/>
                <w:kern w:val="0"/>
                <w:sz w:val="22"/>
              </w:rPr>
              <w:t>±</w:t>
            </w:r>
            <w:r w:rsidRPr="00666C0D">
              <w:rPr>
                <w:rFonts w:ascii="Times New Roman" w:eastAsia="Gulim" w:hAnsi="Times New Roman" w:cs="Times New Roman"/>
                <w:color w:val="010205"/>
                <w:kern w:val="0"/>
                <w:sz w:val="22"/>
              </w:rPr>
              <w:t xml:space="preserve"> 78.2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85.3 ±168.9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0.286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</w:t>
            </w: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otal bilirubin, </w:t>
            </w:r>
            <w:r w:rsidRPr="006117B5">
              <w:rPr>
                <w:rFonts w:ascii="Times New Roman" w:hAnsi="Times New Roman" w:cs="Times New Roman"/>
                <w:sz w:val="22"/>
              </w:rPr>
              <w:t>mg/dL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0.95 ± 0.48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1.10 ± 1.92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0.445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Albumin</w:t>
            </w: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 g/dL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3.96 ± 0.49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4.05 ±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0.139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Platelet</w:t>
            </w: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count, </w:t>
            </w:r>
            <w:r w:rsidRPr="006117B5"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6117B5">
              <w:rPr>
                <w:rFonts w:ascii="Times New Roman" w:hAnsi="Times New Roman" w:cs="Times New Roman"/>
                <w:sz w:val="22"/>
              </w:rPr>
              <w:t> 10</w:t>
            </w:r>
            <w:r w:rsidRPr="006117B5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6117B5">
              <w:rPr>
                <w:rFonts w:ascii="Times New Roman" w:hAnsi="Times New Roman" w:cs="Times New Roman"/>
                <w:sz w:val="22"/>
              </w:rPr>
              <w:t>/</w:t>
            </w:r>
            <w:r w:rsidRPr="006117B5">
              <w:rPr>
                <w:rFonts w:ascii="Times New Roman" w:eastAsia="HYSinMyeongJo-Medium" w:hAnsi="Times New Roman" w:cs="Times New Roman"/>
                <w:sz w:val="22"/>
              </w:rPr>
              <w:sym w:font="Symbol" w:char="F06D"/>
            </w:r>
            <w:r w:rsidRPr="006117B5">
              <w:rPr>
                <w:rFonts w:ascii="Times New Roman" w:eastAsia="HYSinMyeongJo-Medium" w:hAnsi="Times New Roman" w:cs="Times New Roman"/>
                <w:sz w:val="22"/>
              </w:rPr>
              <w:t>L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137 ± 62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181 ±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66C0D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&lt;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0.001</w:t>
            </w:r>
          </w:p>
        </w:tc>
      </w:tr>
      <w:tr w:rsidR="00E579E0" w:rsidRPr="00C74969" w:rsidTr="00821A9A">
        <w:trPr>
          <w:trHeight w:val="320"/>
        </w:trPr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TAF group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10 (11.2)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79E0" w:rsidRPr="00666C0D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275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(16.0)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79E0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0.231</w:t>
            </w:r>
          </w:p>
        </w:tc>
      </w:tr>
      <w:tr w:rsidR="00E579E0" w:rsidRPr="00C74969" w:rsidTr="00821A9A">
        <w:trPr>
          <w:trHeight w:val="320"/>
        </w:trPr>
        <w:tc>
          <w:tcPr>
            <w:tcW w:w="898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E0" w:rsidRPr="00C74969" w:rsidRDefault="00E579E0" w:rsidP="00821A9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Data were reported as mean</w:t>
            </w:r>
            <w:r w:rsidRPr="004D3CB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±</w:t>
            </w:r>
            <w:r w:rsidRPr="004D3CB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standard deviation 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or</w:t>
            </w: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n</w:t>
            </w:r>
            <w:r w:rsidRPr="004D3CB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o. </w:t>
            </w: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(%).</w:t>
            </w: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br/>
            </w:r>
            <w:r w:rsidRPr="0005784D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Abbreviations</w:t>
            </w:r>
            <w:r w:rsidRPr="006117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: ETV, entecavir; TAF, </w:t>
            </w:r>
            <w:r w:rsidRPr="006117B5">
              <w:rPr>
                <w:rFonts w:ascii="Times New Roman" w:eastAsia="GuardianTextEgypGR-Regular" w:hAnsi="Times New Roman" w:cs="Times New Roman"/>
                <w:sz w:val="22"/>
              </w:rPr>
              <w:t>tenofovir alafenamie; HBeAg, hepatitis B e antigen; AST, aspartate aminotransferase; ALT, alanine aminotransferase</w:t>
            </w:r>
            <w:r w:rsidRPr="00C74969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E579E0" w:rsidRPr="00B33912" w:rsidRDefault="00E579E0" w:rsidP="00E579E0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579E0" w:rsidRPr="00B33912" w:rsidRDefault="00E579E0" w:rsidP="00E579E0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579E0" w:rsidRPr="00B33912" w:rsidRDefault="00E579E0" w:rsidP="00E579E0">
      <w:pPr>
        <w:wordWrap/>
        <w:adjustRightInd w:val="0"/>
        <w:spacing w:after="0"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56072" w:rsidRDefault="00D56072">
      <w:bookmarkStart w:id="0" w:name="_GoBack"/>
      <w:bookmarkEnd w:id="0"/>
    </w:p>
    <w:sectPr w:rsidR="00D5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SinMyeongJo-Medium">
    <w:altName w:val="Malgun Gothic"/>
    <w:charset w:val="81"/>
    <w:family w:val="roman"/>
    <w:pitch w:val="variable"/>
    <w:sig w:usb0="900002A7" w:usb1="29D77CF9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ardianTextEgypGR-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E0"/>
    <w:rsid w:val="00D56072"/>
    <w:rsid w:val="00E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6460-78F4-4AF4-AFA9-7ED2AF7A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E0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1343</Characters>
  <Application>Microsoft Office Word</Application>
  <DocSecurity>0</DocSecurity>
  <Lines>11</Lines>
  <Paragraphs>3</Paragraphs>
  <ScaleCrop>false</ScaleCrop>
  <Company>Springer Nature IT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2021-05-07T06:51:00Z</dcterms:created>
  <dcterms:modified xsi:type="dcterms:W3CDTF">2021-05-07T06:51:00Z</dcterms:modified>
</cp:coreProperties>
</file>