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B332" w14:textId="0CFD2EE6" w:rsidR="006E5825" w:rsidRDefault="006E5825" w:rsidP="00FD3937">
      <w:pPr>
        <w:spacing w:line="360" w:lineRule="auto"/>
      </w:pPr>
      <w:r>
        <w:rPr>
          <w:rFonts w:hint="eastAsia"/>
        </w:rPr>
        <w:t>S</w:t>
      </w:r>
      <w:r>
        <w:t>upplementary Material 3. The sub-module of protein-protein interaction network and the enrichment analysis of Module 3</w:t>
      </w:r>
    </w:p>
    <w:p w14:paraId="21CCF9ED" w14:textId="40E08966" w:rsidR="00FD3937" w:rsidRDefault="006E5825" w:rsidP="00FD3937">
      <w:pPr>
        <w:spacing w:line="360" w:lineRule="auto"/>
      </w:pPr>
      <w:r>
        <w:rPr>
          <w:rFonts w:hint="eastAsia"/>
        </w:rPr>
        <w:t>(</w:t>
      </w:r>
      <w:r>
        <w:t>a)</w:t>
      </w:r>
      <w:r w:rsidR="00FD3937">
        <w:t xml:space="preserve"> The sub-module from protein-protein interaction network</w:t>
      </w:r>
    </w:p>
    <w:p w14:paraId="66EB1629" w14:textId="6BD4E3E5" w:rsidR="00FD3937" w:rsidRDefault="006E5825" w:rsidP="00FD3937">
      <w:pPr>
        <w:spacing w:line="360" w:lineRule="auto"/>
      </w:pPr>
      <w:r>
        <w:rPr>
          <w:noProof/>
        </w:rPr>
        <w:drawing>
          <wp:inline distT="0" distB="0" distL="0" distR="0" wp14:anchorId="02CEF7CB" wp14:editId="01DCBD24">
            <wp:extent cx="8863330" cy="32156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35F30" w14:textId="343C1DFD" w:rsidR="00D353FF" w:rsidRDefault="006E5825" w:rsidP="00957FFA">
      <w:pPr>
        <w:spacing w:line="360" w:lineRule="auto"/>
      </w:pPr>
      <w:r>
        <w:rPr>
          <w:rFonts w:hint="eastAsia"/>
        </w:rPr>
        <w:t>(</w:t>
      </w:r>
      <w:r>
        <w:t>b)</w:t>
      </w:r>
      <w:r w:rsidR="00957FFA">
        <w:t xml:space="preserve"> </w:t>
      </w:r>
      <w:r w:rsidR="00F132C1" w:rsidRPr="00F132C1">
        <w:t xml:space="preserve">The detail information of Module 3 enrichment analysis </w:t>
      </w:r>
      <w:r w:rsidR="002766E6">
        <w:t>of APA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4536"/>
        <w:gridCol w:w="850"/>
        <w:gridCol w:w="1418"/>
        <w:gridCol w:w="3893"/>
      </w:tblGrid>
      <w:tr w:rsidR="00F132C1" w:rsidRPr="00F132C1" w14:paraId="5618C6E5" w14:textId="77777777" w:rsidTr="00F132C1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FD48D0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DF040B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Analysis type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AAE17A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Process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98EA1A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Count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59A6C2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P-value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5F4CFA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Genes</w:t>
            </w:r>
          </w:p>
        </w:tc>
      </w:tr>
      <w:tr w:rsidR="00F132C1" w:rsidRPr="00F132C1" w14:paraId="27EDB6EB" w14:textId="77777777" w:rsidTr="00F132C1">
        <w:trPr>
          <w:trHeight w:val="278"/>
        </w:trPr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F932240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hsa04020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A95A9AC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KEGG Pathway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14:paraId="7A9AFCB4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Calcium signaling pathway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26DD81B3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AC570B1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7.60X10-8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noWrap/>
            <w:hideMark/>
          </w:tcPr>
          <w:p w14:paraId="238106C7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PTGFR, CCKBR, HTR2B, TACR1</w:t>
            </w:r>
          </w:p>
        </w:tc>
      </w:tr>
      <w:tr w:rsidR="00F132C1" w:rsidRPr="00F132C1" w14:paraId="3AFC1669" w14:textId="77777777" w:rsidTr="00F132C1">
        <w:trPr>
          <w:trHeight w:val="278"/>
        </w:trPr>
        <w:tc>
          <w:tcPr>
            <w:tcW w:w="1560" w:type="dxa"/>
            <w:noWrap/>
            <w:hideMark/>
          </w:tcPr>
          <w:p w14:paraId="658F18CE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hsa04080</w:t>
            </w:r>
          </w:p>
        </w:tc>
        <w:tc>
          <w:tcPr>
            <w:tcW w:w="1701" w:type="dxa"/>
            <w:noWrap/>
            <w:hideMark/>
          </w:tcPr>
          <w:p w14:paraId="3DB782F5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KEGG Pathway</w:t>
            </w:r>
          </w:p>
        </w:tc>
        <w:tc>
          <w:tcPr>
            <w:tcW w:w="4536" w:type="dxa"/>
            <w:noWrap/>
            <w:hideMark/>
          </w:tcPr>
          <w:p w14:paraId="4427CEF7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Neuroactive ligand-receptor interaction</w:t>
            </w:r>
          </w:p>
        </w:tc>
        <w:tc>
          <w:tcPr>
            <w:tcW w:w="850" w:type="dxa"/>
            <w:noWrap/>
            <w:hideMark/>
          </w:tcPr>
          <w:p w14:paraId="463BAB07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7A1D0873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6.89X10-7</w:t>
            </w:r>
          </w:p>
        </w:tc>
        <w:tc>
          <w:tcPr>
            <w:tcW w:w="3893" w:type="dxa"/>
            <w:noWrap/>
            <w:hideMark/>
          </w:tcPr>
          <w:p w14:paraId="46DA2CF9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PTGFR, CCKBR, HTR2B, TACR1</w:t>
            </w:r>
          </w:p>
        </w:tc>
      </w:tr>
      <w:tr w:rsidR="00F132C1" w:rsidRPr="00F132C1" w14:paraId="30166976" w14:textId="77777777" w:rsidTr="00F132C1">
        <w:trPr>
          <w:trHeight w:val="278"/>
        </w:trPr>
        <w:tc>
          <w:tcPr>
            <w:tcW w:w="1560" w:type="dxa"/>
            <w:noWrap/>
            <w:hideMark/>
          </w:tcPr>
          <w:p w14:paraId="73F49EB2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lastRenderedPageBreak/>
              <w:t>hsa05166</w:t>
            </w:r>
          </w:p>
        </w:tc>
        <w:tc>
          <w:tcPr>
            <w:tcW w:w="1701" w:type="dxa"/>
            <w:noWrap/>
            <w:hideMark/>
          </w:tcPr>
          <w:p w14:paraId="0A7909BB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KEGG Pathway</w:t>
            </w:r>
          </w:p>
        </w:tc>
        <w:tc>
          <w:tcPr>
            <w:tcW w:w="4536" w:type="dxa"/>
            <w:noWrap/>
            <w:hideMark/>
          </w:tcPr>
          <w:p w14:paraId="6076F02C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Human T-cell leukemia virus 1 infection</w:t>
            </w:r>
          </w:p>
        </w:tc>
        <w:tc>
          <w:tcPr>
            <w:tcW w:w="850" w:type="dxa"/>
            <w:noWrap/>
            <w:hideMark/>
          </w:tcPr>
          <w:p w14:paraId="4DE8AC63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722A3B16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1.46X10-5</w:t>
            </w:r>
          </w:p>
        </w:tc>
        <w:tc>
          <w:tcPr>
            <w:tcW w:w="3893" w:type="dxa"/>
            <w:noWrap/>
            <w:hideMark/>
          </w:tcPr>
          <w:p w14:paraId="5929B520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FOS, ETS2, JUN</w:t>
            </w:r>
          </w:p>
        </w:tc>
      </w:tr>
      <w:tr w:rsidR="00F132C1" w:rsidRPr="00F132C1" w14:paraId="3A585318" w14:textId="77777777" w:rsidTr="00F132C1">
        <w:trPr>
          <w:trHeight w:val="278"/>
        </w:trPr>
        <w:tc>
          <w:tcPr>
            <w:tcW w:w="1560" w:type="dxa"/>
            <w:noWrap/>
            <w:hideMark/>
          </w:tcPr>
          <w:p w14:paraId="66D8AFBA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GO: 0045893</w:t>
            </w:r>
          </w:p>
        </w:tc>
        <w:tc>
          <w:tcPr>
            <w:tcW w:w="1701" w:type="dxa"/>
            <w:noWrap/>
            <w:hideMark/>
          </w:tcPr>
          <w:p w14:paraId="21DA66F0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Gene Ontology</w:t>
            </w:r>
          </w:p>
        </w:tc>
        <w:tc>
          <w:tcPr>
            <w:tcW w:w="4536" w:type="dxa"/>
            <w:noWrap/>
            <w:hideMark/>
          </w:tcPr>
          <w:p w14:paraId="52ABBC09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positive regulation of transcription, DNA-templated</w:t>
            </w:r>
          </w:p>
        </w:tc>
        <w:tc>
          <w:tcPr>
            <w:tcW w:w="850" w:type="dxa"/>
            <w:noWrap/>
            <w:hideMark/>
          </w:tcPr>
          <w:p w14:paraId="21597D9D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0134A96F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7.04X10-8</w:t>
            </w:r>
          </w:p>
        </w:tc>
        <w:tc>
          <w:tcPr>
            <w:tcW w:w="3893" w:type="dxa"/>
            <w:noWrap/>
            <w:hideMark/>
          </w:tcPr>
          <w:p w14:paraId="5C54C00B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NFYA, FOS, MYB, ETS2, JUN</w:t>
            </w:r>
          </w:p>
        </w:tc>
      </w:tr>
      <w:tr w:rsidR="00F132C1" w:rsidRPr="00F132C1" w14:paraId="7A03E4D4" w14:textId="77777777" w:rsidTr="00F132C1">
        <w:trPr>
          <w:trHeight w:val="278"/>
        </w:trPr>
        <w:tc>
          <w:tcPr>
            <w:tcW w:w="1560" w:type="dxa"/>
            <w:noWrap/>
            <w:hideMark/>
          </w:tcPr>
          <w:p w14:paraId="697890A4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GO: 0007200</w:t>
            </w:r>
          </w:p>
        </w:tc>
        <w:tc>
          <w:tcPr>
            <w:tcW w:w="1701" w:type="dxa"/>
            <w:noWrap/>
            <w:hideMark/>
          </w:tcPr>
          <w:p w14:paraId="5151C403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Gene Ontology</w:t>
            </w:r>
          </w:p>
        </w:tc>
        <w:tc>
          <w:tcPr>
            <w:tcW w:w="4536" w:type="dxa"/>
            <w:noWrap/>
            <w:hideMark/>
          </w:tcPr>
          <w:p w14:paraId="48D97829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phospholipase C-activating G protein-coupled receptor signaling pathway</w:t>
            </w:r>
          </w:p>
        </w:tc>
        <w:tc>
          <w:tcPr>
            <w:tcW w:w="850" w:type="dxa"/>
            <w:noWrap/>
            <w:hideMark/>
          </w:tcPr>
          <w:p w14:paraId="59E3AB43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0E2E1889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3.29X10-7</w:t>
            </w:r>
          </w:p>
        </w:tc>
        <w:tc>
          <w:tcPr>
            <w:tcW w:w="3893" w:type="dxa"/>
            <w:noWrap/>
            <w:hideMark/>
          </w:tcPr>
          <w:p w14:paraId="19700887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HTR2B, CCKBR, TACR1</w:t>
            </w:r>
          </w:p>
        </w:tc>
      </w:tr>
      <w:tr w:rsidR="00F132C1" w:rsidRPr="00F132C1" w14:paraId="589046C9" w14:textId="77777777" w:rsidTr="00F132C1">
        <w:trPr>
          <w:trHeight w:val="278"/>
        </w:trPr>
        <w:tc>
          <w:tcPr>
            <w:tcW w:w="1560" w:type="dxa"/>
            <w:noWrap/>
            <w:hideMark/>
          </w:tcPr>
          <w:p w14:paraId="026E854B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GO: 0001228</w:t>
            </w:r>
          </w:p>
        </w:tc>
        <w:tc>
          <w:tcPr>
            <w:tcW w:w="1701" w:type="dxa"/>
            <w:noWrap/>
            <w:hideMark/>
          </w:tcPr>
          <w:p w14:paraId="64FC2D7D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Gene Ontology</w:t>
            </w:r>
          </w:p>
        </w:tc>
        <w:tc>
          <w:tcPr>
            <w:tcW w:w="4536" w:type="dxa"/>
            <w:noWrap/>
            <w:hideMark/>
          </w:tcPr>
          <w:p w14:paraId="396A0ACD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DNA-binding transcription activator activity, RNA polymerase II-specific</w:t>
            </w:r>
          </w:p>
        </w:tc>
        <w:tc>
          <w:tcPr>
            <w:tcW w:w="850" w:type="dxa"/>
            <w:noWrap/>
            <w:hideMark/>
          </w:tcPr>
          <w:p w14:paraId="342D24A7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42E3EDC3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2.44X10-6</w:t>
            </w:r>
          </w:p>
        </w:tc>
        <w:tc>
          <w:tcPr>
            <w:tcW w:w="3893" w:type="dxa"/>
            <w:noWrap/>
            <w:hideMark/>
          </w:tcPr>
          <w:p w14:paraId="3D253C8A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NFYA, FOS, MYB, JUN</w:t>
            </w:r>
          </w:p>
        </w:tc>
      </w:tr>
      <w:tr w:rsidR="00F132C1" w:rsidRPr="00F132C1" w14:paraId="58B06F41" w14:textId="77777777" w:rsidTr="00F132C1">
        <w:trPr>
          <w:trHeight w:val="278"/>
        </w:trPr>
        <w:tc>
          <w:tcPr>
            <w:tcW w:w="1560" w:type="dxa"/>
            <w:noWrap/>
            <w:hideMark/>
          </w:tcPr>
          <w:p w14:paraId="31F85FE4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GO: 0007204</w:t>
            </w:r>
          </w:p>
        </w:tc>
        <w:tc>
          <w:tcPr>
            <w:tcW w:w="1701" w:type="dxa"/>
            <w:noWrap/>
            <w:hideMark/>
          </w:tcPr>
          <w:p w14:paraId="208383A0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Gene Ontology</w:t>
            </w:r>
          </w:p>
        </w:tc>
        <w:tc>
          <w:tcPr>
            <w:tcW w:w="4536" w:type="dxa"/>
            <w:noWrap/>
            <w:hideMark/>
          </w:tcPr>
          <w:p w14:paraId="705D43C6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positive regulation of cytosolic calcium ion concentration</w:t>
            </w:r>
          </w:p>
        </w:tc>
        <w:tc>
          <w:tcPr>
            <w:tcW w:w="850" w:type="dxa"/>
            <w:noWrap/>
            <w:hideMark/>
          </w:tcPr>
          <w:p w14:paraId="44FDFB0A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5E948F10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1.45X10-6</w:t>
            </w:r>
          </w:p>
        </w:tc>
        <w:tc>
          <w:tcPr>
            <w:tcW w:w="3893" w:type="dxa"/>
            <w:noWrap/>
            <w:hideMark/>
          </w:tcPr>
          <w:p w14:paraId="04415041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PTGFR, CCKBR, TACR1</w:t>
            </w:r>
          </w:p>
        </w:tc>
      </w:tr>
      <w:tr w:rsidR="00F132C1" w:rsidRPr="00F132C1" w14:paraId="0A2E1999" w14:textId="77777777" w:rsidTr="00F132C1">
        <w:trPr>
          <w:trHeight w:val="278"/>
        </w:trPr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03A8FFD0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GO: 0035994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56A70F5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Gene Ontology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hideMark/>
          </w:tcPr>
          <w:p w14:paraId="5F7C28CA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response to muscle stretch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3935B9A8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D202790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6.34X10-6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noWrap/>
            <w:hideMark/>
          </w:tcPr>
          <w:p w14:paraId="359AAEBB" w14:textId="77777777" w:rsidR="00F132C1" w:rsidRPr="00F132C1" w:rsidRDefault="00F132C1" w:rsidP="00F132C1">
            <w:pPr>
              <w:spacing w:line="360" w:lineRule="auto"/>
              <w:rPr>
                <w:sz w:val="22"/>
              </w:rPr>
            </w:pPr>
            <w:r w:rsidRPr="00F132C1">
              <w:rPr>
                <w:rFonts w:hint="eastAsia"/>
                <w:sz w:val="22"/>
              </w:rPr>
              <w:t>FOS, JUN</w:t>
            </w:r>
          </w:p>
        </w:tc>
      </w:tr>
    </w:tbl>
    <w:p w14:paraId="1FDF2D21" w14:textId="2AAE4213" w:rsidR="00957FFA" w:rsidRDefault="002766E6" w:rsidP="00957FFA">
      <w:pPr>
        <w:spacing w:line="360" w:lineRule="auto"/>
      </w:pPr>
      <w:r>
        <w:t xml:space="preserve">APA: </w:t>
      </w:r>
      <w:r w:rsidRPr="002766E6">
        <w:t>aldosterone-producing adenoma</w:t>
      </w:r>
    </w:p>
    <w:sectPr w:rsidR="00957FFA" w:rsidSect="002766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40AF" w14:textId="77777777" w:rsidR="003B3CB1" w:rsidRDefault="003B3CB1" w:rsidP="00957FFA">
      <w:r>
        <w:separator/>
      </w:r>
    </w:p>
  </w:endnote>
  <w:endnote w:type="continuationSeparator" w:id="0">
    <w:p w14:paraId="7B232A08" w14:textId="77777777" w:rsidR="003B3CB1" w:rsidRDefault="003B3CB1" w:rsidP="009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A8DF" w14:textId="77777777" w:rsidR="003B3CB1" w:rsidRDefault="003B3CB1" w:rsidP="00957FFA">
      <w:r>
        <w:separator/>
      </w:r>
    </w:p>
  </w:footnote>
  <w:footnote w:type="continuationSeparator" w:id="0">
    <w:p w14:paraId="190972F0" w14:textId="77777777" w:rsidR="003B3CB1" w:rsidRDefault="003B3CB1" w:rsidP="0095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11"/>
    <w:rsid w:val="00142080"/>
    <w:rsid w:val="002766E6"/>
    <w:rsid w:val="003B3CB1"/>
    <w:rsid w:val="00656096"/>
    <w:rsid w:val="006E5825"/>
    <w:rsid w:val="006E7017"/>
    <w:rsid w:val="00831893"/>
    <w:rsid w:val="00957FFA"/>
    <w:rsid w:val="0097186B"/>
    <w:rsid w:val="009E49B5"/>
    <w:rsid w:val="00A62F2B"/>
    <w:rsid w:val="00B61283"/>
    <w:rsid w:val="00D004F1"/>
    <w:rsid w:val="00D353FF"/>
    <w:rsid w:val="00D74611"/>
    <w:rsid w:val="00E25FE8"/>
    <w:rsid w:val="00F132C1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FBBE6"/>
  <w15:chartTrackingRefBased/>
  <w15:docId w15:val="{8F1FC202-53FC-4EFC-9072-BB715C9F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F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FFA"/>
    <w:rPr>
      <w:sz w:val="18"/>
      <w:szCs w:val="18"/>
    </w:rPr>
  </w:style>
  <w:style w:type="table" w:styleId="a7">
    <w:name w:val="Table Grid"/>
    <w:basedOn w:val="a1"/>
    <w:uiPriority w:val="39"/>
    <w:rsid w:val="0095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寅洁</dc:creator>
  <cp:keywords/>
  <dc:description/>
  <cp:lastModifiedBy>高 寅洁</cp:lastModifiedBy>
  <cp:revision>10</cp:revision>
  <dcterms:created xsi:type="dcterms:W3CDTF">2021-03-07T05:20:00Z</dcterms:created>
  <dcterms:modified xsi:type="dcterms:W3CDTF">2021-04-25T02:39:00Z</dcterms:modified>
</cp:coreProperties>
</file>