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5F" w:rsidRDefault="00DF5A5F" w:rsidP="00DF5A5F">
      <w:pPr>
        <w:spacing w:after="0"/>
        <w:jc w:val="left"/>
      </w:pPr>
      <w:r>
        <w:t>Enclosure</w:t>
      </w:r>
    </w:p>
    <w:p w:rsidR="00DF5A5F" w:rsidRDefault="00DF5A5F" w:rsidP="00DF5A5F">
      <w:pPr>
        <w:jc w:val="left"/>
        <w:rPr>
          <w:rFonts w:hAnsi="Times New Roman"/>
          <w:color w:val="000000" w:themeColor="text1"/>
          <w:kern w:val="0"/>
          <w:sz w:val="20"/>
          <w:szCs w:val="21"/>
        </w:rPr>
      </w:pPr>
      <w:r>
        <w:t xml:space="preserve">Table 1 </w:t>
      </w:r>
      <w:r>
        <w:rPr>
          <w:rFonts w:hAnsi="Times New Roman"/>
          <w:color w:val="000000" w:themeColor="text1"/>
          <w:kern w:val="0"/>
          <w:sz w:val="20"/>
          <w:szCs w:val="21"/>
        </w:rPr>
        <w:t>Distribution of the time from the onset of disease to the beginning of taking Traditional Chinese medicine in patients with different outcomes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1455"/>
        <w:gridCol w:w="1523"/>
        <w:gridCol w:w="1523"/>
        <w:gridCol w:w="1523"/>
        <w:gridCol w:w="1312"/>
        <w:gridCol w:w="997"/>
      </w:tblGrid>
      <w:tr w:rsidR="00DF5A5F" w:rsidTr="0031461B">
        <w:tc>
          <w:tcPr>
            <w:tcW w:w="516"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Outcome</w:t>
            </w:r>
          </w:p>
        </w:tc>
        <w:tc>
          <w:tcPr>
            <w:tcW w:w="783"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&lt;14 days n(%)</w:t>
            </w:r>
          </w:p>
        </w:tc>
        <w:tc>
          <w:tcPr>
            <w:tcW w:w="819" w:type="pct"/>
            <w:tcBorders>
              <w:bottom w:val="single" w:sz="4" w:space="0" w:color="auto"/>
            </w:tcBorders>
          </w:tcPr>
          <w:p w:rsidR="00DF5A5F" w:rsidRDefault="00DF5A5F" w:rsidP="0031461B">
            <w:pPr>
              <w:widowControl/>
              <w:spacing w:after="0"/>
              <w:rPr>
                <w:color w:val="000000" w:themeColor="text1"/>
                <w:kern w:val="0"/>
                <w:sz w:val="20"/>
                <w:szCs w:val="21"/>
              </w:rPr>
            </w:pPr>
            <w:r>
              <w:rPr>
                <w:color w:val="000000" w:themeColor="text1"/>
                <w:kern w:val="0"/>
                <w:sz w:val="20"/>
                <w:szCs w:val="21"/>
              </w:rPr>
              <w:t>14-28 days n(%)</w:t>
            </w:r>
          </w:p>
        </w:tc>
        <w:tc>
          <w:tcPr>
            <w:tcW w:w="819" w:type="pct"/>
            <w:tcBorders>
              <w:bottom w:val="single" w:sz="4" w:space="0" w:color="auto"/>
            </w:tcBorders>
          </w:tcPr>
          <w:p w:rsidR="00DF5A5F" w:rsidRDefault="00DF5A5F" w:rsidP="0031461B">
            <w:pPr>
              <w:widowControl/>
              <w:spacing w:after="0"/>
              <w:rPr>
                <w:color w:val="000000" w:themeColor="text1"/>
                <w:kern w:val="0"/>
                <w:sz w:val="20"/>
                <w:szCs w:val="21"/>
              </w:rPr>
            </w:pPr>
            <w:r>
              <w:rPr>
                <w:color w:val="000000" w:themeColor="text1"/>
                <w:kern w:val="0"/>
                <w:sz w:val="20"/>
                <w:szCs w:val="21"/>
              </w:rPr>
              <w:t>28-42 days n(%)</w:t>
            </w:r>
          </w:p>
        </w:tc>
        <w:tc>
          <w:tcPr>
            <w:tcW w:w="819"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≥42 days n(%)</w:t>
            </w:r>
          </w:p>
        </w:tc>
        <w:tc>
          <w:tcPr>
            <w:tcW w:w="706"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Chi square</w:t>
            </w:r>
          </w:p>
        </w:tc>
        <w:tc>
          <w:tcPr>
            <w:tcW w:w="538"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P</w:t>
            </w:r>
          </w:p>
        </w:tc>
      </w:tr>
      <w:tr w:rsidR="00DF5A5F" w:rsidTr="0031461B">
        <w:tc>
          <w:tcPr>
            <w:tcW w:w="516" w:type="pct"/>
            <w:tcBorders>
              <w:top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Death</w:t>
            </w:r>
          </w:p>
        </w:tc>
        <w:tc>
          <w:tcPr>
            <w:tcW w:w="783" w:type="pct"/>
            <w:tcBorders>
              <w:top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1(0.6)</w:t>
            </w:r>
          </w:p>
        </w:tc>
        <w:tc>
          <w:tcPr>
            <w:tcW w:w="819" w:type="pct"/>
            <w:tcBorders>
              <w:top w:val="single" w:sz="4" w:space="0" w:color="auto"/>
            </w:tcBorders>
          </w:tcPr>
          <w:p w:rsidR="00DF5A5F" w:rsidRDefault="00DF5A5F" w:rsidP="0031461B">
            <w:pPr>
              <w:widowControl/>
              <w:spacing w:after="0"/>
              <w:rPr>
                <w:color w:val="000000" w:themeColor="text1"/>
                <w:kern w:val="0"/>
                <w:sz w:val="20"/>
                <w:szCs w:val="21"/>
              </w:rPr>
            </w:pPr>
            <w:r>
              <w:rPr>
                <w:color w:val="000000" w:themeColor="text1"/>
                <w:kern w:val="0"/>
                <w:sz w:val="20"/>
                <w:szCs w:val="21"/>
              </w:rPr>
              <w:t>7(0.8)</w:t>
            </w:r>
          </w:p>
        </w:tc>
        <w:tc>
          <w:tcPr>
            <w:tcW w:w="819" w:type="pct"/>
            <w:tcBorders>
              <w:top w:val="single" w:sz="4" w:space="0" w:color="auto"/>
            </w:tcBorders>
          </w:tcPr>
          <w:p w:rsidR="00DF5A5F" w:rsidRDefault="00DF5A5F" w:rsidP="0031461B">
            <w:pPr>
              <w:widowControl/>
              <w:spacing w:after="0"/>
              <w:rPr>
                <w:color w:val="000000" w:themeColor="text1"/>
                <w:kern w:val="0"/>
                <w:sz w:val="20"/>
                <w:szCs w:val="21"/>
              </w:rPr>
            </w:pPr>
            <w:r>
              <w:rPr>
                <w:color w:val="000000" w:themeColor="text1"/>
                <w:kern w:val="0"/>
                <w:sz w:val="20"/>
                <w:szCs w:val="21"/>
              </w:rPr>
              <w:t>1(0.1)</w:t>
            </w:r>
          </w:p>
        </w:tc>
        <w:tc>
          <w:tcPr>
            <w:tcW w:w="819" w:type="pct"/>
            <w:tcBorders>
              <w:top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5(1.7)</w:t>
            </w:r>
          </w:p>
        </w:tc>
        <w:tc>
          <w:tcPr>
            <w:tcW w:w="706" w:type="pct"/>
            <w:tcBorders>
              <w:top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w:t>
            </w:r>
          </w:p>
        </w:tc>
        <w:tc>
          <w:tcPr>
            <w:tcW w:w="538" w:type="pct"/>
            <w:tcBorders>
              <w:top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0.009*</w:t>
            </w:r>
          </w:p>
        </w:tc>
      </w:tr>
      <w:tr w:rsidR="00DF5A5F" w:rsidTr="0031461B">
        <w:tc>
          <w:tcPr>
            <w:tcW w:w="516"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Discharge</w:t>
            </w:r>
          </w:p>
        </w:tc>
        <w:tc>
          <w:tcPr>
            <w:tcW w:w="783"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161(99.4)</w:t>
            </w:r>
          </w:p>
        </w:tc>
        <w:tc>
          <w:tcPr>
            <w:tcW w:w="819" w:type="pct"/>
          </w:tcPr>
          <w:p w:rsidR="00DF5A5F" w:rsidRDefault="00DF5A5F" w:rsidP="0031461B">
            <w:pPr>
              <w:widowControl/>
              <w:spacing w:after="0"/>
              <w:rPr>
                <w:color w:val="000000" w:themeColor="text1"/>
                <w:kern w:val="0"/>
                <w:sz w:val="20"/>
                <w:szCs w:val="21"/>
              </w:rPr>
            </w:pPr>
            <w:r>
              <w:rPr>
                <w:color w:val="000000" w:themeColor="text1"/>
                <w:kern w:val="0"/>
                <w:sz w:val="20"/>
                <w:szCs w:val="21"/>
              </w:rPr>
              <w:t>823(99.2)</w:t>
            </w:r>
          </w:p>
        </w:tc>
        <w:tc>
          <w:tcPr>
            <w:tcW w:w="819" w:type="pct"/>
          </w:tcPr>
          <w:p w:rsidR="00DF5A5F" w:rsidRDefault="00DF5A5F" w:rsidP="0031461B">
            <w:pPr>
              <w:widowControl/>
              <w:spacing w:after="0"/>
              <w:rPr>
                <w:color w:val="000000" w:themeColor="text1"/>
                <w:kern w:val="0"/>
                <w:sz w:val="20"/>
                <w:szCs w:val="21"/>
              </w:rPr>
            </w:pPr>
            <w:r>
              <w:rPr>
                <w:color w:val="000000" w:themeColor="text1"/>
                <w:kern w:val="0"/>
                <w:sz w:val="20"/>
                <w:szCs w:val="21"/>
              </w:rPr>
              <w:t>928(99.9)</w:t>
            </w:r>
          </w:p>
        </w:tc>
        <w:tc>
          <w:tcPr>
            <w:tcW w:w="819"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284(98.3)</w:t>
            </w:r>
          </w:p>
        </w:tc>
        <w:tc>
          <w:tcPr>
            <w:tcW w:w="706" w:type="pct"/>
            <w:vAlign w:val="center"/>
          </w:tcPr>
          <w:p w:rsidR="00DF5A5F" w:rsidRDefault="00DF5A5F" w:rsidP="0031461B">
            <w:pPr>
              <w:widowControl/>
              <w:spacing w:after="0"/>
              <w:rPr>
                <w:color w:val="000000" w:themeColor="text1"/>
                <w:kern w:val="0"/>
                <w:sz w:val="20"/>
                <w:szCs w:val="21"/>
              </w:rPr>
            </w:pPr>
          </w:p>
        </w:tc>
        <w:tc>
          <w:tcPr>
            <w:tcW w:w="538" w:type="pct"/>
            <w:vAlign w:val="center"/>
          </w:tcPr>
          <w:p w:rsidR="00DF5A5F" w:rsidRDefault="00DF5A5F" w:rsidP="0031461B">
            <w:pPr>
              <w:widowControl/>
              <w:spacing w:after="0"/>
              <w:rPr>
                <w:color w:val="000000" w:themeColor="text1"/>
                <w:kern w:val="0"/>
                <w:sz w:val="20"/>
                <w:szCs w:val="21"/>
              </w:rPr>
            </w:pPr>
          </w:p>
        </w:tc>
      </w:tr>
    </w:tbl>
    <w:p w:rsidR="00DF5A5F" w:rsidRDefault="00DF5A5F" w:rsidP="00DF5A5F">
      <w:pPr>
        <w:widowControl/>
        <w:rPr>
          <w:rFonts w:hAnsi="Times New Roman"/>
          <w:color w:val="000000" w:themeColor="text1"/>
          <w:kern w:val="0"/>
          <w:sz w:val="20"/>
          <w:szCs w:val="21"/>
        </w:rPr>
      </w:pPr>
      <w:r>
        <w:rPr>
          <w:rFonts w:hAnsi="Times New Roman"/>
          <w:color w:val="000000" w:themeColor="text1"/>
          <w:kern w:val="0"/>
          <w:sz w:val="20"/>
          <w:szCs w:val="21"/>
        </w:rPr>
        <w:t>*Fisher</w:t>
      </w:r>
      <w:r>
        <w:rPr>
          <w:rFonts w:hAnsi="Times New Roman"/>
          <w:color w:val="000000" w:themeColor="text1"/>
          <w:kern w:val="0"/>
          <w:sz w:val="20"/>
          <w:szCs w:val="21"/>
        </w:rPr>
        <w:t>’</w:t>
      </w:r>
      <w:r>
        <w:rPr>
          <w:rFonts w:hAnsi="Times New Roman"/>
          <w:color w:val="000000" w:themeColor="text1"/>
          <w:kern w:val="0"/>
          <w:sz w:val="20"/>
          <w:szCs w:val="21"/>
        </w:rPr>
        <w:t>s exact probability</w:t>
      </w:r>
    </w:p>
    <w:p w:rsidR="00DF5A5F" w:rsidRDefault="00DF5A5F" w:rsidP="00DF5A5F">
      <w:pPr>
        <w:spacing w:after="0"/>
        <w:jc w:val="left"/>
      </w:pPr>
    </w:p>
    <w:p w:rsidR="00DF5A5F" w:rsidRDefault="00DF5A5F" w:rsidP="00DF5A5F">
      <w:pPr>
        <w:widowControl/>
        <w:rPr>
          <w:rFonts w:hAnsi="Times New Roman"/>
          <w:color w:val="000000" w:themeColor="text1"/>
          <w:kern w:val="0"/>
          <w:sz w:val="20"/>
          <w:szCs w:val="21"/>
        </w:rPr>
      </w:pPr>
      <w:r>
        <w:rPr>
          <w:rFonts w:hAnsi="Times New Roman"/>
          <w:color w:val="000000" w:themeColor="text1"/>
          <w:kern w:val="0"/>
          <w:sz w:val="20"/>
          <w:szCs w:val="21"/>
        </w:rPr>
        <w:t>Table 2 The actual time distribution of taking Traditional Chinese medicine in patients with different outcomes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1027"/>
        <w:gridCol w:w="1554"/>
        <w:gridCol w:w="1623"/>
        <w:gridCol w:w="1623"/>
        <w:gridCol w:w="1402"/>
        <w:gridCol w:w="1067"/>
      </w:tblGrid>
      <w:tr w:rsidR="00DF5A5F" w:rsidTr="0031461B">
        <w:tc>
          <w:tcPr>
            <w:tcW w:w="569"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Type</w:t>
            </w:r>
          </w:p>
        </w:tc>
        <w:tc>
          <w:tcPr>
            <w:tcW w:w="547"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Outcome</w:t>
            </w:r>
          </w:p>
        </w:tc>
        <w:tc>
          <w:tcPr>
            <w:tcW w:w="830"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&lt;7 days n (%)</w:t>
            </w:r>
          </w:p>
        </w:tc>
        <w:tc>
          <w:tcPr>
            <w:tcW w:w="867" w:type="pct"/>
            <w:tcBorders>
              <w:bottom w:val="single" w:sz="4" w:space="0" w:color="auto"/>
            </w:tcBorders>
          </w:tcPr>
          <w:p w:rsidR="00DF5A5F" w:rsidRDefault="00DF5A5F" w:rsidP="0031461B">
            <w:pPr>
              <w:widowControl/>
              <w:spacing w:after="0"/>
              <w:rPr>
                <w:color w:val="000000" w:themeColor="text1"/>
                <w:kern w:val="0"/>
                <w:sz w:val="20"/>
                <w:szCs w:val="21"/>
              </w:rPr>
            </w:pPr>
            <w:r>
              <w:rPr>
                <w:color w:val="000000" w:themeColor="text1"/>
                <w:kern w:val="0"/>
                <w:sz w:val="20"/>
                <w:szCs w:val="21"/>
              </w:rPr>
              <w:t>7-14 days n (%)</w:t>
            </w:r>
          </w:p>
        </w:tc>
        <w:tc>
          <w:tcPr>
            <w:tcW w:w="867"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≥14 days n (%)</w:t>
            </w:r>
          </w:p>
        </w:tc>
        <w:tc>
          <w:tcPr>
            <w:tcW w:w="749"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Chi square</w:t>
            </w:r>
          </w:p>
        </w:tc>
        <w:tc>
          <w:tcPr>
            <w:tcW w:w="570" w:type="pct"/>
            <w:tcBorders>
              <w:bottom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P</w:t>
            </w:r>
          </w:p>
        </w:tc>
      </w:tr>
      <w:tr w:rsidR="00DF5A5F" w:rsidTr="0031461B">
        <w:tc>
          <w:tcPr>
            <w:tcW w:w="569" w:type="pct"/>
            <w:tcBorders>
              <w:top w:val="single" w:sz="4" w:space="0" w:color="auto"/>
            </w:tcBorders>
            <w:vAlign w:val="center"/>
          </w:tcPr>
          <w:p w:rsidR="00DF5A5F" w:rsidRDefault="00DF5A5F" w:rsidP="0031461B">
            <w:pPr>
              <w:widowControl/>
              <w:spacing w:after="0"/>
              <w:rPr>
                <w:color w:val="000000" w:themeColor="text1"/>
                <w:kern w:val="0"/>
                <w:sz w:val="20"/>
                <w:szCs w:val="21"/>
              </w:rPr>
            </w:pPr>
          </w:p>
        </w:tc>
        <w:tc>
          <w:tcPr>
            <w:tcW w:w="547" w:type="pct"/>
            <w:tcBorders>
              <w:top w:val="single" w:sz="4" w:space="0" w:color="auto"/>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Death</w:t>
            </w:r>
          </w:p>
        </w:tc>
        <w:tc>
          <w:tcPr>
            <w:tcW w:w="830" w:type="pct"/>
            <w:tcBorders>
              <w:top w:val="single" w:sz="4" w:space="0" w:color="auto"/>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7(0.9)</w:t>
            </w:r>
          </w:p>
        </w:tc>
        <w:tc>
          <w:tcPr>
            <w:tcW w:w="867" w:type="pct"/>
            <w:tcBorders>
              <w:top w:val="single" w:sz="4" w:space="0" w:color="auto"/>
              <w:bottom w:val="nil"/>
            </w:tcBorders>
          </w:tcPr>
          <w:p w:rsidR="00DF5A5F" w:rsidRDefault="00DF5A5F" w:rsidP="0031461B">
            <w:pPr>
              <w:widowControl/>
              <w:spacing w:after="0"/>
              <w:rPr>
                <w:color w:val="000000" w:themeColor="text1"/>
                <w:kern w:val="0"/>
                <w:sz w:val="20"/>
                <w:szCs w:val="21"/>
              </w:rPr>
            </w:pPr>
            <w:r>
              <w:rPr>
                <w:color w:val="000000" w:themeColor="text1"/>
                <w:kern w:val="0"/>
                <w:sz w:val="20"/>
                <w:szCs w:val="21"/>
              </w:rPr>
              <w:t>4(0.6)</w:t>
            </w:r>
          </w:p>
        </w:tc>
        <w:tc>
          <w:tcPr>
            <w:tcW w:w="867" w:type="pct"/>
            <w:tcBorders>
              <w:top w:val="single" w:sz="4" w:space="0" w:color="auto"/>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3(0.4)</w:t>
            </w:r>
          </w:p>
        </w:tc>
        <w:tc>
          <w:tcPr>
            <w:tcW w:w="749" w:type="pct"/>
            <w:vMerge w:val="restart"/>
            <w:tcBorders>
              <w:top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w:t>
            </w:r>
          </w:p>
        </w:tc>
        <w:tc>
          <w:tcPr>
            <w:tcW w:w="570" w:type="pct"/>
            <w:vMerge w:val="restart"/>
            <w:tcBorders>
              <w:top w:val="single" w:sz="4" w:space="0" w:color="auto"/>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0.596*</w:t>
            </w:r>
          </w:p>
        </w:tc>
      </w:tr>
      <w:tr w:rsidR="00DF5A5F" w:rsidTr="0031461B">
        <w:tc>
          <w:tcPr>
            <w:tcW w:w="569" w:type="pct"/>
            <w:tcBorders>
              <w:bottom w:val="nil"/>
            </w:tcBorders>
            <w:vAlign w:val="center"/>
          </w:tcPr>
          <w:p w:rsidR="00DF5A5F" w:rsidRDefault="00DF5A5F" w:rsidP="0031461B">
            <w:pPr>
              <w:widowControl/>
              <w:spacing w:after="0"/>
              <w:rPr>
                <w:color w:val="000000" w:themeColor="text1"/>
                <w:kern w:val="0"/>
                <w:sz w:val="20"/>
                <w:szCs w:val="21"/>
              </w:rPr>
            </w:pPr>
          </w:p>
        </w:tc>
        <w:tc>
          <w:tcPr>
            <w:tcW w:w="547" w:type="pct"/>
            <w:tcBorders>
              <w:top w:val="nil"/>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Discharge</w:t>
            </w:r>
          </w:p>
        </w:tc>
        <w:tc>
          <w:tcPr>
            <w:tcW w:w="830" w:type="pct"/>
            <w:tcBorders>
              <w:top w:val="nil"/>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803(99.1)</w:t>
            </w:r>
          </w:p>
        </w:tc>
        <w:tc>
          <w:tcPr>
            <w:tcW w:w="867" w:type="pct"/>
            <w:tcBorders>
              <w:top w:val="nil"/>
              <w:bottom w:val="nil"/>
            </w:tcBorders>
          </w:tcPr>
          <w:p w:rsidR="00DF5A5F" w:rsidRDefault="00DF5A5F" w:rsidP="0031461B">
            <w:pPr>
              <w:widowControl/>
              <w:spacing w:after="0"/>
              <w:rPr>
                <w:color w:val="000000" w:themeColor="text1"/>
                <w:kern w:val="0"/>
                <w:sz w:val="20"/>
                <w:szCs w:val="21"/>
              </w:rPr>
            </w:pPr>
            <w:r>
              <w:rPr>
                <w:color w:val="000000" w:themeColor="text1"/>
                <w:kern w:val="0"/>
                <w:sz w:val="20"/>
                <w:szCs w:val="21"/>
              </w:rPr>
              <w:t>719(99.4)</w:t>
            </w:r>
          </w:p>
        </w:tc>
        <w:tc>
          <w:tcPr>
            <w:tcW w:w="867" w:type="pct"/>
            <w:tcBorders>
              <w:top w:val="nil"/>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674(99.6)</w:t>
            </w:r>
          </w:p>
        </w:tc>
        <w:tc>
          <w:tcPr>
            <w:tcW w:w="749" w:type="pct"/>
            <w:vMerge/>
            <w:tcBorders>
              <w:bottom w:val="nil"/>
            </w:tcBorders>
            <w:vAlign w:val="center"/>
          </w:tcPr>
          <w:p w:rsidR="00DF5A5F" w:rsidRDefault="00DF5A5F" w:rsidP="0031461B">
            <w:pPr>
              <w:widowControl/>
              <w:spacing w:after="0"/>
              <w:rPr>
                <w:color w:val="000000" w:themeColor="text1"/>
                <w:kern w:val="0"/>
                <w:sz w:val="20"/>
                <w:szCs w:val="21"/>
              </w:rPr>
            </w:pPr>
          </w:p>
        </w:tc>
        <w:tc>
          <w:tcPr>
            <w:tcW w:w="570" w:type="pct"/>
            <w:vMerge/>
            <w:tcBorders>
              <w:bottom w:val="nil"/>
            </w:tcBorders>
            <w:vAlign w:val="center"/>
          </w:tcPr>
          <w:p w:rsidR="00DF5A5F" w:rsidRDefault="00DF5A5F" w:rsidP="0031461B">
            <w:pPr>
              <w:widowControl/>
              <w:spacing w:after="0"/>
              <w:rPr>
                <w:color w:val="000000" w:themeColor="text1"/>
                <w:kern w:val="0"/>
                <w:sz w:val="20"/>
                <w:szCs w:val="21"/>
              </w:rPr>
            </w:pPr>
          </w:p>
        </w:tc>
      </w:tr>
      <w:tr w:rsidR="00DF5A5F" w:rsidTr="0031461B">
        <w:tc>
          <w:tcPr>
            <w:tcW w:w="569" w:type="pct"/>
            <w:tcBorders>
              <w:top w:val="nil"/>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Mild</w:t>
            </w:r>
          </w:p>
        </w:tc>
        <w:tc>
          <w:tcPr>
            <w:tcW w:w="547" w:type="pct"/>
            <w:tcBorders>
              <w:top w:val="nil"/>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Death</w:t>
            </w:r>
          </w:p>
        </w:tc>
        <w:tc>
          <w:tcPr>
            <w:tcW w:w="830" w:type="pct"/>
            <w:tcBorders>
              <w:top w:val="nil"/>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0</w:t>
            </w:r>
          </w:p>
        </w:tc>
        <w:tc>
          <w:tcPr>
            <w:tcW w:w="867" w:type="pct"/>
            <w:tcBorders>
              <w:top w:val="nil"/>
              <w:bottom w:val="nil"/>
            </w:tcBorders>
          </w:tcPr>
          <w:p w:rsidR="00DF5A5F" w:rsidRDefault="00DF5A5F" w:rsidP="0031461B">
            <w:pPr>
              <w:widowControl/>
              <w:spacing w:after="0"/>
              <w:rPr>
                <w:color w:val="000000" w:themeColor="text1"/>
                <w:kern w:val="0"/>
                <w:sz w:val="20"/>
                <w:szCs w:val="21"/>
              </w:rPr>
            </w:pPr>
            <w:r>
              <w:rPr>
                <w:color w:val="000000" w:themeColor="text1"/>
                <w:kern w:val="0"/>
                <w:sz w:val="20"/>
                <w:szCs w:val="21"/>
              </w:rPr>
              <w:t>0</w:t>
            </w:r>
          </w:p>
        </w:tc>
        <w:tc>
          <w:tcPr>
            <w:tcW w:w="867" w:type="pct"/>
            <w:tcBorders>
              <w:top w:val="nil"/>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0</w:t>
            </w:r>
          </w:p>
        </w:tc>
        <w:tc>
          <w:tcPr>
            <w:tcW w:w="749" w:type="pct"/>
            <w:tcBorders>
              <w:top w:val="nil"/>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w:t>
            </w:r>
          </w:p>
        </w:tc>
        <w:tc>
          <w:tcPr>
            <w:tcW w:w="570" w:type="pct"/>
            <w:tcBorders>
              <w:top w:val="nil"/>
              <w:bottom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w:t>
            </w:r>
          </w:p>
        </w:tc>
      </w:tr>
      <w:tr w:rsidR="00DF5A5F" w:rsidTr="0031461B">
        <w:tc>
          <w:tcPr>
            <w:tcW w:w="569" w:type="pct"/>
            <w:tcBorders>
              <w:top w:val="nil"/>
            </w:tcBorders>
            <w:vAlign w:val="center"/>
          </w:tcPr>
          <w:p w:rsidR="00DF5A5F" w:rsidRDefault="00DF5A5F" w:rsidP="0031461B">
            <w:pPr>
              <w:widowControl/>
              <w:spacing w:after="0"/>
              <w:rPr>
                <w:color w:val="000000" w:themeColor="text1"/>
                <w:kern w:val="0"/>
                <w:sz w:val="20"/>
                <w:szCs w:val="21"/>
              </w:rPr>
            </w:pPr>
          </w:p>
        </w:tc>
        <w:tc>
          <w:tcPr>
            <w:tcW w:w="547" w:type="pct"/>
            <w:tcBorders>
              <w:top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Survival</w:t>
            </w:r>
          </w:p>
        </w:tc>
        <w:tc>
          <w:tcPr>
            <w:tcW w:w="830" w:type="pct"/>
            <w:tcBorders>
              <w:top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13</w:t>
            </w:r>
          </w:p>
        </w:tc>
        <w:tc>
          <w:tcPr>
            <w:tcW w:w="867" w:type="pct"/>
            <w:tcBorders>
              <w:top w:val="nil"/>
            </w:tcBorders>
          </w:tcPr>
          <w:p w:rsidR="00DF5A5F" w:rsidRDefault="00DF5A5F" w:rsidP="0031461B">
            <w:pPr>
              <w:widowControl/>
              <w:spacing w:after="0"/>
              <w:rPr>
                <w:color w:val="000000" w:themeColor="text1"/>
                <w:kern w:val="0"/>
                <w:sz w:val="20"/>
                <w:szCs w:val="21"/>
              </w:rPr>
            </w:pPr>
            <w:r>
              <w:rPr>
                <w:color w:val="000000" w:themeColor="text1"/>
                <w:kern w:val="0"/>
                <w:sz w:val="20"/>
                <w:szCs w:val="21"/>
              </w:rPr>
              <w:t>4</w:t>
            </w:r>
          </w:p>
        </w:tc>
        <w:tc>
          <w:tcPr>
            <w:tcW w:w="867" w:type="pct"/>
            <w:tcBorders>
              <w:top w:val="nil"/>
            </w:tcBorders>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6</w:t>
            </w:r>
          </w:p>
        </w:tc>
        <w:tc>
          <w:tcPr>
            <w:tcW w:w="749" w:type="pct"/>
            <w:tcBorders>
              <w:top w:val="nil"/>
            </w:tcBorders>
            <w:vAlign w:val="center"/>
          </w:tcPr>
          <w:p w:rsidR="00DF5A5F" w:rsidRDefault="00DF5A5F" w:rsidP="0031461B">
            <w:pPr>
              <w:widowControl/>
              <w:spacing w:after="0"/>
              <w:rPr>
                <w:color w:val="000000" w:themeColor="text1"/>
                <w:kern w:val="0"/>
                <w:sz w:val="20"/>
                <w:szCs w:val="21"/>
              </w:rPr>
            </w:pPr>
          </w:p>
        </w:tc>
        <w:tc>
          <w:tcPr>
            <w:tcW w:w="570" w:type="pct"/>
            <w:tcBorders>
              <w:top w:val="nil"/>
            </w:tcBorders>
            <w:vAlign w:val="center"/>
          </w:tcPr>
          <w:p w:rsidR="00DF5A5F" w:rsidRDefault="00DF5A5F" w:rsidP="0031461B">
            <w:pPr>
              <w:widowControl/>
              <w:spacing w:after="0"/>
              <w:rPr>
                <w:color w:val="000000" w:themeColor="text1"/>
                <w:kern w:val="0"/>
                <w:sz w:val="20"/>
                <w:szCs w:val="21"/>
              </w:rPr>
            </w:pPr>
          </w:p>
        </w:tc>
      </w:tr>
      <w:tr w:rsidR="00DF5A5F" w:rsidTr="0031461B">
        <w:tc>
          <w:tcPr>
            <w:tcW w:w="569"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Common</w:t>
            </w:r>
          </w:p>
        </w:tc>
        <w:tc>
          <w:tcPr>
            <w:tcW w:w="54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Death</w:t>
            </w:r>
          </w:p>
        </w:tc>
        <w:tc>
          <w:tcPr>
            <w:tcW w:w="830"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1(0.2)</w:t>
            </w:r>
          </w:p>
        </w:tc>
        <w:tc>
          <w:tcPr>
            <w:tcW w:w="867" w:type="pct"/>
          </w:tcPr>
          <w:p w:rsidR="00DF5A5F" w:rsidRDefault="00DF5A5F" w:rsidP="0031461B">
            <w:pPr>
              <w:widowControl/>
              <w:spacing w:after="0"/>
              <w:rPr>
                <w:color w:val="000000" w:themeColor="text1"/>
                <w:kern w:val="0"/>
                <w:sz w:val="20"/>
                <w:szCs w:val="21"/>
              </w:rPr>
            </w:pPr>
            <w:r>
              <w:rPr>
                <w:color w:val="000000" w:themeColor="text1"/>
                <w:kern w:val="0"/>
                <w:sz w:val="20"/>
                <w:szCs w:val="21"/>
              </w:rPr>
              <w:t>0</w:t>
            </w:r>
          </w:p>
        </w:tc>
        <w:tc>
          <w:tcPr>
            <w:tcW w:w="86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2(0.5)</w:t>
            </w:r>
          </w:p>
        </w:tc>
        <w:tc>
          <w:tcPr>
            <w:tcW w:w="749" w:type="pct"/>
            <w:vAlign w:val="center"/>
          </w:tcPr>
          <w:p w:rsidR="00DF5A5F" w:rsidRDefault="00DF5A5F" w:rsidP="0031461B">
            <w:pPr>
              <w:widowControl/>
              <w:spacing w:after="0"/>
              <w:rPr>
                <w:color w:val="000000" w:themeColor="text1"/>
                <w:kern w:val="0"/>
                <w:sz w:val="20"/>
                <w:szCs w:val="21"/>
              </w:rPr>
            </w:pPr>
          </w:p>
        </w:tc>
        <w:tc>
          <w:tcPr>
            <w:tcW w:w="570"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0.278*</w:t>
            </w:r>
          </w:p>
        </w:tc>
      </w:tr>
      <w:tr w:rsidR="00DF5A5F" w:rsidTr="0031461B">
        <w:tc>
          <w:tcPr>
            <w:tcW w:w="569" w:type="pct"/>
            <w:vAlign w:val="center"/>
          </w:tcPr>
          <w:p w:rsidR="00DF5A5F" w:rsidRDefault="00DF5A5F" w:rsidP="0031461B">
            <w:pPr>
              <w:widowControl/>
              <w:spacing w:after="0"/>
              <w:rPr>
                <w:color w:val="000000" w:themeColor="text1"/>
                <w:kern w:val="0"/>
                <w:sz w:val="20"/>
                <w:szCs w:val="21"/>
              </w:rPr>
            </w:pPr>
          </w:p>
        </w:tc>
        <w:tc>
          <w:tcPr>
            <w:tcW w:w="54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Survival</w:t>
            </w:r>
          </w:p>
        </w:tc>
        <w:tc>
          <w:tcPr>
            <w:tcW w:w="830"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607(99.8)</w:t>
            </w:r>
          </w:p>
        </w:tc>
        <w:tc>
          <w:tcPr>
            <w:tcW w:w="867" w:type="pct"/>
          </w:tcPr>
          <w:p w:rsidR="00DF5A5F" w:rsidRDefault="00DF5A5F" w:rsidP="0031461B">
            <w:pPr>
              <w:widowControl/>
              <w:spacing w:after="0"/>
              <w:rPr>
                <w:color w:val="000000" w:themeColor="text1"/>
                <w:kern w:val="0"/>
                <w:sz w:val="20"/>
                <w:szCs w:val="21"/>
              </w:rPr>
            </w:pPr>
            <w:r>
              <w:rPr>
                <w:color w:val="000000" w:themeColor="text1"/>
                <w:kern w:val="0"/>
                <w:sz w:val="20"/>
                <w:szCs w:val="21"/>
              </w:rPr>
              <w:t>541</w:t>
            </w:r>
          </w:p>
        </w:tc>
        <w:tc>
          <w:tcPr>
            <w:tcW w:w="86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425(99.5)</w:t>
            </w:r>
          </w:p>
        </w:tc>
        <w:tc>
          <w:tcPr>
            <w:tcW w:w="749" w:type="pct"/>
            <w:vAlign w:val="center"/>
          </w:tcPr>
          <w:p w:rsidR="00DF5A5F" w:rsidRDefault="00DF5A5F" w:rsidP="0031461B">
            <w:pPr>
              <w:widowControl/>
              <w:spacing w:after="0"/>
              <w:rPr>
                <w:color w:val="000000" w:themeColor="text1"/>
                <w:kern w:val="0"/>
                <w:sz w:val="20"/>
                <w:szCs w:val="21"/>
              </w:rPr>
            </w:pPr>
          </w:p>
        </w:tc>
        <w:tc>
          <w:tcPr>
            <w:tcW w:w="570" w:type="pct"/>
            <w:vAlign w:val="center"/>
          </w:tcPr>
          <w:p w:rsidR="00DF5A5F" w:rsidRDefault="00DF5A5F" w:rsidP="0031461B">
            <w:pPr>
              <w:widowControl/>
              <w:spacing w:after="0"/>
              <w:rPr>
                <w:color w:val="000000" w:themeColor="text1"/>
                <w:kern w:val="0"/>
                <w:sz w:val="20"/>
                <w:szCs w:val="21"/>
              </w:rPr>
            </w:pPr>
          </w:p>
        </w:tc>
      </w:tr>
      <w:tr w:rsidR="00DF5A5F" w:rsidTr="0031461B">
        <w:tc>
          <w:tcPr>
            <w:tcW w:w="569"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Severe</w:t>
            </w:r>
          </w:p>
        </w:tc>
        <w:tc>
          <w:tcPr>
            <w:tcW w:w="54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Death</w:t>
            </w:r>
          </w:p>
        </w:tc>
        <w:tc>
          <w:tcPr>
            <w:tcW w:w="830"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4(2.1)</w:t>
            </w:r>
          </w:p>
        </w:tc>
        <w:tc>
          <w:tcPr>
            <w:tcW w:w="867" w:type="pct"/>
          </w:tcPr>
          <w:p w:rsidR="00DF5A5F" w:rsidRDefault="00DF5A5F" w:rsidP="0031461B">
            <w:pPr>
              <w:widowControl/>
              <w:spacing w:after="0"/>
              <w:rPr>
                <w:color w:val="000000" w:themeColor="text1"/>
                <w:kern w:val="0"/>
                <w:sz w:val="20"/>
                <w:szCs w:val="21"/>
              </w:rPr>
            </w:pPr>
            <w:r>
              <w:rPr>
                <w:color w:val="000000" w:themeColor="text1"/>
                <w:kern w:val="0"/>
                <w:sz w:val="20"/>
                <w:szCs w:val="21"/>
              </w:rPr>
              <w:t>4(2.3)</w:t>
            </w:r>
          </w:p>
        </w:tc>
        <w:tc>
          <w:tcPr>
            <w:tcW w:w="86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0</w:t>
            </w:r>
          </w:p>
        </w:tc>
        <w:tc>
          <w:tcPr>
            <w:tcW w:w="749" w:type="pct"/>
            <w:vAlign w:val="center"/>
          </w:tcPr>
          <w:p w:rsidR="00DF5A5F" w:rsidRDefault="00DF5A5F" w:rsidP="0031461B">
            <w:pPr>
              <w:widowControl/>
              <w:spacing w:after="0"/>
              <w:rPr>
                <w:color w:val="000000" w:themeColor="text1"/>
                <w:kern w:val="0"/>
                <w:sz w:val="20"/>
                <w:szCs w:val="21"/>
              </w:rPr>
            </w:pPr>
          </w:p>
        </w:tc>
        <w:tc>
          <w:tcPr>
            <w:tcW w:w="570"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0.037*</w:t>
            </w:r>
          </w:p>
        </w:tc>
      </w:tr>
      <w:tr w:rsidR="00DF5A5F" w:rsidTr="0031461B">
        <w:tc>
          <w:tcPr>
            <w:tcW w:w="569" w:type="pct"/>
            <w:vAlign w:val="center"/>
          </w:tcPr>
          <w:p w:rsidR="00DF5A5F" w:rsidRDefault="00DF5A5F" w:rsidP="0031461B">
            <w:pPr>
              <w:widowControl/>
              <w:spacing w:after="0"/>
              <w:rPr>
                <w:color w:val="000000" w:themeColor="text1"/>
                <w:kern w:val="0"/>
                <w:sz w:val="20"/>
                <w:szCs w:val="21"/>
              </w:rPr>
            </w:pPr>
          </w:p>
        </w:tc>
        <w:tc>
          <w:tcPr>
            <w:tcW w:w="54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Survival</w:t>
            </w:r>
          </w:p>
        </w:tc>
        <w:tc>
          <w:tcPr>
            <w:tcW w:w="830"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185(97.8)</w:t>
            </w:r>
          </w:p>
        </w:tc>
        <w:tc>
          <w:tcPr>
            <w:tcW w:w="867" w:type="pct"/>
          </w:tcPr>
          <w:p w:rsidR="00DF5A5F" w:rsidRDefault="00DF5A5F" w:rsidP="0031461B">
            <w:pPr>
              <w:widowControl/>
              <w:spacing w:after="0"/>
              <w:rPr>
                <w:color w:val="000000" w:themeColor="text1"/>
                <w:kern w:val="0"/>
                <w:sz w:val="20"/>
                <w:szCs w:val="21"/>
              </w:rPr>
            </w:pPr>
            <w:r>
              <w:rPr>
                <w:color w:val="000000" w:themeColor="text1"/>
                <w:kern w:val="0"/>
                <w:sz w:val="20"/>
                <w:szCs w:val="21"/>
              </w:rPr>
              <w:t>171(97.7)</w:t>
            </w:r>
          </w:p>
        </w:tc>
        <w:tc>
          <w:tcPr>
            <w:tcW w:w="86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235</w:t>
            </w:r>
          </w:p>
        </w:tc>
        <w:tc>
          <w:tcPr>
            <w:tcW w:w="749" w:type="pct"/>
            <w:vAlign w:val="center"/>
          </w:tcPr>
          <w:p w:rsidR="00DF5A5F" w:rsidRDefault="00DF5A5F" w:rsidP="0031461B">
            <w:pPr>
              <w:widowControl/>
              <w:spacing w:after="0"/>
              <w:rPr>
                <w:color w:val="000000" w:themeColor="text1"/>
                <w:kern w:val="0"/>
                <w:sz w:val="20"/>
                <w:szCs w:val="21"/>
              </w:rPr>
            </w:pPr>
          </w:p>
        </w:tc>
        <w:tc>
          <w:tcPr>
            <w:tcW w:w="570" w:type="pct"/>
            <w:vAlign w:val="center"/>
          </w:tcPr>
          <w:p w:rsidR="00DF5A5F" w:rsidRDefault="00DF5A5F" w:rsidP="0031461B">
            <w:pPr>
              <w:widowControl/>
              <w:spacing w:after="0"/>
              <w:rPr>
                <w:color w:val="000000" w:themeColor="text1"/>
                <w:kern w:val="0"/>
                <w:sz w:val="20"/>
                <w:szCs w:val="21"/>
              </w:rPr>
            </w:pPr>
          </w:p>
        </w:tc>
      </w:tr>
      <w:tr w:rsidR="00DF5A5F" w:rsidTr="0031461B">
        <w:tc>
          <w:tcPr>
            <w:tcW w:w="569"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Critical</w:t>
            </w:r>
          </w:p>
        </w:tc>
        <w:tc>
          <w:tcPr>
            <w:tcW w:w="54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Death</w:t>
            </w:r>
          </w:p>
        </w:tc>
        <w:tc>
          <w:tcPr>
            <w:tcW w:w="830"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2(33.3)</w:t>
            </w:r>
          </w:p>
        </w:tc>
        <w:tc>
          <w:tcPr>
            <w:tcW w:w="867" w:type="pct"/>
          </w:tcPr>
          <w:p w:rsidR="00DF5A5F" w:rsidRDefault="00DF5A5F" w:rsidP="0031461B">
            <w:pPr>
              <w:widowControl/>
              <w:spacing w:after="0"/>
              <w:rPr>
                <w:color w:val="000000" w:themeColor="text1"/>
                <w:kern w:val="0"/>
                <w:sz w:val="20"/>
                <w:szCs w:val="21"/>
              </w:rPr>
            </w:pPr>
            <w:r>
              <w:rPr>
                <w:color w:val="000000" w:themeColor="text1"/>
                <w:kern w:val="0"/>
                <w:sz w:val="20"/>
                <w:szCs w:val="21"/>
              </w:rPr>
              <w:t>0</w:t>
            </w:r>
          </w:p>
        </w:tc>
        <w:tc>
          <w:tcPr>
            <w:tcW w:w="86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1(11.1)</w:t>
            </w:r>
          </w:p>
        </w:tc>
        <w:tc>
          <w:tcPr>
            <w:tcW w:w="749" w:type="pct"/>
            <w:vAlign w:val="center"/>
          </w:tcPr>
          <w:p w:rsidR="00DF5A5F" w:rsidRDefault="00DF5A5F" w:rsidP="0031461B">
            <w:pPr>
              <w:widowControl/>
              <w:spacing w:after="0"/>
              <w:rPr>
                <w:color w:val="000000" w:themeColor="text1"/>
                <w:kern w:val="0"/>
                <w:sz w:val="20"/>
                <w:szCs w:val="21"/>
              </w:rPr>
            </w:pPr>
          </w:p>
        </w:tc>
        <w:tc>
          <w:tcPr>
            <w:tcW w:w="570"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0.682*</w:t>
            </w:r>
          </w:p>
        </w:tc>
      </w:tr>
      <w:tr w:rsidR="00DF5A5F" w:rsidTr="0031461B">
        <w:tc>
          <w:tcPr>
            <w:tcW w:w="569" w:type="pct"/>
            <w:vAlign w:val="center"/>
          </w:tcPr>
          <w:p w:rsidR="00DF5A5F" w:rsidRDefault="00DF5A5F" w:rsidP="0031461B">
            <w:pPr>
              <w:widowControl/>
              <w:spacing w:after="0"/>
              <w:rPr>
                <w:color w:val="000000" w:themeColor="text1"/>
                <w:kern w:val="0"/>
                <w:sz w:val="20"/>
                <w:szCs w:val="21"/>
              </w:rPr>
            </w:pPr>
          </w:p>
        </w:tc>
        <w:tc>
          <w:tcPr>
            <w:tcW w:w="54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Survival</w:t>
            </w:r>
          </w:p>
        </w:tc>
        <w:tc>
          <w:tcPr>
            <w:tcW w:w="830"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4(66.7)</w:t>
            </w:r>
          </w:p>
        </w:tc>
        <w:tc>
          <w:tcPr>
            <w:tcW w:w="867" w:type="pct"/>
          </w:tcPr>
          <w:p w:rsidR="00DF5A5F" w:rsidRDefault="00DF5A5F" w:rsidP="0031461B">
            <w:pPr>
              <w:widowControl/>
              <w:spacing w:after="0"/>
              <w:rPr>
                <w:color w:val="000000" w:themeColor="text1"/>
                <w:kern w:val="0"/>
                <w:sz w:val="20"/>
                <w:szCs w:val="21"/>
              </w:rPr>
            </w:pPr>
            <w:r>
              <w:rPr>
                <w:color w:val="000000" w:themeColor="text1"/>
                <w:kern w:val="0"/>
                <w:sz w:val="20"/>
                <w:szCs w:val="21"/>
              </w:rPr>
              <w:t>2</w:t>
            </w:r>
          </w:p>
        </w:tc>
        <w:tc>
          <w:tcPr>
            <w:tcW w:w="867" w:type="pct"/>
            <w:vAlign w:val="center"/>
          </w:tcPr>
          <w:p w:rsidR="00DF5A5F" w:rsidRDefault="00DF5A5F" w:rsidP="0031461B">
            <w:pPr>
              <w:widowControl/>
              <w:spacing w:after="0"/>
              <w:rPr>
                <w:color w:val="000000" w:themeColor="text1"/>
                <w:kern w:val="0"/>
                <w:sz w:val="20"/>
                <w:szCs w:val="21"/>
              </w:rPr>
            </w:pPr>
            <w:r>
              <w:rPr>
                <w:color w:val="000000" w:themeColor="text1"/>
                <w:kern w:val="0"/>
                <w:sz w:val="20"/>
                <w:szCs w:val="21"/>
              </w:rPr>
              <w:t>8(88.9)</w:t>
            </w:r>
          </w:p>
        </w:tc>
        <w:tc>
          <w:tcPr>
            <w:tcW w:w="749" w:type="pct"/>
            <w:vAlign w:val="center"/>
          </w:tcPr>
          <w:p w:rsidR="00DF5A5F" w:rsidRDefault="00DF5A5F" w:rsidP="0031461B">
            <w:pPr>
              <w:widowControl/>
              <w:spacing w:after="0"/>
              <w:rPr>
                <w:color w:val="000000" w:themeColor="text1"/>
                <w:kern w:val="0"/>
                <w:sz w:val="20"/>
                <w:szCs w:val="21"/>
              </w:rPr>
            </w:pPr>
          </w:p>
        </w:tc>
        <w:tc>
          <w:tcPr>
            <w:tcW w:w="570" w:type="pct"/>
            <w:vAlign w:val="center"/>
          </w:tcPr>
          <w:p w:rsidR="00DF5A5F" w:rsidRDefault="00DF5A5F" w:rsidP="0031461B">
            <w:pPr>
              <w:widowControl/>
              <w:spacing w:after="0"/>
              <w:rPr>
                <w:color w:val="000000" w:themeColor="text1"/>
                <w:kern w:val="0"/>
                <w:sz w:val="20"/>
                <w:szCs w:val="21"/>
              </w:rPr>
            </w:pPr>
          </w:p>
        </w:tc>
      </w:tr>
    </w:tbl>
    <w:p w:rsidR="00DF5A5F" w:rsidRDefault="00DF5A5F" w:rsidP="00DF5A5F">
      <w:pPr>
        <w:spacing w:after="0"/>
        <w:jc w:val="left"/>
      </w:pPr>
      <w:r>
        <w:t>Fisher's exact probability</w:t>
      </w:r>
    </w:p>
    <w:p w:rsidR="00DF5A5F" w:rsidRDefault="00DF5A5F" w:rsidP="00DF5A5F">
      <w:pPr>
        <w:spacing w:after="0"/>
        <w:jc w:val="left"/>
      </w:pPr>
      <w:r>
        <w:t>Note: There were 2210 patients in the Chinese medicine group in center 1, with 5639 days total treatment time. The mean number of days from onset to admission was 24.1 days (standard deviation 13) for 25889 patients. The mean time from onset to the start of taking Chinese medicine was 29.3 and 12 days. We investigated the onset to the time of taking Chinese medicine, 14 days, 14–28 days, 28–42 days and 42 days fatality rate, and the time distribution difference between groups was statistically significant (P&lt; 0.05). We investigated the actual time of taking Chinese medicine, fatality at &lt;7 days, 7–14 days and ≥14 days, and the differences among the groups with a severe clinical classification on admission was statistically significant (P&lt;0.05), suggesting that the time from onset to taking traditional Chinese medicine may be related to the prognosis.</w:t>
      </w:r>
    </w:p>
    <w:p w:rsidR="00DF5A5F" w:rsidRDefault="00DF5A5F" w:rsidP="00DF5A5F">
      <w:pPr>
        <w:spacing w:after="0"/>
        <w:jc w:val="left"/>
      </w:pPr>
    </w:p>
    <w:p w:rsidR="00DF5A5F" w:rsidRDefault="00DF5A5F" w:rsidP="00DF5A5F">
      <w:pPr>
        <w:widowControl/>
        <w:rPr>
          <w:rFonts w:hAnsi="Times New Roman"/>
          <w:color w:val="000000" w:themeColor="text1"/>
          <w:kern w:val="0"/>
          <w:sz w:val="20"/>
          <w:szCs w:val="21"/>
        </w:rPr>
      </w:pPr>
      <w:r>
        <w:rPr>
          <w:rFonts w:hAnsi="Times New Roman"/>
          <w:color w:val="000000" w:themeColor="text1"/>
          <w:kern w:val="0"/>
          <w:sz w:val="20"/>
          <w:szCs w:val="21"/>
        </w:rPr>
        <w:t>Table 3 The distribution of disease onset to admission days of patients with different disease severity at admission</w:t>
      </w:r>
    </w:p>
    <w:tbl>
      <w:tblPr>
        <w:tblW w:w="5000" w:type="pct"/>
        <w:tblBorders>
          <w:top w:val="single" w:sz="4" w:space="0" w:color="auto"/>
          <w:left w:val="none" w:sz="4" w:space="0" w:color="auto"/>
          <w:bottom w:val="single" w:sz="4" w:space="0" w:color="auto"/>
          <w:right w:val="none" w:sz="4" w:space="0" w:color="auto"/>
          <w:insideH w:val="none" w:sz="4" w:space="0" w:color="auto"/>
          <w:insideV w:val="none" w:sz="4" w:space="0" w:color="auto"/>
        </w:tblBorders>
        <w:tblCellMar>
          <w:left w:w="0" w:type="dxa"/>
          <w:right w:w="0" w:type="dxa"/>
        </w:tblCellMar>
        <w:tblLook w:val="04A0" w:firstRow="1" w:lastRow="0" w:firstColumn="1" w:lastColumn="0" w:noHBand="0" w:noVBand="1"/>
      </w:tblPr>
      <w:tblGrid>
        <w:gridCol w:w="2791"/>
        <w:gridCol w:w="1911"/>
        <w:gridCol w:w="1915"/>
        <w:gridCol w:w="2011"/>
        <w:gridCol w:w="732"/>
      </w:tblGrid>
      <w:tr w:rsidR="00DF5A5F" w:rsidTr="0031461B">
        <w:trPr>
          <w:trHeight w:val="312"/>
        </w:trPr>
        <w:tc>
          <w:tcPr>
            <w:tcW w:w="1491" w:type="pct"/>
            <w:vMerge w:val="restart"/>
            <w:tcBorders>
              <w:left w:val="nil"/>
              <w:right w:val="nil"/>
            </w:tcBorders>
            <w:shd w:val="clear" w:color="auto" w:fill="auto"/>
            <w:noWrap/>
            <w:tcMar>
              <w:top w:w="15" w:type="dxa"/>
              <w:left w:w="15" w:type="dxa"/>
              <w:right w:w="15" w:type="dxa"/>
            </w:tcMar>
            <w:vAlign w:val="center"/>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Type</w:t>
            </w:r>
          </w:p>
        </w:tc>
        <w:tc>
          <w:tcPr>
            <w:tcW w:w="3117" w:type="pct"/>
            <w:gridSpan w:val="3"/>
            <w:tcBorders>
              <w:left w:val="nil"/>
              <w:bottom w:val="single" w:sz="4" w:space="0" w:color="auto"/>
              <w:right w:val="nil"/>
            </w:tcBorders>
            <w:vAlign w:val="center"/>
          </w:tcPr>
          <w:p w:rsidR="00DF5A5F" w:rsidRDefault="00DF5A5F" w:rsidP="0031461B">
            <w:pPr>
              <w:spacing w:after="0"/>
              <w:rPr>
                <w:rFonts w:hAnsi="Times New Roman"/>
                <w:color w:val="000000" w:themeColor="text1"/>
                <w:kern w:val="0"/>
                <w:sz w:val="20"/>
                <w:szCs w:val="21"/>
              </w:rPr>
            </w:pPr>
            <w:r>
              <w:rPr>
                <w:rFonts w:eastAsia="SimSun" w:hAnsi="Times New Roman" w:cs="Times New Roman"/>
                <w:color w:val="000000"/>
                <w:kern w:val="0"/>
                <w:sz w:val="20"/>
                <w:szCs w:val="20"/>
              </w:rPr>
              <w:t>Disease onset to admission days</w:t>
            </w:r>
          </w:p>
        </w:tc>
        <w:tc>
          <w:tcPr>
            <w:tcW w:w="391" w:type="pct"/>
            <w:vMerge w:val="restart"/>
            <w:tcBorders>
              <w:left w:val="nil"/>
              <w:right w:val="nil"/>
            </w:tcBorders>
            <w:vAlign w:val="center"/>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P</w:t>
            </w:r>
          </w:p>
        </w:tc>
      </w:tr>
      <w:tr w:rsidR="00DF5A5F" w:rsidTr="0031461B">
        <w:trPr>
          <w:trHeight w:val="270"/>
        </w:trPr>
        <w:tc>
          <w:tcPr>
            <w:tcW w:w="1491" w:type="pct"/>
            <w:vMerge/>
            <w:tcBorders>
              <w:left w:val="nil"/>
              <w:bottom w:val="single" w:sz="4" w:space="0" w:color="auto"/>
              <w:right w:val="nil"/>
            </w:tcBorders>
            <w:shd w:val="clear" w:color="auto" w:fill="auto"/>
            <w:noWrap/>
            <w:tcMar>
              <w:top w:w="15" w:type="dxa"/>
              <w:left w:w="15" w:type="dxa"/>
              <w:right w:w="15" w:type="dxa"/>
            </w:tcMar>
            <w:vAlign w:val="center"/>
          </w:tcPr>
          <w:p w:rsidR="00DF5A5F" w:rsidRDefault="00DF5A5F" w:rsidP="0031461B">
            <w:pPr>
              <w:widowControl/>
              <w:spacing w:after="0"/>
              <w:rPr>
                <w:rFonts w:hAnsi="Times New Roman"/>
                <w:color w:val="000000" w:themeColor="text1"/>
                <w:kern w:val="0"/>
                <w:sz w:val="20"/>
                <w:szCs w:val="21"/>
              </w:rPr>
            </w:pPr>
          </w:p>
        </w:tc>
        <w:tc>
          <w:tcPr>
            <w:tcW w:w="1021" w:type="pct"/>
            <w:tcBorders>
              <w:top w:val="single" w:sz="4" w:space="0" w:color="auto"/>
              <w:left w:val="nil"/>
              <w:bottom w:val="single" w:sz="4" w:space="0" w:color="auto"/>
              <w:right w:val="nil"/>
            </w:tcBorders>
            <w:vAlign w:val="center"/>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&lt;14 days (n=969)</w:t>
            </w:r>
          </w:p>
        </w:tc>
        <w:tc>
          <w:tcPr>
            <w:tcW w:w="1023" w:type="pct"/>
            <w:tcBorders>
              <w:top w:val="single" w:sz="4" w:space="0" w:color="auto"/>
              <w:left w:val="nil"/>
              <w:bottom w:val="single" w:sz="4" w:space="0" w:color="auto"/>
              <w:right w:val="nil"/>
            </w:tcBorders>
            <w:vAlign w:val="center"/>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14 days (n=1290)</w:t>
            </w:r>
          </w:p>
        </w:tc>
        <w:tc>
          <w:tcPr>
            <w:tcW w:w="1074" w:type="pct"/>
            <w:tcBorders>
              <w:top w:val="single" w:sz="4" w:space="0" w:color="auto"/>
              <w:left w:val="nil"/>
              <w:bottom w:val="single" w:sz="4" w:space="0" w:color="auto"/>
              <w:right w:val="nil"/>
            </w:tcBorders>
            <w:vAlign w:val="center"/>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w:t>
            </w:r>
            <w:r>
              <w:rPr>
                <w:rFonts w:hAnsi="Times New Roman"/>
                <w:color w:val="000000" w:themeColor="text1"/>
                <w:kern w:val="0"/>
                <w:sz w:val="20"/>
                <w:szCs w:val="21"/>
              </w:rPr>
              <w:t>28 days (n=2188)</w:t>
            </w:r>
          </w:p>
        </w:tc>
        <w:tc>
          <w:tcPr>
            <w:tcW w:w="391" w:type="pct"/>
            <w:vMerge/>
            <w:tcBorders>
              <w:left w:val="nil"/>
              <w:bottom w:val="single" w:sz="4" w:space="0" w:color="auto"/>
              <w:right w:val="nil"/>
            </w:tcBorders>
            <w:vAlign w:val="center"/>
          </w:tcPr>
          <w:p w:rsidR="00DF5A5F" w:rsidRDefault="00DF5A5F" w:rsidP="0031461B">
            <w:pPr>
              <w:widowControl/>
              <w:spacing w:after="0"/>
              <w:rPr>
                <w:rFonts w:hAnsi="Times New Roman"/>
                <w:color w:val="000000" w:themeColor="text1"/>
                <w:kern w:val="0"/>
                <w:sz w:val="20"/>
                <w:szCs w:val="21"/>
              </w:rPr>
            </w:pPr>
          </w:p>
        </w:tc>
      </w:tr>
      <w:tr w:rsidR="00DF5A5F" w:rsidTr="0031461B">
        <w:trPr>
          <w:trHeight w:val="270"/>
        </w:trPr>
        <w:tc>
          <w:tcPr>
            <w:tcW w:w="1491" w:type="pct"/>
            <w:tcBorders>
              <w:left w:val="nil"/>
              <w:right w:val="nil"/>
            </w:tcBorders>
            <w:shd w:val="clear" w:color="auto" w:fill="auto"/>
            <w:noWrap/>
            <w:tcMar>
              <w:top w:w="15" w:type="dxa"/>
              <w:left w:w="15" w:type="dxa"/>
              <w:right w:w="15" w:type="dxa"/>
            </w:tcMar>
            <w:vAlign w:val="center"/>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Mild+common (n=3340)</w:t>
            </w:r>
          </w:p>
        </w:tc>
        <w:tc>
          <w:tcPr>
            <w:tcW w:w="1021" w:type="pct"/>
            <w:tcBorders>
              <w:top w:val="nil"/>
              <w:left w:val="nil"/>
              <w:bottom w:val="nil"/>
              <w:right w:val="nil"/>
            </w:tcBorders>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718 (74.1)</w:t>
            </w:r>
          </w:p>
        </w:tc>
        <w:tc>
          <w:tcPr>
            <w:tcW w:w="1023" w:type="pct"/>
            <w:tcBorders>
              <w:top w:val="nil"/>
              <w:left w:val="nil"/>
              <w:bottom w:val="nil"/>
              <w:right w:val="nil"/>
            </w:tcBorders>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965 (74.8)</w:t>
            </w:r>
          </w:p>
        </w:tc>
        <w:tc>
          <w:tcPr>
            <w:tcW w:w="1074" w:type="pct"/>
            <w:tcBorders>
              <w:top w:val="nil"/>
              <w:left w:val="nil"/>
              <w:bottom w:val="nil"/>
              <w:right w:val="nil"/>
            </w:tcBorders>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1657 (75.7)</w:t>
            </w:r>
          </w:p>
        </w:tc>
        <w:tc>
          <w:tcPr>
            <w:tcW w:w="391" w:type="pct"/>
            <w:vMerge w:val="restart"/>
            <w:tcBorders>
              <w:top w:val="nil"/>
              <w:left w:val="nil"/>
              <w:right w:val="nil"/>
            </w:tcBorders>
            <w:vAlign w:val="center"/>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0.178</w:t>
            </w:r>
          </w:p>
        </w:tc>
      </w:tr>
      <w:tr w:rsidR="00DF5A5F" w:rsidTr="0031461B">
        <w:trPr>
          <w:trHeight w:val="270"/>
        </w:trPr>
        <w:tc>
          <w:tcPr>
            <w:tcW w:w="1491" w:type="pct"/>
            <w:tcBorders>
              <w:left w:val="nil"/>
              <w:right w:val="nil"/>
            </w:tcBorders>
            <w:shd w:val="clear" w:color="auto" w:fill="auto"/>
            <w:noWrap/>
            <w:tcMar>
              <w:top w:w="15" w:type="dxa"/>
              <w:left w:w="15" w:type="dxa"/>
              <w:right w:w="15" w:type="dxa"/>
            </w:tcMar>
            <w:vAlign w:val="center"/>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Severe (n=1022)</w:t>
            </w:r>
          </w:p>
        </w:tc>
        <w:tc>
          <w:tcPr>
            <w:tcW w:w="1021" w:type="pct"/>
            <w:tcBorders>
              <w:top w:val="nil"/>
              <w:left w:val="nil"/>
              <w:bottom w:val="nil"/>
              <w:right w:val="nil"/>
            </w:tcBorders>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233 (24.0)</w:t>
            </w:r>
          </w:p>
        </w:tc>
        <w:tc>
          <w:tcPr>
            <w:tcW w:w="1023" w:type="pct"/>
            <w:tcBorders>
              <w:top w:val="nil"/>
              <w:left w:val="nil"/>
              <w:bottom w:val="nil"/>
              <w:right w:val="nil"/>
            </w:tcBorders>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291 (22.6)</w:t>
            </w:r>
          </w:p>
        </w:tc>
        <w:tc>
          <w:tcPr>
            <w:tcW w:w="1074" w:type="pct"/>
            <w:tcBorders>
              <w:top w:val="nil"/>
              <w:left w:val="nil"/>
              <w:bottom w:val="nil"/>
              <w:right w:val="nil"/>
            </w:tcBorders>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498 (22.8)</w:t>
            </w:r>
          </w:p>
        </w:tc>
        <w:tc>
          <w:tcPr>
            <w:tcW w:w="391" w:type="pct"/>
            <w:vMerge/>
            <w:tcBorders>
              <w:left w:val="nil"/>
              <w:right w:val="nil"/>
            </w:tcBorders>
            <w:vAlign w:val="center"/>
          </w:tcPr>
          <w:p w:rsidR="00DF5A5F" w:rsidRDefault="00DF5A5F" w:rsidP="0031461B">
            <w:pPr>
              <w:widowControl/>
              <w:spacing w:after="0"/>
              <w:rPr>
                <w:rFonts w:hAnsi="Times New Roman"/>
                <w:color w:val="000000" w:themeColor="text1"/>
                <w:kern w:val="0"/>
                <w:sz w:val="20"/>
                <w:szCs w:val="21"/>
              </w:rPr>
            </w:pPr>
          </w:p>
        </w:tc>
      </w:tr>
      <w:tr w:rsidR="00DF5A5F" w:rsidTr="0031461B">
        <w:trPr>
          <w:trHeight w:val="270"/>
        </w:trPr>
        <w:tc>
          <w:tcPr>
            <w:tcW w:w="1491" w:type="pct"/>
            <w:tcBorders>
              <w:left w:val="nil"/>
              <w:bottom w:val="single" w:sz="4" w:space="0" w:color="auto"/>
              <w:right w:val="nil"/>
            </w:tcBorders>
            <w:shd w:val="clear" w:color="auto" w:fill="auto"/>
            <w:noWrap/>
            <w:tcMar>
              <w:top w:w="15" w:type="dxa"/>
              <w:left w:w="15" w:type="dxa"/>
              <w:right w:w="15" w:type="dxa"/>
            </w:tcMar>
            <w:vAlign w:val="center"/>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Critical (n=85)</w:t>
            </w:r>
          </w:p>
        </w:tc>
        <w:tc>
          <w:tcPr>
            <w:tcW w:w="1021" w:type="pct"/>
            <w:tcBorders>
              <w:top w:val="nil"/>
              <w:left w:val="nil"/>
              <w:bottom w:val="single" w:sz="4" w:space="0" w:color="auto"/>
              <w:right w:val="nil"/>
            </w:tcBorders>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18 (1.9)</w:t>
            </w:r>
          </w:p>
        </w:tc>
        <w:tc>
          <w:tcPr>
            <w:tcW w:w="1023" w:type="pct"/>
            <w:tcBorders>
              <w:top w:val="nil"/>
              <w:left w:val="nil"/>
              <w:bottom w:val="single" w:sz="4" w:space="0" w:color="auto"/>
              <w:right w:val="nil"/>
            </w:tcBorders>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34 (2.6)</w:t>
            </w:r>
          </w:p>
        </w:tc>
        <w:tc>
          <w:tcPr>
            <w:tcW w:w="1074" w:type="pct"/>
            <w:tcBorders>
              <w:top w:val="nil"/>
              <w:left w:val="nil"/>
              <w:bottom w:val="single" w:sz="4" w:space="0" w:color="auto"/>
              <w:right w:val="nil"/>
            </w:tcBorders>
          </w:tcPr>
          <w:p w:rsidR="00DF5A5F" w:rsidRDefault="00DF5A5F" w:rsidP="0031461B">
            <w:pPr>
              <w:widowControl/>
              <w:spacing w:after="0"/>
              <w:rPr>
                <w:rFonts w:hAnsi="Times New Roman"/>
                <w:color w:val="000000" w:themeColor="text1"/>
                <w:kern w:val="0"/>
                <w:sz w:val="20"/>
                <w:szCs w:val="21"/>
              </w:rPr>
            </w:pPr>
            <w:r>
              <w:rPr>
                <w:rFonts w:hAnsi="Times New Roman"/>
                <w:color w:val="000000" w:themeColor="text1"/>
                <w:kern w:val="0"/>
                <w:sz w:val="20"/>
                <w:szCs w:val="21"/>
              </w:rPr>
              <w:t>33 (1.5)</w:t>
            </w:r>
          </w:p>
        </w:tc>
        <w:tc>
          <w:tcPr>
            <w:tcW w:w="391" w:type="pct"/>
            <w:vMerge/>
            <w:tcBorders>
              <w:left w:val="nil"/>
              <w:bottom w:val="single" w:sz="4" w:space="0" w:color="auto"/>
              <w:right w:val="nil"/>
            </w:tcBorders>
            <w:vAlign w:val="center"/>
          </w:tcPr>
          <w:p w:rsidR="00DF5A5F" w:rsidRDefault="00DF5A5F" w:rsidP="0031461B">
            <w:pPr>
              <w:widowControl/>
              <w:spacing w:after="0"/>
              <w:rPr>
                <w:rFonts w:hAnsi="Times New Roman"/>
                <w:color w:val="000000" w:themeColor="text1"/>
                <w:kern w:val="0"/>
                <w:sz w:val="20"/>
                <w:szCs w:val="21"/>
              </w:rPr>
            </w:pPr>
          </w:p>
        </w:tc>
      </w:tr>
    </w:tbl>
    <w:p w:rsidR="00000F57" w:rsidRDefault="00DF5A5F">
      <w:bookmarkStart w:id="0" w:name="_GoBack"/>
      <w:bookmarkEnd w:id="0"/>
    </w:p>
    <w:sectPr w:rsidR="0000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5F"/>
    <w:rsid w:val="0007695B"/>
    <w:rsid w:val="008B4EED"/>
    <w:rsid w:val="00DF5A5F"/>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B5EDE-BF5F-4978-A46D-E5AC1BDA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5F"/>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DF5A5F"/>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Company>Springer Nature IT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Gaikwad</dc:creator>
  <cp:keywords/>
  <dc:description/>
  <cp:lastModifiedBy>Pradeep Gaikwad</cp:lastModifiedBy>
  <cp:revision>1</cp:revision>
  <dcterms:created xsi:type="dcterms:W3CDTF">2021-05-05T10:53:00Z</dcterms:created>
  <dcterms:modified xsi:type="dcterms:W3CDTF">2021-05-05T10:53:00Z</dcterms:modified>
</cp:coreProperties>
</file>