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81F80" w14:textId="210E8304" w:rsidR="00F21A17" w:rsidRDefault="00F21A17" w:rsidP="00F21A17">
      <w:pPr>
        <w:pStyle w:val="Articletitle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Supplementary Information</w:t>
      </w:r>
    </w:p>
    <w:p w14:paraId="3907EC97" w14:textId="737CC539" w:rsidR="0047145F" w:rsidRPr="0047145F" w:rsidRDefault="00405014" w:rsidP="0047145F">
      <w:pPr>
        <w:pStyle w:val="Authornames"/>
        <w:rPr>
          <w:b/>
          <w:bCs/>
          <w:shd w:val="clear" w:color="auto" w:fill="FFFFFF"/>
        </w:rPr>
      </w:pPr>
      <w:bookmarkStart w:id="0" w:name="_Hlk69466591"/>
      <w:bookmarkStart w:id="1" w:name="m_7913153019805247428__Hlk62226141"/>
      <w:r w:rsidRPr="00405014">
        <w:rPr>
          <w:b/>
          <w:bCs/>
          <w:shd w:val="clear" w:color="auto" w:fill="FFFFFF"/>
        </w:rPr>
        <w:t>Investigation of contamination pathway and human health risk assessment from metals in milk from the cows grazing in an industrial area: a mass balance approach</w:t>
      </w:r>
      <w:bookmarkEnd w:id="0"/>
      <w:bookmarkEnd w:id="1"/>
    </w:p>
    <w:p w14:paraId="28DB4BD7" w14:textId="77777777" w:rsidR="00F21A17" w:rsidRPr="001D476E" w:rsidRDefault="00F21A17" w:rsidP="00F21A17">
      <w:pPr>
        <w:pStyle w:val="Authornames"/>
      </w:pPr>
      <w:proofErr w:type="spellStart"/>
      <w:r w:rsidRPr="001D476E">
        <w:t>Muthyala</w:t>
      </w:r>
      <w:proofErr w:type="spellEnd"/>
      <w:r w:rsidRPr="001D476E">
        <w:t xml:space="preserve"> Sai </w:t>
      </w:r>
      <w:proofErr w:type="spellStart"/>
      <w:r w:rsidRPr="001D476E">
        <w:t>Chaithanya</w:t>
      </w:r>
      <w:r w:rsidRPr="001D476E">
        <w:rPr>
          <w:vertAlign w:val="superscript"/>
        </w:rPr>
        <w:t>a</w:t>
      </w:r>
      <w:proofErr w:type="spellEnd"/>
      <w:r>
        <w:t>,</w:t>
      </w:r>
      <w:r w:rsidRPr="001D476E">
        <w:t xml:space="preserve"> </w:t>
      </w:r>
      <w:proofErr w:type="spellStart"/>
      <w:r w:rsidRPr="001D476E">
        <w:t>Bhaskar</w:t>
      </w:r>
      <w:proofErr w:type="spellEnd"/>
      <w:r w:rsidRPr="001D476E">
        <w:t xml:space="preserve"> </w:t>
      </w:r>
      <w:proofErr w:type="spellStart"/>
      <w:r w:rsidRPr="001D476E">
        <w:t>Das</w:t>
      </w:r>
      <w:r w:rsidRPr="001D476E">
        <w:rPr>
          <w:vertAlign w:val="superscript"/>
        </w:rPr>
        <w:t>a</w:t>
      </w:r>
      <w:proofErr w:type="spellEnd"/>
      <w:r w:rsidRPr="001D476E">
        <w:rPr>
          <w:vertAlign w:val="superscript"/>
        </w:rPr>
        <w:t>,</w:t>
      </w:r>
      <w:r w:rsidRPr="001D476E">
        <w:rPr>
          <w:vertAlign w:val="superscript"/>
        </w:rPr>
        <w:footnoteReference w:id="1"/>
      </w:r>
      <w:r w:rsidRPr="001D476E">
        <w:t xml:space="preserve"> and </w:t>
      </w:r>
      <w:proofErr w:type="spellStart"/>
      <w:r w:rsidRPr="001D476E">
        <w:t>Vidya</w:t>
      </w:r>
      <w:proofErr w:type="spellEnd"/>
      <w:r w:rsidRPr="001D476E">
        <w:t xml:space="preserve"> </w:t>
      </w:r>
      <w:proofErr w:type="spellStart"/>
      <w:r w:rsidRPr="001D476E">
        <w:t>R</w:t>
      </w:r>
      <w:r w:rsidRPr="001D476E">
        <w:rPr>
          <w:vertAlign w:val="superscript"/>
        </w:rPr>
        <w:t>b</w:t>
      </w:r>
      <w:proofErr w:type="spellEnd"/>
    </w:p>
    <w:p w14:paraId="7FF930B9" w14:textId="77777777" w:rsidR="00F21A17" w:rsidRPr="001D476E" w:rsidRDefault="00F21A17" w:rsidP="00F21A17">
      <w:pPr>
        <w:pStyle w:val="Affiliation"/>
      </w:pPr>
      <w:proofErr w:type="gramStart"/>
      <w:r w:rsidRPr="001D476E">
        <w:rPr>
          <w:vertAlign w:val="superscript"/>
        </w:rPr>
        <w:t>a</w:t>
      </w:r>
      <w:proofErr w:type="gramEnd"/>
      <w:r w:rsidRPr="001D476E">
        <w:rPr>
          <w:vertAlign w:val="superscript"/>
        </w:rPr>
        <w:t xml:space="preserve"> </w:t>
      </w:r>
      <w:r w:rsidRPr="001D476E">
        <w:t>Department of Environmental and Water Resources Engineering, School of Civil Engineering (SCE), V</w:t>
      </w:r>
      <w:r>
        <w:t xml:space="preserve">ellore </w:t>
      </w:r>
      <w:r w:rsidRPr="001D476E">
        <w:t>I</w:t>
      </w:r>
      <w:r>
        <w:t xml:space="preserve">nstitute of </w:t>
      </w:r>
      <w:r w:rsidRPr="001D476E">
        <w:t>T</w:t>
      </w:r>
      <w:r>
        <w:t>echnology</w:t>
      </w:r>
      <w:r w:rsidRPr="001D476E">
        <w:t>, Vellore, Tamil Nadu 632014, India</w:t>
      </w:r>
    </w:p>
    <w:p w14:paraId="15CF1D33" w14:textId="77777777" w:rsidR="00F21A17" w:rsidRPr="001E27C1" w:rsidRDefault="00F21A17" w:rsidP="00F21A17">
      <w:pPr>
        <w:pStyle w:val="Affiliation"/>
      </w:pPr>
      <w:proofErr w:type="gramStart"/>
      <w:r w:rsidRPr="001D476E">
        <w:rPr>
          <w:vertAlign w:val="superscript"/>
        </w:rPr>
        <w:t>b</w:t>
      </w:r>
      <w:proofErr w:type="gramEnd"/>
      <w:r w:rsidRPr="001D476E">
        <w:t xml:space="preserve"> VIT School of Agricultural Innovations and Advanced Learning (VAIAL), V</w:t>
      </w:r>
      <w:r>
        <w:t xml:space="preserve">ellore </w:t>
      </w:r>
      <w:r w:rsidRPr="001D476E">
        <w:t>I</w:t>
      </w:r>
      <w:r>
        <w:t xml:space="preserve">nstitute of </w:t>
      </w:r>
      <w:r w:rsidRPr="001D476E">
        <w:t>T</w:t>
      </w:r>
      <w:r>
        <w:t>echnology</w:t>
      </w:r>
      <w:r w:rsidRPr="001D476E">
        <w:t>, Vellore, Tamil Nadu 632014, India</w:t>
      </w:r>
    </w:p>
    <w:p w14:paraId="459FE7E5" w14:textId="77777777" w:rsidR="00F21A17" w:rsidRDefault="00F21A17" w:rsidP="00F21A17">
      <w:pPr>
        <w:pStyle w:val="Correspondencedetails"/>
      </w:pPr>
      <w:r>
        <w:t>Correspondence details:</w:t>
      </w:r>
    </w:p>
    <w:p w14:paraId="22902924" w14:textId="2ECF798B" w:rsidR="00F21A17" w:rsidRDefault="00F21A17" w:rsidP="00F21A17">
      <w:pPr>
        <w:pStyle w:val="Correspondencedetails"/>
      </w:pPr>
      <w:proofErr w:type="spellStart"/>
      <w:r>
        <w:t>Dr.</w:t>
      </w:r>
      <w:proofErr w:type="spellEnd"/>
      <w:r>
        <w:t xml:space="preserve"> </w:t>
      </w:r>
      <w:proofErr w:type="spellStart"/>
      <w:r>
        <w:t>Bhaskar</w:t>
      </w:r>
      <w:proofErr w:type="spellEnd"/>
      <w:r>
        <w:t xml:space="preserve"> Das, </w:t>
      </w:r>
      <w:r w:rsidRPr="00912DCB">
        <w:rPr>
          <w:lang w:val="en-IN"/>
        </w:rPr>
        <w:t>Associate Professor</w:t>
      </w:r>
      <w:proofErr w:type="gramStart"/>
      <w:r w:rsidRPr="00912DCB">
        <w:rPr>
          <w:lang w:val="en-US"/>
        </w:rPr>
        <w:t> &amp;</w:t>
      </w:r>
      <w:proofErr w:type="gramEnd"/>
      <w:r w:rsidRPr="00912DCB">
        <w:rPr>
          <w:lang w:val="en-US"/>
        </w:rPr>
        <w:t xml:space="preserve"> Placement Coordinator</w:t>
      </w:r>
      <w:r>
        <w:rPr>
          <w:lang w:val="en-US"/>
        </w:rPr>
        <w:t>,</w:t>
      </w:r>
    </w:p>
    <w:p w14:paraId="0F87019A" w14:textId="77777777" w:rsidR="00F21A17" w:rsidRDefault="00F21A17" w:rsidP="00F21A17">
      <w:pPr>
        <w:pStyle w:val="Correspondencedetails"/>
      </w:pPr>
      <w:r>
        <w:t xml:space="preserve">GDN-142, Environmental Engineering Laboratory, </w:t>
      </w:r>
      <w:r w:rsidRPr="00AF0CA5">
        <w:t>Department of Environmental and Water Resourc</w:t>
      </w:r>
      <w:r>
        <w:t xml:space="preserve">es Engineering, School of Civil </w:t>
      </w:r>
      <w:r w:rsidRPr="00AF0CA5">
        <w:t>Engineering (SCE), Vellore Institute of Technology, Vellore, Tamil Nadu 632014, India</w:t>
      </w:r>
      <w:r>
        <w:t>.</w:t>
      </w:r>
    </w:p>
    <w:p w14:paraId="49553B46" w14:textId="77777777" w:rsidR="00F21A17" w:rsidRDefault="00F21A17" w:rsidP="00F21A17">
      <w:pPr>
        <w:pStyle w:val="Correspondencedetails"/>
      </w:pPr>
      <w:r>
        <w:t xml:space="preserve">Email:  </w:t>
      </w:r>
      <w:hyperlink r:id="rId8" w:history="1">
        <w:r w:rsidRPr="00A02891">
          <w:rPr>
            <w:rStyle w:val="FootnoteTextChar"/>
          </w:rPr>
          <w:t>bhaskar.ju@gmail.com</w:t>
        </w:r>
      </w:hyperlink>
      <w:r>
        <w:t xml:space="preserve">; </w:t>
      </w:r>
      <w:r w:rsidRPr="0050032D">
        <w:t>ORCID: 0000-0002-0794-1677</w:t>
      </w:r>
    </w:p>
    <w:p w14:paraId="0EAA6CBF" w14:textId="24D61391" w:rsidR="00F21A17" w:rsidRDefault="00F21A17" w:rsidP="00CD4055">
      <w:pPr>
        <w:pStyle w:val="Tabletitle"/>
        <w:rPr>
          <w:b/>
          <w:lang w:val="en-US"/>
        </w:rPr>
      </w:pPr>
    </w:p>
    <w:p w14:paraId="27D1B150" w14:textId="77777777" w:rsidR="0049417C" w:rsidRDefault="0049417C" w:rsidP="00CC2305">
      <w:pPr>
        <w:jc w:val="both"/>
        <w:rPr>
          <w:b/>
          <w:lang w:val="en-US"/>
        </w:rPr>
      </w:pPr>
    </w:p>
    <w:p w14:paraId="5B1D7DCB" w14:textId="77777777" w:rsidR="000D5626" w:rsidRDefault="000D5626" w:rsidP="00CC2305">
      <w:pPr>
        <w:jc w:val="both"/>
        <w:rPr>
          <w:b/>
          <w:lang w:val="en-US"/>
        </w:rPr>
      </w:pPr>
    </w:p>
    <w:p w14:paraId="156FBE40" w14:textId="77777777" w:rsidR="000D5626" w:rsidRDefault="000D5626" w:rsidP="00CC2305">
      <w:pPr>
        <w:jc w:val="both"/>
        <w:rPr>
          <w:b/>
          <w:lang w:val="en-US"/>
        </w:rPr>
      </w:pPr>
    </w:p>
    <w:p w14:paraId="7AE24722" w14:textId="77777777" w:rsidR="000D5626" w:rsidRDefault="000D5626" w:rsidP="00CC2305">
      <w:pPr>
        <w:jc w:val="both"/>
        <w:rPr>
          <w:b/>
          <w:lang w:val="en-US"/>
        </w:rPr>
      </w:pPr>
    </w:p>
    <w:p w14:paraId="55CFD1CB" w14:textId="77777777" w:rsidR="000D5626" w:rsidRDefault="000D5626" w:rsidP="00CC2305">
      <w:pPr>
        <w:jc w:val="both"/>
        <w:rPr>
          <w:b/>
          <w:lang w:val="en-US"/>
        </w:rPr>
      </w:pPr>
    </w:p>
    <w:p w14:paraId="20B04F0F" w14:textId="77777777" w:rsidR="000D5626" w:rsidRDefault="000D5626" w:rsidP="00CC2305">
      <w:pPr>
        <w:jc w:val="both"/>
        <w:rPr>
          <w:b/>
          <w:lang w:val="en-US"/>
        </w:rPr>
      </w:pPr>
    </w:p>
    <w:p w14:paraId="26D5C506" w14:textId="77777777" w:rsidR="000D5626" w:rsidRPr="001E7C00" w:rsidRDefault="000D5626" w:rsidP="00CC2305">
      <w:pPr>
        <w:jc w:val="both"/>
        <w:rPr>
          <w:b/>
          <w:lang w:val="en-US"/>
        </w:rPr>
      </w:pPr>
    </w:p>
    <w:p w14:paraId="328C1DFC" w14:textId="39410412" w:rsidR="001B4494" w:rsidRPr="001E7C00" w:rsidRDefault="004436B4" w:rsidP="00CD4055">
      <w:pPr>
        <w:pStyle w:val="Tabletitle"/>
      </w:pPr>
      <w:r w:rsidRPr="001E7C00">
        <w:rPr>
          <w:b/>
          <w:lang w:val="en-US"/>
        </w:rPr>
        <w:lastRenderedPageBreak/>
        <w:t>Table S</w:t>
      </w:r>
      <w:r w:rsidR="0047145F">
        <w:rPr>
          <w:b/>
          <w:lang w:val="en-US"/>
        </w:rPr>
        <w:t>1</w:t>
      </w:r>
      <w:r w:rsidR="001B4494" w:rsidRPr="001E7C00">
        <w:rPr>
          <w:lang w:val="en-US"/>
        </w:rPr>
        <w:t xml:space="preserve"> ICP-OES instrumental parame</w:t>
      </w:r>
      <w:r w:rsidR="00565C0C" w:rsidRPr="001E7C00">
        <w:rPr>
          <w:lang w:val="en-US"/>
        </w:rPr>
        <w:t>ters for the analysis of metals</w:t>
      </w:r>
    </w:p>
    <w:tbl>
      <w:tblPr>
        <w:tblW w:w="6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1363"/>
        <w:gridCol w:w="1754"/>
        <w:gridCol w:w="1624"/>
      </w:tblGrid>
      <w:tr w:rsidR="001B4494" w:rsidRPr="001E7C00" w14:paraId="49EA3040" w14:textId="77777777" w:rsidTr="00001CEA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710CE" w14:textId="77777777" w:rsidR="001B4494" w:rsidRPr="001E7C00" w:rsidRDefault="001B4494" w:rsidP="00CC2305">
            <w:pPr>
              <w:jc w:val="center"/>
              <w:rPr>
                <w:b/>
              </w:rPr>
            </w:pPr>
            <w:r w:rsidRPr="001E7C00">
              <w:rPr>
                <w:b/>
              </w:rPr>
              <w:t>Parameter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C9AE2" w14:textId="77777777" w:rsidR="001B4494" w:rsidRPr="001E7C00" w:rsidRDefault="001B4494" w:rsidP="00CC2305">
            <w:pPr>
              <w:jc w:val="center"/>
              <w:rPr>
                <w:b/>
              </w:rPr>
            </w:pPr>
            <w:r w:rsidRPr="001E7C00">
              <w:rPr>
                <w:b/>
              </w:rPr>
              <w:t>Value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EA718" w14:textId="77777777" w:rsidR="001B4494" w:rsidRPr="001E7C00" w:rsidRDefault="001B4494" w:rsidP="00CC2305">
            <w:pPr>
              <w:jc w:val="center"/>
              <w:rPr>
                <w:b/>
              </w:rPr>
            </w:pPr>
            <w:r w:rsidRPr="001E7C00">
              <w:rPr>
                <w:b/>
              </w:rPr>
              <w:t>Parameter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D1923" w14:textId="77777777" w:rsidR="001B4494" w:rsidRPr="001E7C00" w:rsidRDefault="001B4494" w:rsidP="00CC2305">
            <w:pPr>
              <w:jc w:val="center"/>
              <w:rPr>
                <w:b/>
              </w:rPr>
            </w:pPr>
            <w:r w:rsidRPr="001E7C00">
              <w:rPr>
                <w:b/>
              </w:rPr>
              <w:t>Value</w:t>
            </w:r>
          </w:p>
        </w:tc>
      </w:tr>
      <w:tr w:rsidR="001B4494" w:rsidRPr="001E7C00" w14:paraId="7781D218" w14:textId="77777777" w:rsidTr="0053137C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49ED9A" w14:textId="77777777" w:rsidR="001B4494" w:rsidRPr="001E7C00" w:rsidRDefault="001B4494" w:rsidP="00CC2305">
            <w:pPr>
              <w:jc w:val="center"/>
            </w:pPr>
            <w:r w:rsidRPr="001E7C00">
              <w:t>Nebuliser type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2D0B6F" w14:textId="77777777" w:rsidR="001B4494" w:rsidRPr="001E7C00" w:rsidRDefault="001B4494" w:rsidP="00CC2305">
            <w:pPr>
              <w:jc w:val="center"/>
            </w:pPr>
            <w:r w:rsidRPr="001E7C00">
              <w:t>Cross-flow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1C56AC" w14:textId="77777777" w:rsidR="001B4494" w:rsidRPr="001E7C00" w:rsidRDefault="001B4494" w:rsidP="00CC2305">
            <w:pPr>
              <w:jc w:val="center"/>
            </w:pPr>
            <w:r w:rsidRPr="001E7C00">
              <w:t>Processing mode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35EAE9" w14:textId="77777777" w:rsidR="001B4494" w:rsidRPr="001E7C00" w:rsidRDefault="001B4494" w:rsidP="00CC2305">
            <w:pPr>
              <w:jc w:val="center"/>
            </w:pPr>
            <w:r w:rsidRPr="001E7C00">
              <w:t>Area</w:t>
            </w:r>
          </w:p>
        </w:tc>
      </w:tr>
      <w:tr w:rsidR="001B4494" w:rsidRPr="001E7C00" w14:paraId="0BC29895" w14:textId="77777777" w:rsidTr="0053137C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65E0AC" w14:textId="77777777" w:rsidR="001B4494" w:rsidRPr="001E7C00" w:rsidRDefault="001B4494" w:rsidP="00CC2305">
            <w:pPr>
              <w:jc w:val="center"/>
            </w:pPr>
            <w:r w:rsidRPr="001E7C00">
              <w:t>Spray chamber type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690D5C" w14:textId="77777777" w:rsidR="001B4494" w:rsidRPr="001E7C00" w:rsidRDefault="001B4494" w:rsidP="00CC2305">
            <w:pPr>
              <w:jc w:val="center"/>
            </w:pPr>
            <w:r w:rsidRPr="001E7C00">
              <w:t>Scott-type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326B52" w14:textId="77777777" w:rsidR="001B4494" w:rsidRPr="001E7C00" w:rsidRDefault="001B4494" w:rsidP="00CC2305">
            <w:pPr>
              <w:jc w:val="center"/>
            </w:pPr>
            <w:r w:rsidRPr="001E7C00">
              <w:t>Read delay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4C0E05" w14:textId="77777777" w:rsidR="001B4494" w:rsidRPr="001E7C00" w:rsidRDefault="001B4494" w:rsidP="00CC2305">
            <w:pPr>
              <w:jc w:val="center"/>
            </w:pPr>
            <w:r w:rsidRPr="001E7C00">
              <w:t>45 s</w:t>
            </w:r>
          </w:p>
        </w:tc>
      </w:tr>
      <w:tr w:rsidR="001B4494" w:rsidRPr="001E7C00" w14:paraId="2ABF745B" w14:textId="77777777" w:rsidTr="0053137C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643989" w14:textId="77777777" w:rsidR="001B4494" w:rsidRPr="001E7C00" w:rsidRDefault="001B4494" w:rsidP="00CC2305">
            <w:pPr>
              <w:jc w:val="center"/>
            </w:pPr>
            <w:r w:rsidRPr="001E7C00">
              <w:t>RF power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001974" w14:textId="77777777" w:rsidR="001B4494" w:rsidRPr="001E7C00" w:rsidRDefault="001B4494" w:rsidP="00CC2305">
            <w:pPr>
              <w:jc w:val="center"/>
            </w:pPr>
            <w:r w:rsidRPr="001E7C00">
              <w:t>1450 W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DD6B6E" w14:textId="77777777" w:rsidR="001B4494" w:rsidRPr="001E7C00" w:rsidRDefault="001B4494" w:rsidP="00CC2305">
            <w:pPr>
              <w:jc w:val="center"/>
            </w:pPr>
            <w:r w:rsidRPr="001E7C00">
              <w:t>Calibration type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6F3135" w14:textId="77777777" w:rsidR="001B4494" w:rsidRPr="001E7C00" w:rsidRDefault="001B4494" w:rsidP="00CC2305">
            <w:pPr>
              <w:jc w:val="center"/>
            </w:pPr>
            <w:r w:rsidRPr="001E7C00">
              <w:t>Linear</w:t>
            </w:r>
          </w:p>
        </w:tc>
      </w:tr>
      <w:tr w:rsidR="001B4494" w:rsidRPr="001E7C00" w14:paraId="3632B8DA" w14:textId="77777777" w:rsidTr="0053137C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DF8015" w14:textId="77777777" w:rsidR="001B4494" w:rsidRPr="001E7C00" w:rsidRDefault="001B4494" w:rsidP="00CC2305">
            <w:pPr>
              <w:jc w:val="center"/>
            </w:pPr>
            <w:r w:rsidRPr="001E7C00">
              <w:t>Plasma gas flow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4161DF" w14:textId="77777777" w:rsidR="001B4494" w:rsidRPr="001E7C00" w:rsidRDefault="001B4494" w:rsidP="00CC2305">
            <w:pPr>
              <w:jc w:val="center"/>
            </w:pPr>
            <w:r w:rsidRPr="001E7C00">
              <w:t>10 L min</w:t>
            </w:r>
            <w:r w:rsidRPr="001E7C00">
              <w:rPr>
                <w:vertAlign w:val="superscript"/>
              </w:rPr>
              <w:t>-1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54835A" w14:textId="77777777" w:rsidR="001B4494" w:rsidRPr="001E7C00" w:rsidRDefault="001B4494" w:rsidP="00CC2305">
            <w:pPr>
              <w:jc w:val="center"/>
            </w:pPr>
            <w:r w:rsidRPr="001E7C00">
              <w:t>Purge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3FD749" w14:textId="77777777" w:rsidR="001B4494" w:rsidRPr="001E7C00" w:rsidRDefault="001B4494" w:rsidP="00CC2305">
            <w:pPr>
              <w:jc w:val="center"/>
            </w:pPr>
            <w:r w:rsidRPr="001E7C00">
              <w:t>Normal</w:t>
            </w:r>
          </w:p>
        </w:tc>
      </w:tr>
      <w:tr w:rsidR="001B4494" w:rsidRPr="001E7C00" w14:paraId="2E2A9CC1" w14:textId="77777777" w:rsidTr="0053137C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EA58EA" w14:textId="77777777" w:rsidR="001B4494" w:rsidRPr="001E7C00" w:rsidRDefault="001B4494" w:rsidP="00CC2305">
            <w:pPr>
              <w:jc w:val="center"/>
            </w:pPr>
            <w:r w:rsidRPr="001E7C00">
              <w:t>Auxiliary gas flow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61DB0F" w14:textId="77777777" w:rsidR="001B4494" w:rsidRPr="001E7C00" w:rsidRDefault="001B4494" w:rsidP="00CC2305">
            <w:pPr>
              <w:jc w:val="center"/>
            </w:pPr>
            <w:r w:rsidRPr="001E7C00">
              <w:t>0.2 L min</w:t>
            </w:r>
            <w:r w:rsidRPr="001E7C00">
              <w:rPr>
                <w:vertAlign w:val="superscript"/>
              </w:rPr>
              <w:t>-1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1D7DF4" w14:textId="77777777" w:rsidR="001B4494" w:rsidRPr="001E7C00" w:rsidRDefault="001B4494" w:rsidP="00CC2305">
            <w:pPr>
              <w:jc w:val="center"/>
            </w:pPr>
            <w:r w:rsidRPr="001E7C00">
              <w:t>Rinse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75D99F" w14:textId="77777777" w:rsidR="001B4494" w:rsidRPr="001E7C00" w:rsidRDefault="001B4494" w:rsidP="00CC2305">
            <w:pPr>
              <w:jc w:val="center"/>
            </w:pPr>
            <w:r w:rsidRPr="001E7C00">
              <w:t>20 s</w:t>
            </w:r>
          </w:p>
        </w:tc>
      </w:tr>
      <w:tr w:rsidR="001B4494" w:rsidRPr="001E7C00" w14:paraId="64B52BEC" w14:textId="77777777" w:rsidTr="0053137C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CC527C" w14:textId="77777777" w:rsidR="001B4494" w:rsidRPr="001E7C00" w:rsidRDefault="001B4494" w:rsidP="00CC2305">
            <w:pPr>
              <w:jc w:val="center"/>
            </w:pPr>
            <w:r w:rsidRPr="001E7C00">
              <w:t>Plasma viewing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8525A1" w14:textId="77777777" w:rsidR="001B4494" w:rsidRPr="001E7C00" w:rsidRDefault="001B4494" w:rsidP="00CC2305">
            <w:pPr>
              <w:jc w:val="center"/>
            </w:pPr>
            <w:r w:rsidRPr="001E7C00">
              <w:t>Axial/radial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016F5F" w14:textId="77777777" w:rsidR="001B4494" w:rsidRPr="001E7C00" w:rsidRDefault="001B4494" w:rsidP="00CC2305">
            <w:pPr>
              <w:jc w:val="center"/>
            </w:pPr>
            <w:r w:rsidRPr="001E7C00">
              <w:t>Replicates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1A8035" w14:textId="77777777" w:rsidR="001B4494" w:rsidRPr="001E7C00" w:rsidRDefault="001B4494" w:rsidP="00CC2305">
            <w:pPr>
              <w:jc w:val="center"/>
            </w:pPr>
            <w:r w:rsidRPr="001E7C00">
              <w:t>3</w:t>
            </w:r>
          </w:p>
        </w:tc>
      </w:tr>
      <w:tr w:rsidR="001B4494" w:rsidRPr="001E7C00" w14:paraId="387B6125" w14:textId="77777777" w:rsidTr="0053137C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62DF31" w14:textId="77777777" w:rsidR="001B4494" w:rsidRPr="001E7C00" w:rsidRDefault="001B4494" w:rsidP="00CC2305">
            <w:pPr>
              <w:jc w:val="center"/>
            </w:pPr>
            <w:r w:rsidRPr="001E7C00">
              <w:t>Sample flow rate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192835" w14:textId="77777777" w:rsidR="001B4494" w:rsidRPr="001E7C00" w:rsidRDefault="001B4494" w:rsidP="00CC2305">
            <w:pPr>
              <w:jc w:val="center"/>
            </w:pPr>
            <w:r w:rsidRPr="001E7C00">
              <w:t>1 mL min</w:t>
            </w:r>
            <w:r w:rsidRPr="001E7C00">
              <w:rPr>
                <w:vertAlign w:val="superscript"/>
              </w:rPr>
              <w:t>-1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281EB9" w14:textId="77777777" w:rsidR="001B4494" w:rsidRPr="001E7C00" w:rsidRDefault="001B4494" w:rsidP="00CC2305">
            <w:pPr>
              <w:jc w:val="center"/>
            </w:pPr>
            <w:r w:rsidRPr="001E7C00">
              <w:t>Carrier solution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2F4BCA" w14:textId="77777777" w:rsidR="001B4494" w:rsidRPr="001E7C00" w:rsidRDefault="001B4494" w:rsidP="00CC2305">
            <w:pPr>
              <w:jc w:val="center"/>
            </w:pPr>
            <w:r w:rsidRPr="001E7C00">
              <w:t xml:space="preserve">Aqua </w:t>
            </w:r>
            <w:proofErr w:type="spellStart"/>
            <w:r w:rsidRPr="001E7C00">
              <w:t>regia</w:t>
            </w:r>
            <w:proofErr w:type="spellEnd"/>
          </w:p>
        </w:tc>
      </w:tr>
      <w:tr w:rsidR="001B4494" w:rsidRPr="001E7C00" w14:paraId="4C191CFF" w14:textId="77777777" w:rsidTr="0053137C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4A9D55" w14:textId="77777777" w:rsidR="001B4494" w:rsidRPr="001E7C00" w:rsidRDefault="001B4494" w:rsidP="00CC2305">
            <w:pPr>
              <w:jc w:val="center"/>
            </w:pPr>
            <w:r w:rsidRPr="001E7C00">
              <w:t>Nebuliser gas flow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82BE5C" w14:textId="77777777" w:rsidR="001B4494" w:rsidRPr="001E7C00" w:rsidRDefault="001B4494" w:rsidP="00CC2305">
            <w:pPr>
              <w:jc w:val="center"/>
            </w:pPr>
            <w:r w:rsidRPr="001E7C00">
              <w:t>0.7 L min</w:t>
            </w:r>
            <w:r w:rsidRPr="001E7C00">
              <w:rPr>
                <w:vertAlign w:val="superscript"/>
              </w:rPr>
              <w:t>-1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CDD2A0" w14:textId="77777777" w:rsidR="001B4494" w:rsidRPr="001E7C00" w:rsidRDefault="001B4494" w:rsidP="00CC2305">
            <w:pPr>
              <w:jc w:val="center"/>
            </w:pPr>
            <w:r w:rsidRPr="001E7C00">
              <w:t>Rinse solution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15F9B3" w14:textId="6A0611BC" w:rsidR="001B4494" w:rsidRPr="001E7C00" w:rsidRDefault="001B4494" w:rsidP="002C2131">
            <w:pPr>
              <w:pStyle w:val="ListParagraph"/>
              <w:numPr>
                <w:ilvl w:val="0"/>
                <w:numId w:val="26"/>
              </w:numPr>
              <w:jc w:val="center"/>
            </w:pPr>
            <w:r w:rsidRPr="001E7C00">
              <w:t>% HNO</w:t>
            </w:r>
            <w:r w:rsidRPr="002C2131">
              <w:rPr>
                <w:vertAlign w:val="subscript"/>
              </w:rPr>
              <w:t>3</w:t>
            </w:r>
          </w:p>
        </w:tc>
      </w:tr>
    </w:tbl>
    <w:p w14:paraId="45E2ACA0" w14:textId="55D32404" w:rsidR="0049417C" w:rsidRDefault="0049417C" w:rsidP="00CC2305">
      <w:pPr>
        <w:spacing w:before="120" w:after="120"/>
        <w:jc w:val="both"/>
      </w:pPr>
    </w:p>
    <w:p w14:paraId="20199754" w14:textId="10CF3E3F" w:rsidR="00767F91" w:rsidRDefault="00767F91" w:rsidP="00CC2305">
      <w:pPr>
        <w:spacing w:before="120" w:after="120"/>
        <w:jc w:val="both"/>
      </w:pPr>
    </w:p>
    <w:p w14:paraId="71F43119" w14:textId="77777777" w:rsidR="000D5626" w:rsidRDefault="000D5626" w:rsidP="00CC2305">
      <w:pPr>
        <w:spacing w:before="120" w:after="120"/>
        <w:jc w:val="both"/>
      </w:pPr>
    </w:p>
    <w:p w14:paraId="400C7595" w14:textId="77777777" w:rsidR="000D5626" w:rsidRDefault="000D5626" w:rsidP="00CC2305">
      <w:pPr>
        <w:spacing w:before="120" w:after="120"/>
        <w:jc w:val="both"/>
      </w:pPr>
    </w:p>
    <w:p w14:paraId="3907A561" w14:textId="77777777" w:rsidR="000D5626" w:rsidRDefault="000D5626" w:rsidP="00CC2305">
      <w:pPr>
        <w:spacing w:before="120" w:after="120"/>
        <w:jc w:val="both"/>
      </w:pPr>
    </w:p>
    <w:p w14:paraId="75604251" w14:textId="77777777" w:rsidR="000D5626" w:rsidRDefault="000D5626" w:rsidP="00CC2305">
      <w:pPr>
        <w:spacing w:before="120" w:after="120"/>
        <w:jc w:val="both"/>
      </w:pPr>
    </w:p>
    <w:p w14:paraId="08DD1397" w14:textId="77777777" w:rsidR="000D5626" w:rsidRDefault="000D5626" w:rsidP="00CC2305">
      <w:pPr>
        <w:spacing w:before="120" w:after="120"/>
        <w:jc w:val="both"/>
      </w:pPr>
    </w:p>
    <w:p w14:paraId="24454C91" w14:textId="77777777" w:rsidR="000D5626" w:rsidRDefault="000D5626" w:rsidP="00CC2305">
      <w:pPr>
        <w:spacing w:before="120" w:after="120"/>
        <w:jc w:val="both"/>
      </w:pPr>
    </w:p>
    <w:p w14:paraId="11971FCF" w14:textId="77777777" w:rsidR="000D5626" w:rsidRDefault="000D5626" w:rsidP="00CC2305">
      <w:pPr>
        <w:spacing w:before="120" w:after="120"/>
        <w:jc w:val="both"/>
      </w:pPr>
    </w:p>
    <w:p w14:paraId="41171C91" w14:textId="77777777" w:rsidR="000D5626" w:rsidRDefault="000D5626" w:rsidP="00767F91">
      <w:pPr>
        <w:spacing w:before="120" w:after="120"/>
        <w:jc w:val="both"/>
        <w:rPr>
          <w:b/>
          <w:lang w:val="en-US"/>
        </w:rPr>
        <w:sectPr w:rsidR="000D5626" w:rsidSect="000D562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A1AA367" w14:textId="2FD95ED0" w:rsidR="00767F91" w:rsidRDefault="00767F91" w:rsidP="00767F91">
      <w:pPr>
        <w:spacing w:before="120" w:after="120"/>
        <w:jc w:val="both"/>
        <w:rPr>
          <w:sz w:val="20"/>
          <w:szCs w:val="20"/>
        </w:rPr>
      </w:pPr>
      <w:r w:rsidRPr="00767F91">
        <w:rPr>
          <w:b/>
          <w:lang w:val="en-US"/>
        </w:rPr>
        <w:lastRenderedPageBreak/>
        <w:t>Table S</w:t>
      </w:r>
      <w:r>
        <w:rPr>
          <w:b/>
          <w:lang w:val="en-US"/>
        </w:rPr>
        <w:t>2</w:t>
      </w:r>
      <w:r w:rsidRPr="00767F91">
        <w:rPr>
          <w:lang w:val="en-US"/>
        </w:rPr>
        <w:t xml:space="preserve"> </w:t>
      </w:r>
      <w:r w:rsidRPr="00AA642A">
        <w:rPr>
          <w:sz w:val="20"/>
          <w:szCs w:val="20"/>
        </w:rPr>
        <w:t>Me</w:t>
      </w:r>
      <w:r>
        <w:rPr>
          <w:sz w:val="20"/>
          <w:szCs w:val="20"/>
        </w:rPr>
        <w:t>an metal</w:t>
      </w:r>
      <w:r w:rsidRPr="00AA642A">
        <w:rPr>
          <w:sz w:val="20"/>
          <w:szCs w:val="20"/>
        </w:rPr>
        <w:t xml:space="preserve"> concentrations </w:t>
      </w:r>
      <w:r>
        <w:rPr>
          <w:sz w:val="20"/>
          <w:szCs w:val="20"/>
        </w:rPr>
        <w:t>in</w:t>
      </w:r>
      <w:r w:rsidRPr="00AA642A">
        <w:rPr>
          <w:sz w:val="20"/>
          <w:szCs w:val="20"/>
        </w:rPr>
        <w:t xml:space="preserve"> </w:t>
      </w:r>
      <w:r>
        <w:rPr>
          <w:sz w:val="20"/>
          <w:szCs w:val="20"/>
        </w:rPr>
        <w:t>cow’s tail switch hair</w:t>
      </w:r>
      <w:r w:rsidRPr="00AA642A">
        <w:rPr>
          <w:sz w:val="20"/>
          <w:szCs w:val="20"/>
        </w:rPr>
        <w:t xml:space="preserve"> </w:t>
      </w:r>
      <w:r>
        <w:rPr>
          <w:sz w:val="20"/>
          <w:szCs w:val="20"/>
        </w:rPr>
        <w:t>samples</w:t>
      </w:r>
    </w:p>
    <w:tbl>
      <w:tblPr>
        <w:tblStyle w:val="TableGrid"/>
        <w:tblW w:w="13857" w:type="dxa"/>
        <w:tblLayout w:type="fixed"/>
        <w:tblLook w:val="04A0" w:firstRow="1" w:lastRow="0" w:firstColumn="1" w:lastColumn="0" w:noHBand="0" w:noVBand="1"/>
      </w:tblPr>
      <w:tblGrid>
        <w:gridCol w:w="2432"/>
        <w:gridCol w:w="1717"/>
        <w:gridCol w:w="1226"/>
        <w:gridCol w:w="1417"/>
        <w:gridCol w:w="1317"/>
        <w:gridCol w:w="1638"/>
        <w:gridCol w:w="1417"/>
        <w:gridCol w:w="1267"/>
        <w:gridCol w:w="1426"/>
      </w:tblGrid>
      <w:tr w:rsidR="00767F91" w:rsidRPr="00AA642A" w14:paraId="3F17F4F2" w14:textId="77777777" w:rsidTr="00827941">
        <w:trPr>
          <w:trHeight w:val="460"/>
        </w:trPr>
        <w:tc>
          <w:tcPr>
            <w:tcW w:w="2432" w:type="dxa"/>
            <w:vMerge w:val="restart"/>
            <w:vAlign w:val="center"/>
          </w:tcPr>
          <w:p w14:paraId="2D756083" w14:textId="77777777" w:rsidR="00767F91" w:rsidRPr="00D94E3F" w:rsidRDefault="00767F91" w:rsidP="008279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94E3F">
              <w:rPr>
                <w:b/>
                <w:bCs/>
                <w:color w:val="000000"/>
                <w:sz w:val="20"/>
                <w:szCs w:val="20"/>
                <w:lang w:eastAsia="en-IN"/>
              </w:rPr>
              <w:t>Type of sample</w:t>
            </w:r>
          </w:p>
        </w:tc>
        <w:tc>
          <w:tcPr>
            <w:tcW w:w="11425" w:type="dxa"/>
            <w:gridSpan w:val="8"/>
            <w:vAlign w:val="center"/>
          </w:tcPr>
          <w:p w14:paraId="0B044D59" w14:textId="77777777" w:rsidR="00767F91" w:rsidRPr="00D94E3F" w:rsidRDefault="00767F91" w:rsidP="008279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94E3F">
              <w:rPr>
                <w:b/>
                <w:bCs/>
                <w:color w:val="000000"/>
                <w:sz w:val="20"/>
                <w:szCs w:val="20"/>
                <w:lang w:eastAsia="en-IN"/>
              </w:rPr>
              <w:t>Parameter</w:t>
            </w:r>
          </w:p>
        </w:tc>
      </w:tr>
      <w:tr w:rsidR="00767F91" w:rsidRPr="00AA642A" w14:paraId="68C0226A" w14:textId="77777777" w:rsidTr="00827941">
        <w:trPr>
          <w:trHeight w:val="255"/>
        </w:trPr>
        <w:tc>
          <w:tcPr>
            <w:tcW w:w="2432" w:type="dxa"/>
            <w:vMerge/>
            <w:vAlign w:val="center"/>
          </w:tcPr>
          <w:p w14:paraId="151CC8CD" w14:textId="77777777" w:rsidR="00767F91" w:rsidRPr="00D94E3F" w:rsidRDefault="00767F91" w:rsidP="008279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17" w:type="dxa"/>
            <w:vAlign w:val="center"/>
          </w:tcPr>
          <w:p w14:paraId="0C500EA2" w14:textId="77777777" w:rsidR="00767F91" w:rsidRPr="00D94E3F" w:rsidRDefault="00767F91" w:rsidP="008279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94E3F">
              <w:rPr>
                <w:b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1226" w:type="dxa"/>
            <w:vAlign w:val="center"/>
          </w:tcPr>
          <w:p w14:paraId="764E0C21" w14:textId="77777777" w:rsidR="00767F91" w:rsidRPr="00D94E3F" w:rsidRDefault="00767F91" w:rsidP="008279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94E3F">
              <w:rPr>
                <w:b/>
                <w:color w:val="000000"/>
                <w:sz w:val="20"/>
                <w:szCs w:val="20"/>
                <w:lang w:eastAsia="en-IN"/>
              </w:rPr>
              <w:t>Cd</w:t>
            </w:r>
          </w:p>
        </w:tc>
        <w:tc>
          <w:tcPr>
            <w:tcW w:w="1417" w:type="dxa"/>
            <w:vAlign w:val="center"/>
          </w:tcPr>
          <w:p w14:paraId="2B343F6E" w14:textId="77777777" w:rsidR="00767F91" w:rsidRPr="00D94E3F" w:rsidRDefault="00767F91" w:rsidP="008279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94E3F">
              <w:rPr>
                <w:b/>
                <w:color w:val="000000"/>
                <w:sz w:val="20"/>
                <w:szCs w:val="20"/>
                <w:lang w:eastAsia="en-IN"/>
              </w:rPr>
              <w:t>Cr</w:t>
            </w:r>
          </w:p>
        </w:tc>
        <w:tc>
          <w:tcPr>
            <w:tcW w:w="1317" w:type="dxa"/>
            <w:vAlign w:val="center"/>
          </w:tcPr>
          <w:p w14:paraId="0E72391A" w14:textId="77777777" w:rsidR="00767F91" w:rsidRPr="00D94E3F" w:rsidRDefault="00767F91" w:rsidP="008279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94E3F">
              <w:rPr>
                <w:b/>
                <w:color w:val="000000"/>
                <w:sz w:val="20"/>
                <w:szCs w:val="20"/>
                <w:lang w:eastAsia="en-IN"/>
              </w:rPr>
              <w:t>Cu</w:t>
            </w:r>
          </w:p>
        </w:tc>
        <w:tc>
          <w:tcPr>
            <w:tcW w:w="1638" w:type="dxa"/>
            <w:vAlign w:val="center"/>
          </w:tcPr>
          <w:p w14:paraId="4F0561A0" w14:textId="77777777" w:rsidR="00767F91" w:rsidRPr="00D94E3F" w:rsidRDefault="00767F91" w:rsidP="008279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94E3F">
              <w:rPr>
                <w:b/>
                <w:color w:val="000000"/>
                <w:sz w:val="20"/>
                <w:szCs w:val="20"/>
                <w:lang w:eastAsia="en-IN"/>
              </w:rPr>
              <w:t>Fe</w:t>
            </w:r>
          </w:p>
        </w:tc>
        <w:tc>
          <w:tcPr>
            <w:tcW w:w="1417" w:type="dxa"/>
            <w:vAlign w:val="center"/>
          </w:tcPr>
          <w:p w14:paraId="1C7F2665" w14:textId="77777777" w:rsidR="00767F91" w:rsidRPr="00D94E3F" w:rsidRDefault="00767F91" w:rsidP="008279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94E3F">
              <w:rPr>
                <w:b/>
                <w:color w:val="000000"/>
                <w:sz w:val="20"/>
                <w:szCs w:val="20"/>
                <w:lang w:eastAsia="en-IN"/>
              </w:rPr>
              <w:t>Mn</w:t>
            </w:r>
            <w:proofErr w:type="spellEnd"/>
          </w:p>
        </w:tc>
        <w:tc>
          <w:tcPr>
            <w:tcW w:w="1267" w:type="dxa"/>
            <w:vAlign w:val="center"/>
          </w:tcPr>
          <w:p w14:paraId="54F0C06A" w14:textId="77777777" w:rsidR="00767F91" w:rsidRPr="00D94E3F" w:rsidRDefault="00767F91" w:rsidP="008279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94E3F">
              <w:rPr>
                <w:b/>
                <w:color w:val="000000"/>
                <w:sz w:val="20"/>
                <w:szCs w:val="20"/>
                <w:lang w:eastAsia="en-IN"/>
              </w:rPr>
              <w:t>Pb</w:t>
            </w:r>
            <w:proofErr w:type="spellEnd"/>
          </w:p>
        </w:tc>
        <w:tc>
          <w:tcPr>
            <w:tcW w:w="1426" w:type="dxa"/>
            <w:vAlign w:val="center"/>
          </w:tcPr>
          <w:p w14:paraId="3312868A" w14:textId="77777777" w:rsidR="00767F91" w:rsidRPr="00D94E3F" w:rsidRDefault="00767F91" w:rsidP="008279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94E3F">
              <w:rPr>
                <w:b/>
                <w:color w:val="000000"/>
                <w:sz w:val="20"/>
                <w:szCs w:val="20"/>
                <w:lang w:eastAsia="en-IN"/>
              </w:rPr>
              <w:t>Zn</w:t>
            </w:r>
          </w:p>
        </w:tc>
      </w:tr>
      <w:tr w:rsidR="00767F91" w:rsidRPr="00AA642A" w14:paraId="57ABA546" w14:textId="77777777" w:rsidTr="00827941">
        <w:trPr>
          <w:trHeight w:hRule="exact" w:val="363"/>
        </w:trPr>
        <w:tc>
          <w:tcPr>
            <w:tcW w:w="2432" w:type="dxa"/>
            <w:vAlign w:val="center"/>
          </w:tcPr>
          <w:p w14:paraId="449411CE" w14:textId="77777777" w:rsidR="00767F91" w:rsidRPr="00D94E3F" w:rsidRDefault="00767F91" w:rsidP="00827941">
            <w:pPr>
              <w:jc w:val="center"/>
              <w:rPr>
                <w:color w:val="000000"/>
                <w:sz w:val="20"/>
                <w:szCs w:val="20"/>
                <w:lang w:eastAsia="en-IN"/>
              </w:rPr>
            </w:pPr>
            <w:r w:rsidRPr="00D94E3F">
              <w:rPr>
                <w:color w:val="000000"/>
                <w:sz w:val="20"/>
                <w:szCs w:val="20"/>
                <w:lang w:eastAsia="en-IN"/>
              </w:rPr>
              <w:t>Cow’s tail switch hair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E273" w14:textId="77777777" w:rsidR="00767F91" w:rsidRPr="00D94E3F" w:rsidRDefault="00767F91" w:rsidP="00827941">
            <w:pPr>
              <w:jc w:val="center"/>
              <w:rPr>
                <w:color w:val="000000"/>
                <w:sz w:val="20"/>
                <w:szCs w:val="20"/>
              </w:rPr>
            </w:pPr>
            <w:r w:rsidRPr="00D94E3F">
              <w:rPr>
                <w:color w:val="000000"/>
                <w:sz w:val="20"/>
                <w:szCs w:val="20"/>
              </w:rPr>
              <w:t>1374.07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569F">
              <w:rPr>
                <w:color w:val="000000"/>
                <w:sz w:val="20"/>
                <w:szCs w:val="20"/>
                <w:lang w:val="en-IN"/>
              </w:rPr>
              <w:t>±</w:t>
            </w:r>
            <w:r>
              <w:rPr>
                <w:color w:val="000000"/>
                <w:sz w:val="20"/>
                <w:szCs w:val="20"/>
                <w:lang w:val="en-IN"/>
              </w:rPr>
              <w:t xml:space="preserve"> 0.88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5514" w14:textId="77777777" w:rsidR="00767F91" w:rsidRPr="00D94E3F" w:rsidRDefault="00767F91" w:rsidP="00827941">
            <w:pPr>
              <w:jc w:val="center"/>
              <w:rPr>
                <w:color w:val="000000"/>
                <w:sz w:val="20"/>
                <w:szCs w:val="20"/>
              </w:rPr>
            </w:pPr>
            <w:r w:rsidRPr="00D94E3F">
              <w:rPr>
                <w:color w:val="000000"/>
                <w:sz w:val="20"/>
                <w:szCs w:val="20"/>
              </w:rPr>
              <w:t>0.11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569F">
              <w:rPr>
                <w:color w:val="000000"/>
                <w:sz w:val="20"/>
                <w:szCs w:val="20"/>
                <w:lang w:val="en-IN"/>
              </w:rPr>
              <w:t>±</w:t>
            </w:r>
            <w:r>
              <w:rPr>
                <w:color w:val="000000"/>
                <w:sz w:val="20"/>
                <w:szCs w:val="20"/>
                <w:lang w:val="en-IN"/>
              </w:rPr>
              <w:t xml:space="preserve"> 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D17C" w14:textId="77777777" w:rsidR="00767F91" w:rsidRPr="00D94E3F" w:rsidRDefault="00767F91" w:rsidP="00827941">
            <w:pPr>
              <w:jc w:val="center"/>
              <w:rPr>
                <w:color w:val="000000"/>
                <w:sz w:val="20"/>
                <w:szCs w:val="20"/>
              </w:rPr>
            </w:pPr>
            <w:r w:rsidRPr="00D94E3F">
              <w:rPr>
                <w:color w:val="000000"/>
                <w:sz w:val="20"/>
                <w:szCs w:val="20"/>
              </w:rPr>
              <w:t>31.63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569F">
              <w:rPr>
                <w:color w:val="000000"/>
                <w:sz w:val="20"/>
                <w:szCs w:val="20"/>
                <w:lang w:val="en-IN"/>
              </w:rPr>
              <w:t>±</w:t>
            </w:r>
            <w:r>
              <w:rPr>
                <w:color w:val="000000"/>
                <w:sz w:val="20"/>
                <w:szCs w:val="20"/>
                <w:lang w:val="en-IN"/>
              </w:rPr>
              <w:t xml:space="preserve"> 0.41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4721" w14:textId="77777777" w:rsidR="00767F91" w:rsidRPr="00D94E3F" w:rsidRDefault="00767F91" w:rsidP="00827941">
            <w:pPr>
              <w:jc w:val="center"/>
              <w:rPr>
                <w:color w:val="000000"/>
                <w:sz w:val="20"/>
                <w:szCs w:val="20"/>
              </w:rPr>
            </w:pPr>
            <w:r w:rsidRPr="00D94E3F">
              <w:rPr>
                <w:color w:val="000000"/>
                <w:sz w:val="20"/>
                <w:szCs w:val="20"/>
              </w:rPr>
              <w:t>15.80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569F">
              <w:rPr>
                <w:color w:val="000000"/>
                <w:sz w:val="20"/>
                <w:szCs w:val="20"/>
                <w:lang w:val="en-IN"/>
              </w:rPr>
              <w:t>±</w:t>
            </w:r>
            <w:r>
              <w:rPr>
                <w:color w:val="000000"/>
                <w:sz w:val="20"/>
                <w:szCs w:val="20"/>
                <w:lang w:val="en-IN"/>
              </w:rPr>
              <w:t xml:space="preserve"> 0.15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A8F6" w14:textId="77777777" w:rsidR="00767F91" w:rsidRPr="00D94E3F" w:rsidRDefault="00767F91" w:rsidP="00827941">
            <w:pPr>
              <w:jc w:val="center"/>
              <w:rPr>
                <w:color w:val="000000"/>
                <w:sz w:val="20"/>
                <w:szCs w:val="20"/>
              </w:rPr>
            </w:pPr>
            <w:r w:rsidRPr="00D94E3F">
              <w:rPr>
                <w:color w:val="000000"/>
                <w:sz w:val="20"/>
                <w:szCs w:val="20"/>
              </w:rPr>
              <w:t>1546.26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569F">
              <w:rPr>
                <w:color w:val="000000"/>
                <w:sz w:val="20"/>
                <w:szCs w:val="20"/>
                <w:lang w:val="en-IN"/>
              </w:rPr>
              <w:t>±</w:t>
            </w:r>
            <w:r>
              <w:rPr>
                <w:color w:val="000000"/>
                <w:sz w:val="20"/>
                <w:szCs w:val="20"/>
                <w:lang w:val="en-IN"/>
              </w:rPr>
              <w:t xml:space="preserve"> 1.66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B577" w14:textId="77777777" w:rsidR="00767F91" w:rsidRPr="00D94E3F" w:rsidRDefault="00767F91" w:rsidP="00827941">
            <w:pPr>
              <w:jc w:val="center"/>
              <w:rPr>
                <w:color w:val="000000"/>
                <w:sz w:val="20"/>
                <w:szCs w:val="20"/>
              </w:rPr>
            </w:pPr>
            <w:r w:rsidRPr="00D94E3F">
              <w:rPr>
                <w:color w:val="000000"/>
                <w:sz w:val="20"/>
                <w:szCs w:val="20"/>
              </w:rPr>
              <w:t>77.94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569F">
              <w:rPr>
                <w:color w:val="000000"/>
                <w:sz w:val="20"/>
                <w:szCs w:val="20"/>
                <w:lang w:val="en-IN"/>
              </w:rPr>
              <w:t>±</w:t>
            </w:r>
            <w:r>
              <w:rPr>
                <w:color w:val="000000"/>
                <w:sz w:val="20"/>
                <w:szCs w:val="20"/>
                <w:lang w:val="en-IN"/>
              </w:rPr>
              <w:t xml:space="preserve"> 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76BD" w14:textId="77777777" w:rsidR="00767F91" w:rsidRPr="00D94E3F" w:rsidRDefault="00767F91" w:rsidP="00827941">
            <w:pPr>
              <w:jc w:val="center"/>
              <w:rPr>
                <w:color w:val="000000"/>
                <w:sz w:val="20"/>
                <w:szCs w:val="20"/>
              </w:rPr>
            </w:pPr>
            <w:r w:rsidRPr="00D94E3F">
              <w:rPr>
                <w:color w:val="000000"/>
                <w:sz w:val="20"/>
                <w:szCs w:val="20"/>
              </w:rPr>
              <w:t>5.63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569F">
              <w:rPr>
                <w:color w:val="000000"/>
                <w:sz w:val="20"/>
                <w:szCs w:val="20"/>
                <w:lang w:val="en-IN"/>
              </w:rPr>
              <w:t>±</w:t>
            </w:r>
            <w:r>
              <w:rPr>
                <w:color w:val="000000"/>
                <w:sz w:val="20"/>
                <w:szCs w:val="20"/>
                <w:lang w:val="en-IN"/>
              </w:rPr>
              <w:t xml:space="preserve"> 0.11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08B4" w14:textId="77777777" w:rsidR="00767F91" w:rsidRPr="00D94E3F" w:rsidRDefault="00767F91" w:rsidP="00827941">
            <w:pPr>
              <w:jc w:val="center"/>
              <w:rPr>
                <w:color w:val="000000"/>
                <w:sz w:val="20"/>
                <w:szCs w:val="20"/>
              </w:rPr>
            </w:pPr>
            <w:r w:rsidRPr="00D94E3F">
              <w:rPr>
                <w:color w:val="000000"/>
                <w:sz w:val="20"/>
                <w:szCs w:val="20"/>
              </w:rPr>
              <w:t>410.09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569F">
              <w:rPr>
                <w:color w:val="000000"/>
                <w:sz w:val="20"/>
                <w:szCs w:val="20"/>
                <w:lang w:val="en-IN"/>
              </w:rPr>
              <w:t>±</w:t>
            </w:r>
            <w:r>
              <w:rPr>
                <w:color w:val="000000"/>
                <w:sz w:val="20"/>
                <w:szCs w:val="20"/>
                <w:lang w:val="en-IN"/>
              </w:rPr>
              <w:t xml:space="preserve"> 1.44</w:t>
            </w:r>
          </w:p>
        </w:tc>
      </w:tr>
    </w:tbl>
    <w:p w14:paraId="251A4898" w14:textId="77777777" w:rsidR="00767F91" w:rsidRPr="00767F91" w:rsidRDefault="00767F91" w:rsidP="00767F91">
      <w:pPr>
        <w:spacing w:before="120" w:after="120"/>
        <w:jc w:val="both"/>
      </w:pPr>
    </w:p>
    <w:p w14:paraId="7993AA5C" w14:textId="77777777" w:rsidR="00767F91" w:rsidRPr="001E7C00" w:rsidRDefault="00767F91" w:rsidP="00CC2305">
      <w:pPr>
        <w:spacing w:before="120" w:after="120"/>
        <w:jc w:val="both"/>
      </w:pPr>
    </w:p>
    <w:p w14:paraId="4E9BE5CA" w14:textId="77777777" w:rsidR="00305503" w:rsidRPr="00305503" w:rsidRDefault="00305503" w:rsidP="00305503"/>
    <w:p w14:paraId="2378E382" w14:textId="77777777" w:rsidR="00BD7B44" w:rsidRPr="001E7C00" w:rsidRDefault="00BD7B44" w:rsidP="00BD7B44"/>
    <w:p w14:paraId="4F76A7D9" w14:textId="77777777" w:rsidR="00767F91" w:rsidRDefault="00767F91" w:rsidP="002C2131">
      <w:pPr>
        <w:jc w:val="both"/>
        <w:rPr>
          <w:b/>
          <w:bCs/>
        </w:rPr>
      </w:pPr>
    </w:p>
    <w:p w14:paraId="4CD8FF5B" w14:textId="77777777" w:rsidR="00767F91" w:rsidRDefault="00767F91" w:rsidP="002C2131">
      <w:pPr>
        <w:jc w:val="both"/>
        <w:rPr>
          <w:b/>
          <w:bCs/>
        </w:rPr>
      </w:pPr>
    </w:p>
    <w:p w14:paraId="2CC87884" w14:textId="77777777" w:rsidR="00767F91" w:rsidRDefault="00767F91" w:rsidP="002C2131">
      <w:pPr>
        <w:jc w:val="both"/>
        <w:rPr>
          <w:b/>
          <w:bCs/>
        </w:rPr>
      </w:pPr>
    </w:p>
    <w:p w14:paraId="7B46C7D4" w14:textId="77777777" w:rsidR="00767F91" w:rsidRDefault="00767F91" w:rsidP="002C2131">
      <w:pPr>
        <w:jc w:val="both"/>
        <w:rPr>
          <w:b/>
          <w:bCs/>
        </w:rPr>
      </w:pPr>
    </w:p>
    <w:p w14:paraId="205C90D3" w14:textId="77777777" w:rsidR="00767F91" w:rsidRDefault="00767F91" w:rsidP="002C2131">
      <w:pPr>
        <w:jc w:val="both"/>
        <w:rPr>
          <w:b/>
          <w:bCs/>
        </w:rPr>
      </w:pPr>
    </w:p>
    <w:p w14:paraId="6DAC0676" w14:textId="77777777" w:rsidR="000D5626" w:rsidRDefault="000D5626" w:rsidP="002C2131">
      <w:pPr>
        <w:jc w:val="both"/>
        <w:rPr>
          <w:b/>
          <w:bCs/>
        </w:rPr>
      </w:pPr>
    </w:p>
    <w:p w14:paraId="7B80DAE5" w14:textId="77777777" w:rsidR="000D5626" w:rsidRDefault="000D5626" w:rsidP="002C2131">
      <w:pPr>
        <w:jc w:val="both"/>
        <w:rPr>
          <w:b/>
          <w:bCs/>
        </w:rPr>
      </w:pPr>
    </w:p>
    <w:p w14:paraId="195A711D" w14:textId="77777777" w:rsidR="000D5626" w:rsidRDefault="000D5626" w:rsidP="002C2131">
      <w:pPr>
        <w:jc w:val="both"/>
        <w:rPr>
          <w:b/>
          <w:bCs/>
        </w:rPr>
      </w:pPr>
    </w:p>
    <w:p w14:paraId="2673C565" w14:textId="77777777" w:rsidR="000D5626" w:rsidRDefault="000D5626" w:rsidP="002C2131">
      <w:pPr>
        <w:jc w:val="both"/>
        <w:rPr>
          <w:b/>
          <w:bCs/>
        </w:rPr>
        <w:sectPr w:rsidR="000D5626" w:rsidSect="000D562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95374DE" w14:textId="2EAFB9B3" w:rsidR="00E73909" w:rsidRPr="00767F91" w:rsidRDefault="002C2131" w:rsidP="002C2131">
      <w:pPr>
        <w:jc w:val="both"/>
        <w:rPr>
          <w:b/>
          <w:bCs/>
        </w:rPr>
      </w:pPr>
      <w:r w:rsidRPr="00767F91">
        <w:rPr>
          <w:b/>
          <w:bCs/>
        </w:rPr>
        <w:lastRenderedPageBreak/>
        <w:t xml:space="preserve">Risk </w:t>
      </w:r>
      <w:r w:rsidR="00B424F6" w:rsidRPr="00767F91">
        <w:rPr>
          <w:b/>
          <w:bCs/>
        </w:rPr>
        <w:t>estimation</w:t>
      </w:r>
    </w:p>
    <w:p w14:paraId="18116C9B" w14:textId="78A72333" w:rsidR="00E73909" w:rsidRDefault="00E73909" w:rsidP="00F94164">
      <w:pPr>
        <w:jc w:val="both"/>
      </w:pPr>
      <w:r>
        <w:t xml:space="preserve">Total number of cattle grazing regularly in the study area was found to be ninety-one. </w:t>
      </w:r>
      <w:r w:rsidR="00381FE7">
        <w:t>From this, cattle owners in the surrounding villages (</w:t>
      </w:r>
      <w:proofErr w:type="spellStart"/>
      <w:r w:rsidR="00381FE7">
        <w:t>Puliyanthangal</w:t>
      </w:r>
      <w:proofErr w:type="spellEnd"/>
      <w:r w:rsidR="00381FE7">
        <w:t xml:space="preserve"> and </w:t>
      </w:r>
      <w:proofErr w:type="spellStart"/>
      <w:r w:rsidR="00381FE7">
        <w:t>Periyanthangal</w:t>
      </w:r>
      <w:proofErr w:type="spellEnd"/>
      <w:r w:rsidR="00381FE7">
        <w:t xml:space="preserve">) </w:t>
      </w:r>
      <w:r w:rsidR="003A5B20">
        <w:t>were identified to be thirty-eight. Total milk yield per day from cattle was found to be 339 L/day from cow herds</w:t>
      </w:r>
      <w:r w:rsidR="00183AE4">
        <w:t>.</w:t>
      </w:r>
    </w:p>
    <w:p w14:paraId="0EB80480" w14:textId="34D0A601" w:rsidR="00E73909" w:rsidRDefault="00E73909" w:rsidP="00F94164">
      <w:pPr>
        <w:jc w:val="both"/>
      </w:pPr>
      <w:r>
        <w:t>Total milk yield per day</w:t>
      </w:r>
      <w:r w:rsidR="003A5B20">
        <w:t xml:space="preserve"> from ninety-one cattle</w:t>
      </w:r>
      <w:r>
        <w:t xml:space="preserve"> = 339 L/day</w:t>
      </w:r>
    </w:p>
    <w:p w14:paraId="437D47C2" w14:textId="5543FB0A" w:rsidR="003A5B20" w:rsidRDefault="003A5B20" w:rsidP="00F94164">
      <w:pPr>
        <w:jc w:val="both"/>
      </w:pPr>
      <w:r>
        <w:t>The self-c</w:t>
      </w:r>
      <w:r w:rsidR="00183AE4">
        <w:t>onsumption of milk per family per day from thirty-eight families of cattle owner’s was estimated by surveys and found to be 21 L per day. The mean self-consumption of milk per family was 0.56 L/day.</w:t>
      </w:r>
    </w:p>
    <w:p w14:paraId="61731944" w14:textId="3A640D09" w:rsidR="00E73909" w:rsidRDefault="00E73909" w:rsidP="00F94164">
      <w:pPr>
        <w:jc w:val="both"/>
      </w:pPr>
      <w:r>
        <w:t xml:space="preserve">Self-consumption of milk by </w:t>
      </w:r>
      <w:r w:rsidR="00183AE4">
        <w:t>thirty-eight families</w:t>
      </w:r>
      <w:r>
        <w:t xml:space="preserve"> = </w:t>
      </w:r>
      <w:r w:rsidR="00183AE4">
        <w:t>21</w:t>
      </w:r>
      <w:r>
        <w:t xml:space="preserve"> L/day</w:t>
      </w:r>
    </w:p>
    <w:p w14:paraId="11F1D547" w14:textId="0CEA5EA5" w:rsidR="00183AE4" w:rsidRDefault="00183AE4" w:rsidP="00F94164">
      <w:pPr>
        <w:jc w:val="both"/>
      </w:pPr>
      <w:r>
        <w:t>Mean self-consumption of one family = 0.56 L/day</w:t>
      </w:r>
    </w:p>
    <w:p w14:paraId="163DA999" w14:textId="00A7A302" w:rsidR="00183AE4" w:rsidRDefault="00183AE4" w:rsidP="00F94164">
      <w:pPr>
        <w:jc w:val="both"/>
      </w:pPr>
      <w:r>
        <w:t>Hence, 21 L of milk among total milk yield of 339 L was consumed by thirty-eight families of cattle owner’s per day, the rest 318 L of milk per day was sold to the consumers in the near-by villages.</w:t>
      </w:r>
    </w:p>
    <w:p w14:paraId="1D75ED8A" w14:textId="3A2546A3" w:rsidR="00E73909" w:rsidRDefault="00E73909" w:rsidP="00F94164">
      <w:pPr>
        <w:jc w:val="both"/>
      </w:pPr>
      <w:r>
        <w:t>Amount of milk sold to the consumers = 318 L/day</w:t>
      </w:r>
    </w:p>
    <w:p w14:paraId="052C3B44" w14:textId="07C8F658" w:rsidR="00183AE4" w:rsidRDefault="00183AE4" w:rsidP="00F94164">
      <w:pPr>
        <w:jc w:val="both"/>
      </w:pPr>
      <w:r>
        <w:t xml:space="preserve">From the surveys, the number of children and adults consuming milk per family </w:t>
      </w:r>
      <w:r w:rsidR="00533562">
        <w:t xml:space="preserve">among thirty-eight families </w:t>
      </w:r>
      <w:r>
        <w:t>was estimated</w:t>
      </w:r>
      <w:r w:rsidR="00533562">
        <w:t xml:space="preserve">; found to be thirty-five children and eighty-nine adults. Thus, it was approximated that the number of children consuming milk per family was 1; number of adults consuming milk per family was 2.4. </w:t>
      </w:r>
      <w:r w:rsidR="00412F58">
        <w:t xml:space="preserve">From the market survey </w:t>
      </w:r>
      <w:r w:rsidR="001E32A2">
        <w:t xml:space="preserve">conducted </w:t>
      </w:r>
      <w:r w:rsidR="00412F58">
        <w:t xml:space="preserve">among milk buyers from the study area, </w:t>
      </w:r>
      <w:r w:rsidR="00802F7C" w:rsidRPr="00802F7C">
        <w:t>the average daily intake of milk among children and adults</w:t>
      </w:r>
      <w:r w:rsidR="00802F7C">
        <w:t xml:space="preserve"> were identified.</w:t>
      </w:r>
    </w:p>
    <w:p w14:paraId="6A332E42" w14:textId="5C90B495" w:rsidR="00802F7C" w:rsidRDefault="00802F7C" w:rsidP="00F94164">
      <w:pPr>
        <w:jc w:val="both"/>
      </w:pPr>
      <w:r>
        <w:t>Average daily intake of child per day = 145 mL/day</w:t>
      </w:r>
    </w:p>
    <w:p w14:paraId="503834DC" w14:textId="1FE3626E" w:rsidR="00802F7C" w:rsidRDefault="00802F7C" w:rsidP="00F94164">
      <w:pPr>
        <w:jc w:val="both"/>
      </w:pPr>
      <w:r>
        <w:t>Average daily intake of adult per day = 206.5 mL/day</w:t>
      </w:r>
    </w:p>
    <w:p w14:paraId="53202200" w14:textId="77777777" w:rsidR="00802F7C" w:rsidRDefault="00802F7C" w:rsidP="00802F7C">
      <w:pPr>
        <w:jc w:val="both"/>
      </w:pPr>
      <w:r>
        <w:t>Total number of children consuming milk per family = 1</w:t>
      </w:r>
    </w:p>
    <w:p w14:paraId="7143DA71" w14:textId="35DDA8B0" w:rsidR="00802F7C" w:rsidRDefault="00802F7C" w:rsidP="00F94164">
      <w:pPr>
        <w:jc w:val="both"/>
      </w:pPr>
      <w:r>
        <w:t>Total number of adults consuming milk per family = 2.4</w:t>
      </w:r>
    </w:p>
    <w:p w14:paraId="0AA9B112" w14:textId="139D35CB" w:rsidR="00802F7C" w:rsidRDefault="00802F7C" w:rsidP="00F94164">
      <w:pPr>
        <w:jc w:val="both"/>
      </w:pPr>
      <w:r>
        <w:lastRenderedPageBreak/>
        <w:t>From this data, the number of families consuming 318 L milk per day can be calculated as follows:</w:t>
      </w:r>
    </w:p>
    <w:p w14:paraId="112555A9" w14:textId="5245AA2A" w:rsidR="00802F7C" w:rsidRDefault="00802F7C" w:rsidP="00F94164">
      <w:pPr>
        <w:jc w:val="both"/>
      </w:pPr>
      <w:r>
        <w:t>Let ‘x’ be the number of families consuming 318 L of milk per day; 2.4 adults and 1 child per family consumes milk in a day,</w:t>
      </w:r>
    </w:p>
    <w:p w14:paraId="319A41DB" w14:textId="77777777" w:rsidR="00E82AF9" w:rsidRDefault="00802F7C" w:rsidP="00F94164">
      <w:pPr>
        <w:jc w:val="both"/>
      </w:pPr>
      <w:r>
        <w:t xml:space="preserve"> </w:t>
      </w:r>
      <m:oMath>
        <m:r>
          <w:rPr>
            <w:rFonts w:ascii="Cambria Math" w:hAnsi="Cambria Math"/>
          </w:rPr>
          <m:t xml:space="preserve">x× 2.4 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206.5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 xml:space="preserve"> + x× 1 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145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 xml:space="preserve"> =318 L </m:t>
        </m:r>
      </m:oMath>
    </w:p>
    <w:p w14:paraId="3EF9DB42" w14:textId="77777777" w:rsidR="003F1F85" w:rsidRPr="003F1F85" w:rsidRDefault="00E82AF9" w:rsidP="003F1F85">
      <w:pPr>
        <w:jc w:val="both"/>
        <w:rPr>
          <w:color w:val="202124"/>
          <w:sz w:val="21"/>
          <w:szCs w:val="21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color w:val="202124"/>
              <w:sz w:val="21"/>
              <w:szCs w:val="21"/>
              <w:shd w:val="clear" w:color="auto" w:fill="FFFFFF"/>
            </w:rPr>
            <m:t xml:space="preserve">⇒x= </m:t>
          </m:r>
          <m:f>
            <m:fPr>
              <m:ctrlPr>
                <w:rPr>
                  <w:rFonts w:ascii="Cambria Math" w:hAnsi="Cambria Math" w:cs="Cambria Math"/>
                  <w:color w:val="202124"/>
                  <w:sz w:val="21"/>
                  <w:szCs w:val="21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Cambria Math"/>
                  <w:color w:val="202124"/>
                  <w:sz w:val="21"/>
                  <w:szCs w:val="21"/>
                  <w:shd w:val="clear" w:color="auto" w:fill="FFFFFF"/>
                </w:rPr>
                <m:t>318</m:t>
              </m:r>
            </m:num>
            <m:den>
              <m:d>
                <m:dPr>
                  <m:ctrlPr>
                    <w:rPr>
                      <w:rFonts w:ascii="Cambria Math" w:hAnsi="Cambria Math" w:cs="Cambria Math"/>
                      <w:i/>
                      <w:color w:val="202124"/>
                      <w:sz w:val="21"/>
                      <w:szCs w:val="21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color w:val="202124"/>
                      <w:sz w:val="21"/>
                      <w:szCs w:val="21"/>
                      <w:shd w:val="clear" w:color="auto" w:fill="FFFFFF"/>
                    </w:rPr>
                    <m:t>2.4 ×0.2065</m:t>
                  </m:r>
                </m:e>
              </m:d>
              <m:r>
                <w:rPr>
                  <w:rFonts w:ascii="Cambria Math" w:hAnsi="Cambria Math" w:cs="Cambria Math"/>
                  <w:color w:val="202124"/>
                  <w:sz w:val="21"/>
                  <w:szCs w:val="21"/>
                  <w:shd w:val="clear" w:color="auto" w:fill="FFFFFF"/>
                </w:rPr>
                <m:t xml:space="preserve"> +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color w:val="202124"/>
                      <w:sz w:val="21"/>
                      <w:szCs w:val="21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color w:val="202124"/>
                      <w:sz w:val="21"/>
                      <w:szCs w:val="21"/>
                      <w:shd w:val="clear" w:color="auto" w:fill="FFFFFF"/>
                    </w:rPr>
                    <m:t>1 ×0.145</m:t>
                  </m:r>
                </m:e>
              </m:d>
            </m:den>
          </m:f>
        </m:oMath>
      </m:oMathPara>
    </w:p>
    <w:p w14:paraId="1BB023A1" w14:textId="3BEDFDD0" w:rsidR="00ED5E3C" w:rsidRPr="003F1F85" w:rsidRDefault="003F1F85" w:rsidP="00F94164">
      <w:pPr>
        <w:jc w:val="both"/>
        <w:rPr>
          <w:color w:val="202124"/>
          <w:sz w:val="21"/>
          <w:szCs w:val="21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color w:val="202124"/>
              <w:sz w:val="21"/>
              <w:szCs w:val="21"/>
              <w:shd w:val="clear" w:color="auto" w:fill="FFFFFF"/>
            </w:rPr>
            <m:t xml:space="preserve">⇒x </m:t>
          </m:r>
          <m:r>
            <m:rPr>
              <m:sty m:val="p"/>
            </m:rPr>
            <w:rPr>
              <w:rFonts w:ascii="Cambria Math" w:hAnsi="Cambria Math" w:cs="Arial"/>
              <w:color w:val="202124"/>
              <w:sz w:val="21"/>
              <w:szCs w:val="21"/>
              <w:shd w:val="clear" w:color="auto" w:fill="FFFFFF"/>
            </w:rPr>
            <m:t>≈</m:t>
          </m:r>
          <m:r>
            <m:rPr>
              <m:sty m:val="p"/>
            </m:rPr>
            <w:rPr>
              <w:rFonts w:ascii="Cambria Math" w:hAnsi="Arial" w:cs="Arial"/>
              <w:color w:val="202124"/>
              <w:sz w:val="21"/>
              <w:szCs w:val="21"/>
              <w:shd w:val="clear" w:color="auto" w:fill="FFFFFF"/>
            </w:rPr>
            <m:t>496 families</m:t>
          </m:r>
        </m:oMath>
      </m:oMathPara>
    </w:p>
    <w:p w14:paraId="17D9F0C0" w14:textId="5CE76E4A" w:rsidR="00057EE2" w:rsidRPr="00D4221C" w:rsidRDefault="00057EE2" w:rsidP="003F1F85">
      <w:pPr>
        <w:jc w:val="both"/>
        <w:rPr>
          <w:color w:val="202124"/>
          <w:shd w:val="clear" w:color="auto" w:fill="FFFFFF"/>
        </w:rPr>
      </w:pPr>
      <w:r w:rsidRPr="00D4221C">
        <w:rPr>
          <w:color w:val="202124"/>
          <w:shd w:val="clear" w:color="auto" w:fill="FFFFFF"/>
        </w:rPr>
        <w:t xml:space="preserve">The total number of adults and children consuming the milk </w:t>
      </w:r>
      <w:r w:rsidR="00142EFD" w:rsidRPr="00D4221C">
        <w:rPr>
          <w:color w:val="202124"/>
          <w:shd w:val="clear" w:color="auto" w:fill="FFFFFF"/>
        </w:rPr>
        <w:t>every day</w:t>
      </w:r>
      <w:r w:rsidRPr="00D4221C">
        <w:rPr>
          <w:color w:val="202124"/>
          <w:shd w:val="clear" w:color="auto" w:fill="FFFFFF"/>
        </w:rPr>
        <w:t xml:space="preserve"> </w:t>
      </w:r>
      <w:r w:rsidR="00142EFD" w:rsidRPr="00D4221C">
        <w:rPr>
          <w:color w:val="202124"/>
          <w:shd w:val="clear" w:color="auto" w:fill="FFFFFF"/>
        </w:rPr>
        <w:t>in</w:t>
      </w:r>
      <w:r w:rsidRPr="00D4221C">
        <w:rPr>
          <w:color w:val="202124"/>
          <w:shd w:val="clear" w:color="auto" w:fill="FFFFFF"/>
        </w:rPr>
        <w:t xml:space="preserve"> the cattle owner families were identified already and found to be thirty-five children and eighty-five adults. The number of children and adults consuming the milk in the buyer’s families were estimated to be 1 and 2.4 respectively. From this data, the total number of children and adults consuming the metal contaminated milk everyday can be calculated as follows:</w:t>
      </w:r>
    </w:p>
    <w:p w14:paraId="561C966B" w14:textId="2A1F67D7" w:rsidR="00057EE2" w:rsidRPr="00D4221C" w:rsidRDefault="00057EE2" w:rsidP="003F1F85">
      <w:pPr>
        <w:jc w:val="both"/>
        <w:rPr>
          <w:color w:val="202124"/>
          <w:shd w:val="clear" w:color="auto" w:fill="FFFFFF"/>
        </w:rPr>
      </w:pPr>
      <w:r w:rsidRPr="00D4221C">
        <w:rPr>
          <w:color w:val="202124"/>
          <w:shd w:val="clear" w:color="auto" w:fill="FFFFFF"/>
        </w:rPr>
        <w:t>Total number of children consuming the metal contaminated milk = Number of children consuming milk in cattle owner’s families + number of children consuming milk in milk buyer’s families</w:t>
      </w:r>
    </w:p>
    <w:p w14:paraId="50D4FF86" w14:textId="7CBE079A" w:rsidR="00057EE2" w:rsidRPr="00D4221C" w:rsidRDefault="00057EE2" w:rsidP="00057EE2">
      <w:pPr>
        <w:jc w:val="both"/>
        <w:rPr>
          <w:color w:val="2021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202124"/>
              <w:shd w:val="clear" w:color="auto" w:fill="FFFFFF"/>
            </w:rPr>
            <m:t>⇒35 +(1×496)</m:t>
          </m:r>
        </m:oMath>
      </m:oMathPara>
    </w:p>
    <w:p w14:paraId="25A21981" w14:textId="6483BA28" w:rsidR="00057EE2" w:rsidRPr="00D4221C" w:rsidRDefault="00A91C66" w:rsidP="00057EE2">
      <w:pPr>
        <w:jc w:val="both"/>
        <w:rPr>
          <w:color w:val="2021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202124"/>
            <w:shd w:val="clear" w:color="auto" w:fill="FFFFFF"/>
          </w:rPr>
          <m:t>≈</m:t>
        </m:r>
      </m:oMath>
      <w:r w:rsidRPr="00D4221C">
        <w:rPr>
          <w:color w:val="202124"/>
          <w:shd w:val="clear" w:color="auto" w:fill="FFFFFF"/>
        </w:rPr>
        <w:t xml:space="preserve"> </w:t>
      </w:r>
      <w:r w:rsidR="00057EE2" w:rsidRPr="00D4221C">
        <w:rPr>
          <w:color w:val="202124"/>
          <w:shd w:val="clear" w:color="auto" w:fill="FFFFFF"/>
        </w:rPr>
        <w:t>531 children</w:t>
      </w:r>
    </w:p>
    <w:p w14:paraId="6BA9B7D3" w14:textId="34384C9B" w:rsidR="00057EE2" w:rsidRPr="00D4221C" w:rsidRDefault="00057EE2" w:rsidP="00057EE2">
      <w:pPr>
        <w:jc w:val="both"/>
        <w:rPr>
          <w:color w:val="202124"/>
          <w:shd w:val="clear" w:color="auto" w:fill="FFFFFF"/>
        </w:rPr>
      </w:pPr>
      <w:r w:rsidRPr="00D4221C">
        <w:rPr>
          <w:color w:val="202124"/>
          <w:shd w:val="clear" w:color="auto" w:fill="FFFFFF"/>
        </w:rPr>
        <w:t>Total number of adults consuming the metal contaminated milk = Number of adults consuming milk in cattle owner’s families + number of adults consuming milk in milk buyer’s families</w:t>
      </w:r>
    </w:p>
    <w:p w14:paraId="386BE4EF" w14:textId="723BF2A8" w:rsidR="00057EE2" w:rsidRPr="00D4221C" w:rsidRDefault="00057EE2" w:rsidP="00057EE2">
      <w:pPr>
        <w:jc w:val="both"/>
        <w:rPr>
          <w:color w:val="2021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202124"/>
              <w:shd w:val="clear" w:color="auto" w:fill="FFFFFF"/>
            </w:rPr>
            <m:t>⇒89 +(2.4 ×496)</m:t>
          </m:r>
        </m:oMath>
      </m:oMathPara>
    </w:p>
    <w:p w14:paraId="758CEA3D" w14:textId="77777777" w:rsidR="00A91C66" w:rsidRPr="00D4221C" w:rsidRDefault="00057EE2" w:rsidP="00057EE2">
      <w:pPr>
        <w:jc w:val="both"/>
        <w:rPr>
          <w:color w:val="202124"/>
          <w:shd w:val="clear" w:color="auto" w:fill="FFFFFF"/>
        </w:rPr>
      </w:pPr>
      <w:r w:rsidRPr="00D4221C">
        <w:rPr>
          <w:color w:val="202124"/>
          <w:shd w:val="clear" w:color="auto" w:fill="FFFFFF"/>
        </w:rPr>
        <w:t xml:space="preserve">= </w:t>
      </w:r>
      <w:r w:rsidR="00A91C66" w:rsidRPr="00D4221C">
        <w:rPr>
          <w:color w:val="202124"/>
          <w:shd w:val="clear" w:color="auto" w:fill="FFFFFF"/>
        </w:rPr>
        <w:t xml:space="preserve">89 </w:t>
      </w:r>
      <m:oMath>
        <m:r>
          <m:rPr>
            <m:sty m:val="p"/>
          </m:rPr>
          <w:rPr>
            <w:rFonts w:ascii="Cambria Math" w:hAnsi="Cambria Math"/>
            <w:color w:val="202124"/>
            <w:shd w:val="clear" w:color="auto" w:fill="FFFFFF"/>
          </w:rPr>
          <m:t>+</m:t>
        </m:r>
      </m:oMath>
      <w:r w:rsidR="00A91C66" w:rsidRPr="00D4221C">
        <w:rPr>
          <w:color w:val="202124"/>
          <w:shd w:val="clear" w:color="auto" w:fill="FFFFFF"/>
        </w:rPr>
        <w:t xml:space="preserve"> 1140.4</w:t>
      </w:r>
    </w:p>
    <w:p w14:paraId="6EDF9BC4" w14:textId="00F3BDA6" w:rsidR="00057EE2" w:rsidRPr="00D4221C" w:rsidRDefault="00A91C66" w:rsidP="00057EE2">
      <w:pPr>
        <w:jc w:val="both"/>
        <w:rPr>
          <w:color w:val="2021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202124"/>
            <w:shd w:val="clear" w:color="auto" w:fill="FFFFFF"/>
          </w:rPr>
          <m:t>≈</m:t>
        </m:r>
      </m:oMath>
      <w:r w:rsidRPr="00D4221C">
        <w:rPr>
          <w:color w:val="202124"/>
          <w:shd w:val="clear" w:color="auto" w:fill="FFFFFF"/>
        </w:rPr>
        <w:t xml:space="preserve"> 1279 adults</w:t>
      </w:r>
    </w:p>
    <w:p w14:paraId="37785B66" w14:textId="4857877E" w:rsidR="00057EE2" w:rsidRPr="00D4221C" w:rsidRDefault="00A91C66" w:rsidP="00057EE2">
      <w:pPr>
        <w:jc w:val="both"/>
        <w:rPr>
          <w:color w:val="202124"/>
          <w:shd w:val="clear" w:color="auto" w:fill="FFFFFF"/>
        </w:rPr>
      </w:pPr>
      <w:bookmarkStart w:id="2" w:name="_Hlk62741260"/>
      <w:r w:rsidRPr="00D4221C">
        <w:rPr>
          <w:color w:val="202124"/>
          <w:shd w:val="clear" w:color="auto" w:fill="FFFFFF"/>
        </w:rPr>
        <w:t xml:space="preserve">Approximately, there is considerable risk for 531 children and 1279 adults for consuming metal contaminated milk from the </w:t>
      </w:r>
      <w:r w:rsidR="003C0995" w:rsidRPr="00D4221C">
        <w:rPr>
          <w:color w:val="202124"/>
          <w:shd w:val="clear" w:color="auto" w:fill="FFFFFF"/>
        </w:rPr>
        <w:t>cattle</w:t>
      </w:r>
      <w:r w:rsidRPr="00D4221C">
        <w:rPr>
          <w:color w:val="202124"/>
          <w:shd w:val="clear" w:color="auto" w:fill="FFFFFF"/>
        </w:rPr>
        <w:t xml:space="preserve"> reared in the </w:t>
      </w:r>
      <w:proofErr w:type="spellStart"/>
      <w:r w:rsidRPr="00D4221C">
        <w:rPr>
          <w:color w:val="202124"/>
          <w:shd w:val="clear" w:color="auto" w:fill="FFFFFF"/>
        </w:rPr>
        <w:t>Puliyanthangal</w:t>
      </w:r>
      <w:proofErr w:type="spellEnd"/>
      <w:r w:rsidRPr="00D4221C">
        <w:rPr>
          <w:color w:val="202124"/>
          <w:shd w:val="clear" w:color="auto" w:fill="FFFFFF"/>
        </w:rPr>
        <w:t xml:space="preserve"> Lake</w:t>
      </w:r>
      <w:bookmarkEnd w:id="2"/>
      <w:r w:rsidRPr="00D4221C">
        <w:rPr>
          <w:color w:val="202124"/>
          <w:shd w:val="clear" w:color="auto" w:fill="FFFFFF"/>
        </w:rPr>
        <w:t>.</w:t>
      </w:r>
    </w:p>
    <w:p w14:paraId="11DF5FBA" w14:textId="77777777" w:rsidR="00057EE2" w:rsidRPr="00D4221C" w:rsidRDefault="00057EE2" w:rsidP="003F1F85">
      <w:pPr>
        <w:jc w:val="both"/>
        <w:rPr>
          <w:color w:val="202124"/>
          <w:shd w:val="clear" w:color="auto" w:fill="FFFFFF"/>
        </w:rPr>
      </w:pPr>
      <w:bookmarkStart w:id="3" w:name="_GoBack"/>
      <w:bookmarkEnd w:id="3"/>
    </w:p>
    <w:sectPr w:rsidR="00057EE2" w:rsidRPr="00D4221C" w:rsidSect="000D562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62F33" w14:textId="77777777" w:rsidR="00C07B78" w:rsidRDefault="00C07B78" w:rsidP="00A87B99">
      <w:pPr>
        <w:spacing w:line="240" w:lineRule="auto"/>
      </w:pPr>
      <w:r>
        <w:separator/>
      </w:r>
    </w:p>
  </w:endnote>
  <w:endnote w:type="continuationSeparator" w:id="0">
    <w:p w14:paraId="08FD5BC0" w14:textId="77777777" w:rsidR="00C07B78" w:rsidRDefault="00C07B78" w:rsidP="00A87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47C4D" w14:textId="77777777" w:rsidR="00C07B78" w:rsidRDefault="00C07B78" w:rsidP="00A87B99">
      <w:pPr>
        <w:spacing w:line="240" w:lineRule="auto"/>
      </w:pPr>
      <w:r>
        <w:separator/>
      </w:r>
    </w:p>
  </w:footnote>
  <w:footnote w:type="continuationSeparator" w:id="0">
    <w:p w14:paraId="6D279EDD" w14:textId="77777777" w:rsidR="00C07B78" w:rsidRDefault="00C07B78" w:rsidP="00A87B99">
      <w:pPr>
        <w:spacing w:line="240" w:lineRule="auto"/>
      </w:pPr>
      <w:r>
        <w:continuationSeparator/>
      </w:r>
    </w:p>
  </w:footnote>
  <w:footnote w:id="1">
    <w:p w14:paraId="65CFCD76" w14:textId="77777777" w:rsidR="006A71A6" w:rsidRDefault="006A71A6" w:rsidP="00F21A17">
      <w:r>
        <w:footnoteRef/>
      </w:r>
      <w:r>
        <w:t xml:space="preserve"> Corresponding Author (bhaskar.ju@gmail.com)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E37B8D"/>
    <w:multiLevelType w:val="hybridMultilevel"/>
    <w:tmpl w:val="1778DB14"/>
    <w:lvl w:ilvl="0" w:tplc="C2CC9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51424E"/>
    <w:multiLevelType w:val="hybridMultilevel"/>
    <w:tmpl w:val="1B4C9F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C6786"/>
    <w:multiLevelType w:val="hybridMultilevel"/>
    <w:tmpl w:val="4754C9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9"/>
  </w:num>
  <w:num w:numId="14">
    <w:abstractNumId w:val="22"/>
  </w:num>
  <w:num w:numId="15">
    <w:abstractNumId w:val="15"/>
  </w:num>
  <w:num w:numId="16">
    <w:abstractNumId w:val="18"/>
  </w:num>
  <w:num w:numId="17">
    <w:abstractNumId w:val="11"/>
  </w:num>
  <w:num w:numId="18">
    <w:abstractNumId w:val="0"/>
  </w:num>
  <w:num w:numId="19">
    <w:abstractNumId w:val="13"/>
  </w:num>
  <w:num w:numId="20">
    <w:abstractNumId w:val="20"/>
  </w:num>
  <w:num w:numId="21">
    <w:abstractNumId w:val="23"/>
  </w:num>
  <w:num w:numId="22">
    <w:abstractNumId w:val="24"/>
  </w:num>
  <w:num w:numId="23">
    <w:abstractNumId w:val="14"/>
  </w:num>
  <w:num w:numId="24">
    <w:abstractNumId w:val="25"/>
  </w:num>
  <w:num w:numId="25">
    <w:abstractNumId w:val="26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9E"/>
    <w:rsid w:val="00001CEA"/>
    <w:rsid w:val="00007CC5"/>
    <w:rsid w:val="000352BE"/>
    <w:rsid w:val="00046CD8"/>
    <w:rsid w:val="00056F59"/>
    <w:rsid w:val="00057EE2"/>
    <w:rsid w:val="00065950"/>
    <w:rsid w:val="00071C4F"/>
    <w:rsid w:val="00077307"/>
    <w:rsid w:val="00090388"/>
    <w:rsid w:val="00091910"/>
    <w:rsid w:val="000936B7"/>
    <w:rsid w:val="000A41F7"/>
    <w:rsid w:val="000B6AA7"/>
    <w:rsid w:val="000C262B"/>
    <w:rsid w:val="000D5626"/>
    <w:rsid w:val="000D6CEF"/>
    <w:rsid w:val="000E1A6D"/>
    <w:rsid w:val="000E559F"/>
    <w:rsid w:val="000F44D7"/>
    <w:rsid w:val="000F7506"/>
    <w:rsid w:val="00106CF8"/>
    <w:rsid w:val="001108BB"/>
    <w:rsid w:val="00110F54"/>
    <w:rsid w:val="001275D5"/>
    <w:rsid w:val="00131083"/>
    <w:rsid w:val="00142EFD"/>
    <w:rsid w:val="00144038"/>
    <w:rsid w:val="00144EA9"/>
    <w:rsid w:val="00153441"/>
    <w:rsid w:val="00170861"/>
    <w:rsid w:val="00174650"/>
    <w:rsid w:val="00176660"/>
    <w:rsid w:val="001833AD"/>
    <w:rsid w:val="00183AE4"/>
    <w:rsid w:val="001974FB"/>
    <w:rsid w:val="001A5590"/>
    <w:rsid w:val="001B315F"/>
    <w:rsid w:val="001B4494"/>
    <w:rsid w:val="001B4735"/>
    <w:rsid w:val="001C6E67"/>
    <w:rsid w:val="001C7B9A"/>
    <w:rsid w:val="001E1E13"/>
    <w:rsid w:val="001E32A2"/>
    <w:rsid w:val="001E7C00"/>
    <w:rsid w:val="002214A8"/>
    <w:rsid w:val="00221514"/>
    <w:rsid w:val="002251B1"/>
    <w:rsid w:val="00226226"/>
    <w:rsid w:val="002451DB"/>
    <w:rsid w:val="002543C2"/>
    <w:rsid w:val="00254C93"/>
    <w:rsid w:val="002576D1"/>
    <w:rsid w:val="00262F47"/>
    <w:rsid w:val="0026324C"/>
    <w:rsid w:val="00283482"/>
    <w:rsid w:val="002939E3"/>
    <w:rsid w:val="0029431C"/>
    <w:rsid w:val="002A09CA"/>
    <w:rsid w:val="002A4995"/>
    <w:rsid w:val="002C2131"/>
    <w:rsid w:val="002D02FF"/>
    <w:rsid w:val="002D329B"/>
    <w:rsid w:val="002D5CDE"/>
    <w:rsid w:val="002D5EB5"/>
    <w:rsid w:val="002D7DB2"/>
    <w:rsid w:val="002E2C5F"/>
    <w:rsid w:val="003007D2"/>
    <w:rsid w:val="0030357D"/>
    <w:rsid w:val="00304E9B"/>
    <w:rsid w:val="00305503"/>
    <w:rsid w:val="00310B7F"/>
    <w:rsid w:val="00311FC5"/>
    <w:rsid w:val="00323CBD"/>
    <w:rsid w:val="003249C1"/>
    <w:rsid w:val="00326564"/>
    <w:rsid w:val="00326A62"/>
    <w:rsid w:val="00327CA4"/>
    <w:rsid w:val="00331D62"/>
    <w:rsid w:val="0033348D"/>
    <w:rsid w:val="00363215"/>
    <w:rsid w:val="00381FE7"/>
    <w:rsid w:val="003823E5"/>
    <w:rsid w:val="003A20A2"/>
    <w:rsid w:val="003A5B20"/>
    <w:rsid w:val="003B3958"/>
    <w:rsid w:val="003C0995"/>
    <w:rsid w:val="003C3CA7"/>
    <w:rsid w:val="003C71C4"/>
    <w:rsid w:val="003C7BCD"/>
    <w:rsid w:val="003E0199"/>
    <w:rsid w:val="003F1F85"/>
    <w:rsid w:val="003F416A"/>
    <w:rsid w:val="003F51E6"/>
    <w:rsid w:val="00401B04"/>
    <w:rsid w:val="00405014"/>
    <w:rsid w:val="00412F58"/>
    <w:rsid w:val="00415B46"/>
    <w:rsid w:val="00425C07"/>
    <w:rsid w:val="004436B4"/>
    <w:rsid w:val="00444F13"/>
    <w:rsid w:val="00450AB1"/>
    <w:rsid w:val="00456CB5"/>
    <w:rsid w:val="004654BB"/>
    <w:rsid w:val="00470DE1"/>
    <w:rsid w:val="0047145F"/>
    <w:rsid w:val="004762E6"/>
    <w:rsid w:val="00481C50"/>
    <w:rsid w:val="00481D0D"/>
    <w:rsid w:val="00484106"/>
    <w:rsid w:val="00484945"/>
    <w:rsid w:val="00485D1B"/>
    <w:rsid w:val="004874BF"/>
    <w:rsid w:val="0049417C"/>
    <w:rsid w:val="004944D7"/>
    <w:rsid w:val="004A3CE3"/>
    <w:rsid w:val="004B03FD"/>
    <w:rsid w:val="004B297B"/>
    <w:rsid w:val="004B406E"/>
    <w:rsid w:val="004B54D1"/>
    <w:rsid w:val="004C2F01"/>
    <w:rsid w:val="004C3915"/>
    <w:rsid w:val="004D4728"/>
    <w:rsid w:val="004E0301"/>
    <w:rsid w:val="004E1BE6"/>
    <w:rsid w:val="004F4382"/>
    <w:rsid w:val="00502330"/>
    <w:rsid w:val="00511863"/>
    <w:rsid w:val="00513633"/>
    <w:rsid w:val="0051665F"/>
    <w:rsid w:val="005275F0"/>
    <w:rsid w:val="0053137C"/>
    <w:rsid w:val="00533562"/>
    <w:rsid w:val="00540BE5"/>
    <w:rsid w:val="00546F2A"/>
    <w:rsid w:val="00556D50"/>
    <w:rsid w:val="00565C0C"/>
    <w:rsid w:val="00583CC7"/>
    <w:rsid w:val="005A207E"/>
    <w:rsid w:val="005A5FA0"/>
    <w:rsid w:val="005A7DE9"/>
    <w:rsid w:val="005B2F73"/>
    <w:rsid w:val="005B3493"/>
    <w:rsid w:val="005E406E"/>
    <w:rsid w:val="005E765D"/>
    <w:rsid w:val="005F38A0"/>
    <w:rsid w:val="005F3FD2"/>
    <w:rsid w:val="006031A1"/>
    <w:rsid w:val="006149E4"/>
    <w:rsid w:val="00632DE2"/>
    <w:rsid w:val="006449F9"/>
    <w:rsid w:val="00655EC3"/>
    <w:rsid w:val="006564CF"/>
    <w:rsid w:val="00660043"/>
    <w:rsid w:val="00664C14"/>
    <w:rsid w:val="0068176C"/>
    <w:rsid w:val="0068260F"/>
    <w:rsid w:val="006A71A6"/>
    <w:rsid w:val="006B7A43"/>
    <w:rsid w:val="006D14B8"/>
    <w:rsid w:val="006E7E81"/>
    <w:rsid w:val="006F363B"/>
    <w:rsid w:val="006F5B3C"/>
    <w:rsid w:val="00707150"/>
    <w:rsid w:val="00730392"/>
    <w:rsid w:val="00736303"/>
    <w:rsid w:val="00767F91"/>
    <w:rsid w:val="00776444"/>
    <w:rsid w:val="00784358"/>
    <w:rsid w:val="00786F0D"/>
    <w:rsid w:val="007A3E57"/>
    <w:rsid w:val="007B643B"/>
    <w:rsid w:val="007C5EE2"/>
    <w:rsid w:val="007C721C"/>
    <w:rsid w:val="00802F7C"/>
    <w:rsid w:val="0081120B"/>
    <w:rsid w:val="00817051"/>
    <w:rsid w:val="008250C6"/>
    <w:rsid w:val="0083399D"/>
    <w:rsid w:val="00846C0E"/>
    <w:rsid w:val="008516C3"/>
    <w:rsid w:val="008544E3"/>
    <w:rsid w:val="008820C8"/>
    <w:rsid w:val="00883823"/>
    <w:rsid w:val="00883DD2"/>
    <w:rsid w:val="008849E7"/>
    <w:rsid w:val="008B43D1"/>
    <w:rsid w:val="008B5A34"/>
    <w:rsid w:val="008C6F9D"/>
    <w:rsid w:val="008E1F3D"/>
    <w:rsid w:val="008E25F8"/>
    <w:rsid w:val="008E6806"/>
    <w:rsid w:val="008F5457"/>
    <w:rsid w:val="00907C56"/>
    <w:rsid w:val="00922F50"/>
    <w:rsid w:val="00932F4F"/>
    <w:rsid w:val="00934543"/>
    <w:rsid w:val="009363A9"/>
    <w:rsid w:val="00940108"/>
    <w:rsid w:val="0095376E"/>
    <w:rsid w:val="009634F5"/>
    <w:rsid w:val="00963872"/>
    <w:rsid w:val="00976389"/>
    <w:rsid w:val="00980C48"/>
    <w:rsid w:val="00981BC2"/>
    <w:rsid w:val="009928BD"/>
    <w:rsid w:val="009A4A19"/>
    <w:rsid w:val="009D407B"/>
    <w:rsid w:val="009D6468"/>
    <w:rsid w:val="009D6EA8"/>
    <w:rsid w:val="009F4DA0"/>
    <w:rsid w:val="00A03B49"/>
    <w:rsid w:val="00A05AED"/>
    <w:rsid w:val="00A06638"/>
    <w:rsid w:val="00A07C0A"/>
    <w:rsid w:val="00A102FA"/>
    <w:rsid w:val="00A11764"/>
    <w:rsid w:val="00A17E16"/>
    <w:rsid w:val="00A26933"/>
    <w:rsid w:val="00A34C36"/>
    <w:rsid w:val="00A428C4"/>
    <w:rsid w:val="00A50A62"/>
    <w:rsid w:val="00A858BD"/>
    <w:rsid w:val="00A87B99"/>
    <w:rsid w:val="00A91C66"/>
    <w:rsid w:val="00A97361"/>
    <w:rsid w:val="00AA0B3E"/>
    <w:rsid w:val="00AA42C9"/>
    <w:rsid w:val="00AB5475"/>
    <w:rsid w:val="00AC1D50"/>
    <w:rsid w:val="00AD2887"/>
    <w:rsid w:val="00AF5EBB"/>
    <w:rsid w:val="00B015F5"/>
    <w:rsid w:val="00B07F77"/>
    <w:rsid w:val="00B109AC"/>
    <w:rsid w:val="00B1297C"/>
    <w:rsid w:val="00B154E4"/>
    <w:rsid w:val="00B16B4E"/>
    <w:rsid w:val="00B22993"/>
    <w:rsid w:val="00B26273"/>
    <w:rsid w:val="00B31662"/>
    <w:rsid w:val="00B31FE4"/>
    <w:rsid w:val="00B424F6"/>
    <w:rsid w:val="00B42C6E"/>
    <w:rsid w:val="00B44028"/>
    <w:rsid w:val="00B44630"/>
    <w:rsid w:val="00B62AED"/>
    <w:rsid w:val="00B71C45"/>
    <w:rsid w:val="00B71E80"/>
    <w:rsid w:val="00BA2A8B"/>
    <w:rsid w:val="00BC20A7"/>
    <w:rsid w:val="00BD0C29"/>
    <w:rsid w:val="00BD7B44"/>
    <w:rsid w:val="00BE2AD8"/>
    <w:rsid w:val="00BE6051"/>
    <w:rsid w:val="00BF269A"/>
    <w:rsid w:val="00BF39D2"/>
    <w:rsid w:val="00BF590B"/>
    <w:rsid w:val="00BF64AB"/>
    <w:rsid w:val="00C00BA7"/>
    <w:rsid w:val="00C05DDA"/>
    <w:rsid w:val="00C07B78"/>
    <w:rsid w:val="00C121F5"/>
    <w:rsid w:val="00C2656E"/>
    <w:rsid w:val="00C343F3"/>
    <w:rsid w:val="00C36BEB"/>
    <w:rsid w:val="00C37DD1"/>
    <w:rsid w:val="00C4572E"/>
    <w:rsid w:val="00C53DB5"/>
    <w:rsid w:val="00C54D57"/>
    <w:rsid w:val="00C64F2F"/>
    <w:rsid w:val="00C8214B"/>
    <w:rsid w:val="00C8275C"/>
    <w:rsid w:val="00C82E5A"/>
    <w:rsid w:val="00C87C1D"/>
    <w:rsid w:val="00C946F6"/>
    <w:rsid w:val="00C96D6A"/>
    <w:rsid w:val="00CA05EA"/>
    <w:rsid w:val="00CA23DB"/>
    <w:rsid w:val="00CA58D3"/>
    <w:rsid w:val="00CA743C"/>
    <w:rsid w:val="00CC2305"/>
    <w:rsid w:val="00CC5B45"/>
    <w:rsid w:val="00CD4055"/>
    <w:rsid w:val="00CD5454"/>
    <w:rsid w:val="00CE69DE"/>
    <w:rsid w:val="00CF07EA"/>
    <w:rsid w:val="00D0732D"/>
    <w:rsid w:val="00D10220"/>
    <w:rsid w:val="00D13817"/>
    <w:rsid w:val="00D13B48"/>
    <w:rsid w:val="00D252FF"/>
    <w:rsid w:val="00D33589"/>
    <w:rsid w:val="00D40827"/>
    <w:rsid w:val="00D413A7"/>
    <w:rsid w:val="00D4221C"/>
    <w:rsid w:val="00D476C5"/>
    <w:rsid w:val="00D5777A"/>
    <w:rsid w:val="00D6419D"/>
    <w:rsid w:val="00D646E0"/>
    <w:rsid w:val="00D71817"/>
    <w:rsid w:val="00D73DEE"/>
    <w:rsid w:val="00D74D4A"/>
    <w:rsid w:val="00D82349"/>
    <w:rsid w:val="00D919D8"/>
    <w:rsid w:val="00DA1494"/>
    <w:rsid w:val="00DA506F"/>
    <w:rsid w:val="00DB1032"/>
    <w:rsid w:val="00DB56FC"/>
    <w:rsid w:val="00DC4FC0"/>
    <w:rsid w:val="00DD55F9"/>
    <w:rsid w:val="00DE267D"/>
    <w:rsid w:val="00DE30EE"/>
    <w:rsid w:val="00DE7512"/>
    <w:rsid w:val="00E03B74"/>
    <w:rsid w:val="00E124FB"/>
    <w:rsid w:val="00E25FA2"/>
    <w:rsid w:val="00E336D1"/>
    <w:rsid w:val="00E43A99"/>
    <w:rsid w:val="00E46B7E"/>
    <w:rsid w:val="00E52D55"/>
    <w:rsid w:val="00E73909"/>
    <w:rsid w:val="00E8217E"/>
    <w:rsid w:val="00E82AF9"/>
    <w:rsid w:val="00E96127"/>
    <w:rsid w:val="00EB37F5"/>
    <w:rsid w:val="00EB4D33"/>
    <w:rsid w:val="00EC63B5"/>
    <w:rsid w:val="00ED19BC"/>
    <w:rsid w:val="00ED2238"/>
    <w:rsid w:val="00ED5E3C"/>
    <w:rsid w:val="00ED5F8A"/>
    <w:rsid w:val="00EE01DA"/>
    <w:rsid w:val="00EE598A"/>
    <w:rsid w:val="00EE5A5B"/>
    <w:rsid w:val="00EF0874"/>
    <w:rsid w:val="00EF46DB"/>
    <w:rsid w:val="00F02DE7"/>
    <w:rsid w:val="00F03EFF"/>
    <w:rsid w:val="00F10635"/>
    <w:rsid w:val="00F16384"/>
    <w:rsid w:val="00F21A17"/>
    <w:rsid w:val="00F32DA7"/>
    <w:rsid w:val="00F379D0"/>
    <w:rsid w:val="00F46218"/>
    <w:rsid w:val="00F471D3"/>
    <w:rsid w:val="00F60081"/>
    <w:rsid w:val="00F60C46"/>
    <w:rsid w:val="00F651ED"/>
    <w:rsid w:val="00F666DF"/>
    <w:rsid w:val="00F71F3D"/>
    <w:rsid w:val="00F72529"/>
    <w:rsid w:val="00F77E20"/>
    <w:rsid w:val="00F828DD"/>
    <w:rsid w:val="00F857D7"/>
    <w:rsid w:val="00F86C4E"/>
    <w:rsid w:val="00F90697"/>
    <w:rsid w:val="00F91DCE"/>
    <w:rsid w:val="00F94164"/>
    <w:rsid w:val="00F97832"/>
    <w:rsid w:val="00FA0CFF"/>
    <w:rsid w:val="00FA369E"/>
    <w:rsid w:val="00FD045C"/>
    <w:rsid w:val="00FD1740"/>
    <w:rsid w:val="00FE5167"/>
    <w:rsid w:val="00FE51A1"/>
    <w:rsid w:val="00FF0619"/>
    <w:rsid w:val="00FF5FA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BDDF"/>
  <w15:docId w15:val="{D2914F17-2898-4046-B969-447AF87B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14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40501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405014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405014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405014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B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40BE5"/>
    <w:pPr>
      <w:spacing w:before="100" w:beforeAutospacing="1" w:after="100" w:afterAutospacing="1" w:line="240" w:lineRule="auto"/>
    </w:pPr>
    <w:rPr>
      <w:rFonts w:eastAsiaTheme="minorEastAsia"/>
      <w:lang w:eastAsia="en-IN"/>
    </w:rPr>
  </w:style>
  <w:style w:type="paragraph" w:styleId="FootnoteText">
    <w:name w:val="footnote text"/>
    <w:basedOn w:val="Normal"/>
    <w:link w:val="FootnoteTextChar"/>
    <w:autoRedefine/>
    <w:rsid w:val="00405014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5014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rsid w:val="004050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DD5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405014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05014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05014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405014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405014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405014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405014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405014"/>
  </w:style>
  <w:style w:type="paragraph" w:customStyle="1" w:styleId="Abstract">
    <w:name w:val="Abstract"/>
    <w:basedOn w:val="Normal"/>
    <w:next w:val="Keywords"/>
    <w:qFormat/>
    <w:rsid w:val="00405014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405014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405014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405014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405014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405014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405014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405014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405014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405014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405014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405014"/>
  </w:style>
  <w:style w:type="paragraph" w:customStyle="1" w:styleId="Paragraph">
    <w:name w:val="Paragraph"/>
    <w:basedOn w:val="Normal"/>
    <w:next w:val="Newparagraph"/>
    <w:qFormat/>
    <w:rsid w:val="00405014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405014"/>
    <w:pPr>
      <w:ind w:firstLine="720"/>
    </w:pPr>
  </w:style>
  <w:style w:type="paragraph" w:styleId="NormalIndent">
    <w:name w:val="Normal Indent"/>
    <w:basedOn w:val="Normal"/>
    <w:rsid w:val="00405014"/>
    <w:pPr>
      <w:ind w:left="720"/>
    </w:pPr>
  </w:style>
  <w:style w:type="paragraph" w:customStyle="1" w:styleId="References">
    <w:name w:val="References"/>
    <w:basedOn w:val="Normal"/>
    <w:qFormat/>
    <w:rsid w:val="00405014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405014"/>
  </w:style>
  <w:style w:type="paragraph" w:customStyle="1" w:styleId="Bulletedlist">
    <w:name w:val="Bulleted list"/>
    <w:basedOn w:val="Paragraph"/>
    <w:next w:val="Paragraph"/>
    <w:qFormat/>
    <w:rsid w:val="00405014"/>
    <w:pPr>
      <w:widowControl/>
      <w:numPr>
        <w:numId w:val="14"/>
      </w:numPr>
      <w:spacing w:after="240"/>
      <w:contextualSpacing/>
    </w:pPr>
  </w:style>
  <w:style w:type="paragraph" w:styleId="EndnoteText">
    <w:name w:val="endnote text"/>
    <w:basedOn w:val="Normal"/>
    <w:link w:val="EndnoteTextChar"/>
    <w:autoRedefine/>
    <w:rsid w:val="00405014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405014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rsid w:val="00405014"/>
    <w:rPr>
      <w:vertAlign w:val="superscript"/>
    </w:rPr>
  </w:style>
  <w:style w:type="paragraph" w:styleId="Header">
    <w:name w:val="header"/>
    <w:basedOn w:val="Normal"/>
    <w:link w:val="HeaderChar"/>
    <w:rsid w:val="00405014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4050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405014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4050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405014"/>
    <w:pPr>
      <w:widowControl/>
      <w:spacing w:before="360"/>
    </w:pPr>
  </w:style>
  <w:style w:type="table" w:customStyle="1" w:styleId="6-31">
    <w:name w:val="清单表 6 彩色 - 着色 31"/>
    <w:basedOn w:val="TableNormal"/>
    <w:uiPriority w:val="51"/>
    <w:qFormat/>
    <w:rsid w:val="00CA743C"/>
    <w:pPr>
      <w:spacing w:after="0" w:line="240" w:lineRule="auto"/>
    </w:pPr>
    <w:rPr>
      <w:rFonts w:ascii="Times New Roman" w:eastAsia="SimSun" w:hAnsi="Times New Roman" w:cs="Times New Roman"/>
      <w:color w:val="76923C" w:themeColor="accent3" w:themeShade="BF"/>
      <w:sz w:val="20"/>
      <w:szCs w:val="20"/>
      <w:lang w:val="en-US" w:eastAsia="zh-CN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02F7C"/>
    <w:rPr>
      <w:color w:val="808080"/>
    </w:rPr>
  </w:style>
  <w:style w:type="paragraph" w:styleId="ListParagraph">
    <w:name w:val="List Paragraph"/>
    <w:basedOn w:val="Normal"/>
    <w:uiPriority w:val="34"/>
    <w:qFormat/>
    <w:rsid w:val="002C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skar.j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%20Chaithanya\Desktop\Milk%20compiled\17-03-2021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0D03-1F5F-40AB-BDB7-10FD49ED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1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Chaithanya</dc:creator>
  <cp:lastModifiedBy>b d</cp:lastModifiedBy>
  <cp:revision>3</cp:revision>
  <cp:lastPrinted>2019-11-05T12:31:00Z</cp:lastPrinted>
  <dcterms:created xsi:type="dcterms:W3CDTF">2021-04-24T16:05:00Z</dcterms:created>
  <dcterms:modified xsi:type="dcterms:W3CDTF">2021-04-24T16:06:00Z</dcterms:modified>
</cp:coreProperties>
</file>