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cs="Times New Roman"/>
          <w:color w:val="0000FF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1"/>
        </w:rPr>
        <w:t>Appendix 1. Supplemental Material</w:t>
      </w:r>
    </w:p>
    <w:p>
      <w:pPr>
        <w:rPr>
          <w:rFonts w:ascii="Times New Roman" w:hAnsi="Times New Roman" w:cs="Times New Roman"/>
          <w:b/>
          <w:bCs/>
          <w:szCs w:val="21"/>
        </w:rPr>
      </w:pPr>
    </w:p>
    <w:p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96535" cy="288417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1544"/>
    <w:rsid w:val="017D1544"/>
    <w:rsid w:val="338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gaoch\Desktop\&#27169;&#25311;&#19981;&#21516;&#24773;&#26223;&#19979;&#30340;&#27604;&#203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altLang="en-US" sz="1100" b="0" i="0" u="none" strike="noStrike" kern="1200" spc="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sz="11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Appendix 1. Preferences for EoL care under various potential scenarios</a:t>
            </a:r>
            <a:endParaRPr lang="zh-CN" sz="1100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Sheet1!$H$4:$H$19</c:f>
              <c:strCache>
                <c:ptCount val="16"/>
                <c:pt idx="0">
                  <c:v>①140000RMB</c:v>
                </c:pt>
                <c:pt idx="1">
                  <c:v>②80000RMB</c:v>
                </c:pt>
                <c:pt idx="2">
                  <c:v>③40000RMB</c:v>
                </c:pt>
                <c:pt idx="3">
                  <c:v>④At home</c:v>
                </c:pt>
                <c:pt idx="4">
                  <c:v>⑤No AR</c:v>
                </c:pt>
                <c:pt idx="5">
                  <c:v>⑥QoL1</c:v>
                </c:pt>
                <c:pt idx="6">
                  <c:v>⑦QoL2</c:v>
                </c:pt>
                <c:pt idx="7">
                  <c:v>⑧QoL3</c:v>
                </c:pt>
                <c:pt idx="8">
                  <c:v>⑨Extendlife1</c:v>
                </c:pt>
                <c:pt idx="9">
                  <c:v>⑩Extendlife2</c:v>
                </c:pt>
                <c:pt idx="10">
                  <c:v>⑪Extendlife3</c:v>
                </c:pt>
                <c:pt idx="11">
                  <c:v>④+⑩</c:v>
                </c:pt>
                <c:pt idx="12">
                  <c:v>④+⑧</c:v>
                </c:pt>
                <c:pt idx="13">
                  <c:v>⑧+⑩</c:v>
                </c:pt>
                <c:pt idx="14">
                  <c:v>④+⑧+⑩</c:v>
                </c:pt>
                <c:pt idx="15">
                  <c:v>④+⑤+⑧+⑩</c:v>
                </c:pt>
              </c:strCache>
            </c:strRef>
          </c:cat>
          <c:val>
            <c:numRef>
              <c:f>Sheet1!$I$4:$I$19</c:f>
              <c:numCache>
                <c:formatCode>General</c:formatCode>
                <c:ptCount val="16"/>
                <c:pt idx="0">
                  <c:v>-31.4</c:v>
                </c:pt>
                <c:pt idx="1">
                  <c:v>-17.3</c:v>
                </c:pt>
                <c:pt idx="2">
                  <c:v>-7.5</c:v>
                </c:pt>
                <c:pt idx="3">
                  <c:v>12.5</c:v>
                </c:pt>
                <c:pt idx="4">
                  <c:v>15.63</c:v>
                </c:pt>
                <c:pt idx="5">
                  <c:v>44.31</c:v>
                </c:pt>
                <c:pt idx="6">
                  <c:v>43.4</c:v>
                </c:pt>
                <c:pt idx="7">
                  <c:v>57.34</c:v>
                </c:pt>
                <c:pt idx="8">
                  <c:v>51.48</c:v>
                </c:pt>
                <c:pt idx="9">
                  <c:v>53.32</c:v>
                </c:pt>
                <c:pt idx="10">
                  <c:v>43.45</c:v>
                </c:pt>
                <c:pt idx="11">
                  <c:v>61.68</c:v>
                </c:pt>
                <c:pt idx="12">
                  <c:v>65.14</c:v>
                </c:pt>
                <c:pt idx="13">
                  <c:v>84.75</c:v>
                </c:pt>
                <c:pt idx="14">
                  <c:v>87.93</c:v>
                </c:pt>
                <c:pt idx="15">
                  <c:v>91.04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07158400"/>
        <c:axId val="-807160032"/>
      </c:lineChart>
      <c:catAx>
        <c:axId val="-807158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altLang="en-US" sz="1000" b="0" i="0" u="none" strike="noStrike" kern="1200" spc="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sz="10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Scenarios</a:t>
                </a:r>
                <a:endParaRPr lang="zh-CN" sz="1000"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  <a:sym typeface="Times New Roman" panose="0202060305040502030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altLang="en-US" sz="1000" b="0" i="0" u="none" strike="noStrike" kern="1200" spc="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-807160032"/>
        <c:crosses val="autoZero"/>
        <c:auto val="1"/>
        <c:lblAlgn val="ctr"/>
        <c:lblOffset val="10"/>
        <c:noMultiLvlLbl val="0"/>
      </c:catAx>
      <c:valAx>
        <c:axId val="-80716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altLang="en-US" sz="1000" b="0" i="0" u="none" strike="noStrike" kern="1200" spc="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sz="10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Percent ,%</a:t>
                </a:r>
                <a:endParaRPr lang="en-US" sz="1000"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  <a:sym typeface="Times New Roman" panose="0202060305040502030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altLang="en-US" sz="1000" b="0" i="0" u="none" strike="noStrike" kern="1200" spc="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-8071584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altLang="en-US" sz="1000" b="0" i="0" u="none" strike="noStrike" kern="1200" spc="0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2020-12-04T13:24:00Z</dcterms:created>
  <dc:creator>Anli Leng</dc:creator>
  <cp:lastModifiedBy>Anli Leng</cp:lastModifiedBy>
  <dcterms:modified xsi:type="dcterms:W3CDTF">2021-03-20T05:31:32Z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