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A6" w:rsidRDefault="00B713A6" w:rsidP="00B713A6">
      <w:pPr>
        <w:spacing w:line="480" w:lineRule="auto"/>
        <w:rPr>
          <w:rFonts w:ascii="Times New Roman" w:hAnsi="Times New Roman" w:cs="Times New Roman"/>
          <w:b/>
          <w:bCs/>
          <w:sz w:val="24"/>
          <w:szCs w:val="28"/>
        </w:rPr>
      </w:pPr>
      <w:r w:rsidRPr="009F52C6">
        <w:rPr>
          <w:rFonts w:ascii="Times New Roman" w:hAnsi="Times New Roman" w:cs="Times New Roman"/>
          <w:b/>
          <w:bCs/>
          <w:sz w:val="24"/>
          <w:szCs w:val="28"/>
        </w:rPr>
        <w:t>List of Supporting Information</w:t>
      </w:r>
    </w:p>
    <w:p w:rsidR="00B713A6" w:rsidRPr="00D50CD7" w:rsidRDefault="00B713A6" w:rsidP="00B713A6">
      <w:pPr>
        <w:spacing w:line="480" w:lineRule="auto"/>
        <w:rPr>
          <w:rFonts w:ascii="Times New Roman" w:hAnsi="Times New Roman" w:cs="Times New Roman"/>
          <w:sz w:val="24"/>
          <w:szCs w:val="28"/>
        </w:rPr>
      </w:pPr>
      <w:bookmarkStart w:id="0" w:name="_Hlk44795650"/>
      <w:r w:rsidRPr="00D50CD7">
        <w:rPr>
          <w:rFonts w:ascii="Times New Roman" w:hAnsi="Times New Roman" w:cs="Times New Roman"/>
          <w:b/>
          <w:bCs/>
          <w:sz w:val="24"/>
          <w:szCs w:val="28"/>
        </w:rPr>
        <w:t xml:space="preserve">Supplementary Figure. </w:t>
      </w:r>
      <w:r w:rsidRPr="00D50CD7">
        <w:rPr>
          <w:rFonts w:ascii="Times New Roman" w:hAnsi="Times New Roman" w:cs="Times New Roman"/>
          <w:sz w:val="24"/>
          <w:szCs w:val="28"/>
        </w:rPr>
        <w:t xml:space="preserve">1A Multivariate analysis for GBM clinical factors in resection group. COX regression result showed that the factors of age at diagnosis, tumor location, tumor size, resection range, radiotherapy and chemotherapy or not were </w:t>
      </w:r>
      <w:bookmarkStart w:id="1" w:name="_GoBack"/>
      <w:r w:rsidRPr="00D50CD7">
        <w:rPr>
          <w:rFonts w:ascii="Times New Roman" w:hAnsi="Times New Roman" w:cs="Times New Roman"/>
          <w:sz w:val="24"/>
          <w:szCs w:val="28"/>
        </w:rPr>
        <w:t xml:space="preserve">prognostic risk factors for GBM in the resection group and the factor of age at diagnosis </w:t>
      </w:r>
      <w:bookmarkEnd w:id="1"/>
      <w:r w:rsidRPr="00D50CD7">
        <w:rPr>
          <w:rFonts w:ascii="Times New Roman" w:hAnsi="Times New Roman" w:cs="Times New Roman"/>
          <w:sz w:val="24"/>
          <w:szCs w:val="28"/>
        </w:rPr>
        <w:t>contributed the most to the COX regression model, HR= 2.580 (95% CI 2.256-2.951). 1B Nomogram for predicting the 1-, 2-, and 3-year overall survival in resection group.</w:t>
      </w:r>
    </w:p>
    <w:p w:rsidR="00B713A6" w:rsidRPr="00D50CD7" w:rsidRDefault="00B713A6" w:rsidP="00B713A6">
      <w:pPr>
        <w:spacing w:line="480" w:lineRule="auto"/>
        <w:rPr>
          <w:rFonts w:ascii="Times New Roman" w:hAnsi="Times New Roman" w:cs="Times New Roman"/>
          <w:sz w:val="24"/>
          <w:szCs w:val="28"/>
        </w:rPr>
      </w:pPr>
      <w:bookmarkStart w:id="2" w:name="_Hlk44795746"/>
      <w:bookmarkEnd w:id="0"/>
      <w:r w:rsidRPr="00D50CD7">
        <w:rPr>
          <w:rFonts w:ascii="Times New Roman" w:hAnsi="Times New Roman" w:cs="Times New Roman"/>
          <w:b/>
          <w:bCs/>
          <w:sz w:val="24"/>
          <w:szCs w:val="28"/>
        </w:rPr>
        <w:t>Supplementary Figure. 2</w:t>
      </w:r>
      <w:r w:rsidRPr="00D50CD7">
        <w:rPr>
          <w:rFonts w:ascii="Times New Roman" w:hAnsi="Times New Roman" w:cs="Times New Roman"/>
          <w:sz w:val="24"/>
          <w:szCs w:val="28"/>
        </w:rPr>
        <w:t xml:space="preserve"> The best cutoff of TAFs for prognosis. The cutoff was 6.32.</w:t>
      </w:r>
    </w:p>
    <w:p w:rsidR="00B713A6" w:rsidRPr="00D50CD7" w:rsidRDefault="00B713A6" w:rsidP="00B713A6">
      <w:pPr>
        <w:spacing w:line="480" w:lineRule="auto"/>
        <w:rPr>
          <w:rFonts w:ascii="Times New Roman" w:hAnsi="Times New Roman" w:cs="Times New Roman"/>
          <w:sz w:val="24"/>
          <w:szCs w:val="28"/>
        </w:rPr>
      </w:pPr>
      <w:bookmarkStart w:id="3" w:name="_Hlk44795840"/>
      <w:bookmarkEnd w:id="2"/>
      <w:r w:rsidRPr="00D50CD7">
        <w:rPr>
          <w:rFonts w:ascii="Times New Roman" w:hAnsi="Times New Roman" w:cs="Times New Roman"/>
          <w:b/>
          <w:bCs/>
          <w:sz w:val="24"/>
          <w:szCs w:val="28"/>
        </w:rPr>
        <w:t>Supplementary Figure. 3</w:t>
      </w:r>
      <w:r w:rsidRPr="00D50CD7">
        <w:rPr>
          <w:rFonts w:ascii="Times New Roman" w:hAnsi="Times New Roman" w:cs="Times New Roman"/>
          <w:sz w:val="24"/>
          <w:szCs w:val="28"/>
        </w:rPr>
        <w:t>A-G The best cutoff of DEGs for prognosis. The cutoff of CBR1, EFEMP2, EMP3, LGALS3, PDGFA, TIMP1 and STEAP3 were 7.15,6.17,6.61,9.51,5.94,9.75 and 5.89, respectively.</w:t>
      </w:r>
    </w:p>
    <w:p w:rsidR="00B713A6" w:rsidRPr="00D50CD7" w:rsidRDefault="00B713A6" w:rsidP="00B713A6">
      <w:pPr>
        <w:spacing w:line="480" w:lineRule="auto"/>
        <w:rPr>
          <w:rFonts w:ascii="Times New Roman" w:hAnsi="Times New Roman" w:cs="Times New Roman"/>
          <w:sz w:val="24"/>
          <w:szCs w:val="28"/>
        </w:rPr>
      </w:pPr>
      <w:bookmarkStart w:id="4" w:name="_Hlk44795898"/>
      <w:bookmarkEnd w:id="3"/>
      <w:r w:rsidRPr="00D50CD7">
        <w:rPr>
          <w:rFonts w:ascii="Times New Roman" w:hAnsi="Times New Roman" w:cs="Times New Roman"/>
          <w:b/>
          <w:bCs/>
          <w:sz w:val="24"/>
          <w:szCs w:val="28"/>
        </w:rPr>
        <w:t xml:space="preserve">Supplementary Figure. 4 </w:t>
      </w:r>
      <w:r w:rsidRPr="00D50CD7">
        <w:rPr>
          <w:rFonts w:ascii="Times New Roman" w:hAnsi="Times New Roman" w:cs="Times New Roman"/>
          <w:sz w:val="24"/>
          <w:szCs w:val="28"/>
        </w:rPr>
        <w:t>The best cutoff of EMTs for prognosis. The cutoff was 0.5.</w:t>
      </w:r>
    </w:p>
    <w:bookmarkEnd w:id="4"/>
    <w:p w:rsidR="00B713A6" w:rsidRPr="00D50CD7" w:rsidRDefault="00B713A6" w:rsidP="00B713A6">
      <w:pPr>
        <w:spacing w:line="480" w:lineRule="auto"/>
        <w:rPr>
          <w:rFonts w:ascii="Times New Roman" w:hAnsi="Times New Roman" w:cs="Times New Roman"/>
          <w:sz w:val="24"/>
          <w:szCs w:val="28"/>
        </w:rPr>
      </w:pPr>
      <w:r w:rsidRPr="00D50CD7">
        <w:rPr>
          <w:rFonts w:ascii="Times New Roman" w:hAnsi="Times New Roman" w:cs="Times New Roman"/>
          <w:b/>
          <w:bCs/>
          <w:sz w:val="24"/>
          <w:szCs w:val="28"/>
        </w:rPr>
        <w:t>Supplementary table 1</w:t>
      </w:r>
      <w:r w:rsidRPr="00D50CD7">
        <w:rPr>
          <w:rFonts w:ascii="Times New Roman" w:hAnsi="Times New Roman" w:cs="Times New Roman"/>
          <w:sz w:val="24"/>
          <w:szCs w:val="28"/>
        </w:rPr>
        <w:t xml:space="preserve"> Proportions of sex and lobes in different age groups.</w:t>
      </w:r>
    </w:p>
    <w:p w:rsidR="00B713A6" w:rsidRPr="00D50CD7" w:rsidRDefault="00B713A6" w:rsidP="00B713A6">
      <w:pPr>
        <w:spacing w:line="480" w:lineRule="auto"/>
        <w:rPr>
          <w:rFonts w:ascii="Times New Roman" w:hAnsi="Times New Roman" w:cs="Times New Roman"/>
          <w:sz w:val="24"/>
          <w:szCs w:val="28"/>
        </w:rPr>
      </w:pPr>
      <w:r w:rsidRPr="00D50CD7">
        <w:rPr>
          <w:rFonts w:ascii="Times New Roman" w:hAnsi="Times New Roman" w:cs="Times New Roman"/>
          <w:b/>
          <w:bCs/>
          <w:sz w:val="24"/>
          <w:szCs w:val="28"/>
        </w:rPr>
        <w:t>Supplementary table 2</w:t>
      </w:r>
      <w:r w:rsidRPr="00D50CD7">
        <w:rPr>
          <w:rFonts w:ascii="Times New Roman" w:hAnsi="Times New Roman" w:cs="Times New Roman"/>
          <w:sz w:val="24"/>
          <w:szCs w:val="28"/>
        </w:rPr>
        <w:t xml:space="preserve"> Differentially expressed genes.</w:t>
      </w:r>
    </w:p>
    <w:p w:rsidR="003F783A" w:rsidRDefault="003F783A"/>
    <w:sectPr w:rsidR="003F78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A6"/>
    <w:rsid w:val="003F783A"/>
    <w:rsid w:val="00B7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4A661-60C4-42BB-A33B-42C4EC78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A6"/>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2020-07-24T01:49:00Z</dcterms:created>
  <dcterms:modified xsi:type="dcterms:W3CDTF">2020-07-24T01:50:00Z</dcterms:modified>
</cp:coreProperties>
</file>