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C0B" w:rsidRDefault="00A12F3D">
      <w:r>
        <w:rPr>
          <w:rFonts w:hint="eastAsia"/>
        </w:rPr>
        <w:t>S</w:t>
      </w:r>
      <w:r>
        <w:t>upplementary Tables S1</w:t>
      </w:r>
      <w:r w:rsidR="000D1E11">
        <w:t>7</w:t>
      </w:r>
    </w:p>
    <w:p w:rsidR="00A12F3D" w:rsidRDefault="00A12F3D"/>
    <w:p w:rsidR="00A12F3D" w:rsidRPr="00A12F3D" w:rsidRDefault="00A12F3D" w:rsidP="00A12F3D">
      <w:pPr>
        <w:jc w:val="left"/>
        <w:rPr>
          <w:rFonts w:ascii="Arial" w:hAnsi="Arial" w:cs="Arial"/>
          <w:b/>
        </w:rPr>
      </w:pPr>
      <w:r w:rsidRPr="00A12F3D">
        <w:rPr>
          <w:rFonts w:ascii="Arial" w:hAnsi="Arial" w:cs="Arial"/>
          <w:b/>
        </w:rPr>
        <w:t>Reagents</w:t>
      </w:r>
    </w:p>
    <w:p w:rsidR="00A12F3D" w:rsidRPr="00A12F3D" w:rsidRDefault="00A12F3D" w:rsidP="00A12F3D">
      <w:pPr>
        <w:jc w:val="left"/>
        <w:rPr>
          <w:rFonts w:ascii="Arial" w:hAnsi="Arial" w:cs="Arial"/>
        </w:rPr>
      </w:pPr>
      <w:r w:rsidRPr="00AD2196">
        <w:rPr>
          <w:rFonts w:ascii="Arial" w:hAnsi="Arial" w:cs="Arial"/>
        </w:rPr>
        <w:t xml:space="preserve">Phospholipid mixtures were obtained from Avanti Polar Lipids, Inc. (Alabaster, AL). Lipid mediator standards and </w:t>
      </w:r>
      <w:r w:rsidRPr="00AD2196">
        <w:rPr>
          <w:rFonts w:ascii="Arial" w:hAnsi="Arial" w:cs="Arial"/>
          <w:color w:val="000000"/>
          <w:shd w:val="clear" w:color="auto" w:fill="FFFFFF"/>
        </w:rPr>
        <w:t xml:space="preserve">deuterium-labeled compounds used as internal standards </w:t>
      </w:r>
      <w:r w:rsidRPr="00AD2196">
        <w:rPr>
          <w:rFonts w:ascii="Arial" w:hAnsi="Arial" w:cs="Arial"/>
        </w:rPr>
        <w:t xml:space="preserve">were obtained from Cayman Chemical (Ann Arbor, MI). Trace element standard solutions, special grade reagents of ammonium bicarbonate, sodium chloride, diethyl ether and chloroform, nitric acid and perchloric acid of toxic metal determination grade, hydrogen peroxide for atomic absorption spectrometry, and </w:t>
      </w:r>
      <w:r>
        <w:rPr>
          <w:rFonts w:ascii="Arial" w:hAnsi="Arial" w:cs="Arial"/>
        </w:rPr>
        <w:t>high-performance liquid chromatography</w:t>
      </w:r>
      <w:r w:rsidRPr="00AD2196">
        <w:rPr>
          <w:rFonts w:ascii="Arial" w:hAnsi="Arial" w:cs="Arial"/>
        </w:rPr>
        <w:t xml:space="preserve"> grade solvents (methanol, isopropanol, and acetonitrile) were purchased from Wako Pure Chemical Co. and from Kanto Chemical Co. Inc. (for untargeted lipidomics). Deionized water was produced by a Millipore-Q water system (Millipore, Bedford, MA, USA).</w:t>
      </w:r>
    </w:p>
    <w:p w:rsidR="00A12F3D" w:rsidRDefault="00A12F3D"/>
    <w:p w:rsidR="00A12F3D" w:rsidRPr="00A12F3D" w:rsidRDefault="00A12F3D" w:rsidP="00A12F3D">
      <w:pPr>
        <w:jc w:val="left"/>
        <w:rPr>
          <w:rFonts w:ascii="Arial" w:hAnsi="Arial" w:cs="Arial"/>
          <w:b/>
        </w:rPr>
      </w:pPr>
      <w:r w:rsidRPr="00A12F3D">
        <w:rPr>
          <w:rFonts w:ascii="Arial" w:hAnsi="Arial" w:cs="Arial"/>
          <w:b/>
        </w:rPr>
        <w:t>Measuring instruments and measurement parameters</w:t>
      </w:r>
    </w:p>
    <w:p w:rsidR="00A12F3D" w:rsidRDefault="00A12F3D" w:rsidP="00A12F3D">
      <w:pPr>
        <w:jc w:val="left"/>
        <w:rPr>
          <w:rFonts w:ascii="Arial" w:hAnsi="Arial" w:cs="Arial"/>
        </w:rPr>
      </w:pPr>
      <w:r w:rsidRPr="00AD2196">
        <w:rPr>
          <w:rFonts w:ascii="Arial" w:hAnsi="Arial" w:cs="Arial"/>
        </w:rPr>
        <w:t>GC-</w:t>
      </w:r>
      <w:r w:rsidRPr="00FE4700">
        <w:rPr>
          <w:rFonts w:ascii="Arial" w:hAnsi="Arial" w:cs="Arial"/>
        </w:rPr>
        <w:t>-2010 Plus</w:t>
      </w:r>
      <w:r w:rsidRPr="00AD2196">
        <w:rPr>
          <w:rFonts w:ascii="Arial" w:hAnsi="Arial" w:cs="Arial"/>
        </w:rPr>
        <w:t xml:space="preserve"> (Shimadzu Co., Kyoto, Japan) and LCMS-8060 (Shimadzu Co.) for targeted lipidomics, ThermoScientific Orbitrap Fusion Lumos with ThermoScientific Vanquish DGP system (Thermo Fisher Scientific Inc, Waltham, MA) for untargeted lipidomics, ThermoScientific Orbitrap Fusion Lumos with ThermoScientific Ultimate3000RS (ThermoScientific) for untargeted metabolomics, and an inductively coupled plasma-mass spectrometer (ICP-MS; Agilent 7700/Mass Hunter, Agilent Technologies, Inc. Agilent Technologies, USA) were used.</w:t>
      </w:r>
    </w:p>
    <w:p w:rsidR="00A12F3D" w:rsidRPr="00AD2196" w:rsidRDefault="00A12F3D" w:rsidP="00A12F3D">
      <w:pPr>
        <w:jc w:val="left"/>
        <w:rPr>
          <w:rFonts w:ascii="Arial" w:hAnsi="Arial" w:cs="Arial"/>
        </w:rPr>
      </w:pPr>
      <w:r w:rsidRPr="00FE4700">
        <w:rPr>
          <w:rFonts w:ascii="Arial" w:hAnsi="Arial" w:cs="Arial"/>
        </w:rPr>
        <w:t xml:space="preserve">For GC-FID analysis, a FAMEWAX capillary column (30 m x 0.25 mm I.D x 0.25 </w:t>
      </w:r>
      <w:r w:rsidRPr="00AD2196">
        <w:rPr>
          <w:rFonts w:ascii="Arial" w:hAnsi="Arial" w:cs="Arial"/>
          <w:color w:val="000000" w:themeColor="text1"/>
          <w:szCs w:val="21"/>
        </w:rPr>
        <w:t>μ</w:t>
      </w:r>
      <w:r w:rsidRPr="00FE4700">
        <w:rPr>
          <w:rFonts w:ascii="Arial" w:hAnsi="Arial" w:cs="Arial"/>
        </w:rPr>
        <w:t xml:space="preserve">m, (Resteck Corporation) was used. The flow rate of carrier gas (He) was set at 45 cm/sec linear velocity. The temperature of the injection unit and the detector were 240°C and 250°C, respectively. The temperature of column oven was initiated at 140°C, then raised to 200°C at a rate of 11°C/min, then increased to 225°C at a rate of 3°C/min, and finally increased to 240°C at a rate of 20°C/min and held at this temperature for 5min. The injection volume was 2 </w:t>
      </w:r>
      <w:r w:rsidRPr="00AD2196">
        <w:rPr>
          <w:rFonts w:ascii="Arial" w:hAnsi="Arial" w:cs="Arial"/>
          <w:color w:val="000000" w:themeColor="text1"/>
          <w:szCs w:val="21"/>
        </w:rPr>
        <w:t>μ</w:t>
      </w:r>
      <w:r w:rsidRPr="00FE4700">
        <w:rPr>
          <w:rFonts w:ascii="Arial" w:hAnsi="Arial" w:cs="Arial"/>
        </w:rPr>
        <w:t>L in the split injection mode. Fatty acid methyl esters were identified and quantified using a mixture of Supelco 37 component FAME Mix (Merck, Germany), C22:5(n-3)-FAME (Sigma), C22:5(n-6)-FAME (Nu-Chek Prep. Inc., USA), and C22:4(n-6)-FAME (Cayman, USA) for calibration.</w:t>
      </w:r>
    </w:p>
    <w:p w:rsidR="00A12F3D" w:rsidRDefault="00A12F3D" w:rsidP="00A12F3D">
      <w:pPr>
        <w:jc w:val="left"/>
        <w:rPr>
          <w:rFonts w:ascii="Arial" w:hAnsi="Arial" w:cs="Arial"/>
        </w:rPr>
      </w:pPr>
      <w:r w:rsidRPr="00141D39">
        <w:rPr>
          <w:rFonts w:ascii="Arial" w:hAnsi="Arial" w:cs="Arial"/>
        </w:rPr>
        <w:t>For unta</w:t>
      </w:r>
      <w:r w:rsidR="00E94F16">
        <w:rPr>
          <w:rFonts w:ascii="Arial" w:hAnsi="Arial" w:cs="Arial"/>
        </w:rPr>
        <w:t>r</w:t>
      </w:r>
      <w:r w:rsidRPr="00141D39">
        <w:rPr>
          <w:rFonts w:ascii="Arial" w:hAnsi="Arial" w:cs="Arial"/>
        </w:rPr>
        <w:t>geted lipidomics, AcquityUPLC BEH C8 column (1.7 μm, 2.1 mm x 100 mm, Waters) was used for reversed-phase chrom</w:t>
      </w:r>
      <w:bookmarkStart w:id="0" w:name="_GoBack"/>
      <w:bookmarkEnd w:id="0"/>
      <w:r w:rsidRPr="00141D39">
        <w:rPr>
          <w:rFonts w:ascii="Arial" w:hAnsi="Arial" w:cs="Arial"/>
        </w:rPr>
        <w:t>atography and column temperature was 47˚C. Injection volum</w:t>
      </w:r>
      <w:r w:rsidR="00E94F16">
        <w:rPr>
          <w:rFonts w:ascii="Arial" w:hAnsi="Arial" w:cs="Arial"/>
        </w:rPr>
        <w:t>e</w:t>
      </w:r>
      <w:r w:rsidRPr="00141D39">
        <w:rPr>
          <w:rFonts w:ascii="Arial" w:hAnsi="Arial" w:cs="Arial"/>
        </w:rPr>
        <w:t xml:space="preserve"> was 5 μL. A gradient analysis was performed with 5 mM NH4HCO3/Acetonitrile/2-propanol as mobile phase at a flow rate of 0.35 mL/min for 55 m</w:t>
      </w:r>
      <w:r>
        <w:rPr>
          <w:rFonts w:ascii="Arial" w:hAnsi="Arial" w:cs="Arial"/>
        </w:rPr>
        <w:t>in per analysis. Pump gradient time</w:t>
      </w:r>
      <w:r w:rsidRPr="00141D39">
        <w:rPr>
          <w:rFonts w:ascii="Arial" w:hAnsi="Arial" w:cs="Arial"/>
        </w:rPr>
        <w:t xml:space="preserve"> was as follows: 0 min (5 mM N</w:t>
      </w:r>
      <w:r>
        <w:rPr>
          <w:rFonts w:ascii="Arial" w:hAnsi="Arial" w:cs="Arial"/>
        </w:rPr>
        <w:t>H4HCO3/Acetonitrile/2-</w:t>
      </w:r>
      <w:r>
        <w:rPr>
          <w:rFonts w:ascii="Arial" w:hAnsi="Arial" w:cs="Arial"/>
        </w:rPr>
        <w:lastRenderedPageBreak/>
        <w:t>propanol:</w:t>
      </w:r>
      <w:r w:rsidRPr="00141D39">
        <w:rPr>
          <w:rFonts w:ascii="Arial" w:hAnsi="Arial" w:cs="Arial"/>
        </w:rPr>
        <w:t xml:space="preserve"> 75/20/5)–20 min (20/75/5)–40 min (20/5/75)–45 min (5/5/90)–50 min (5/5/90)–55 min (75/20/5).  For targeted lipidomics for fatty acid-derived lipid mediators and their related metabolites using was performed as described</w:t>
      </w:r>
      <w:r w:rsidR="00E94F16">
        <w:rPr>
          <w:rFonts w:ascii="Arial" w:hAnsi="Arial" w:cs="Arial"/>
        </w:rPr>
        <w:t xml:space="preserve"> </w:t>
      </w:r>
      <w:r w:rsidRPr="00141D39">
        <w:rPr>
          <w:rFonts w:ascii="Arial" w:hAnsi="Arial" w:cs="Arial"/>
        </w:rPr>
        <w:t>previously with some modifications</w:t>
      </w:r>
      <w:r>
        <w:rPr>
          <w:rFonts w:ascii="Arial" w:hAnsi="Arial" w:cs="Arial"/>
        </w:rPr>
        <w:fldChar w:fldCharType="begin" w:fldLock="1"/>
      </w:r>
      <w:r w:rsidR="00E94F16">
        <w:rPr>
          <w:rFonts w:ascii="Arial" w:hAnsi="Arial" w:cs="Arial"/>
        </w:rPr>
        <w:instrText>ADDIN CSL_CITATION {"citationItems":[{"id":"ITEM-1","itemData":{"DOI":"10.1016/j.jchromb.2015.05.015","ISSN":"1873376X","PMID":"26046978","abstract":"Fatty acids and related metabolites, comprising several hundreds of molecular species, are an important target in disease metabolomics, as they are involved in various mammalian pathologies and physiologies. Selected reaction monitoring (SRM) analysis, which is capable of monitoring hundreds of compounds in a single run, has been widely used for comprehensive quantification. However, it is difficult to monitor a large number of compounds with different ionization polarity, as polarity switching requires a sub-second period per cycle in classical mass spectrometers. In the present study, we developed and evaluated a comprehensive quantification method for eicosanoids and related compounds by using LC/MS with high-speed continuous ionization polarity switching. The new method employs a fast (30. ms/cycle) continuous ionization polarity switching, and differentiates 137 targets either by chromatography or by SRM transition. Polarity switching did not affect the lower limits of quantification, which ranged similarly from 0.5 to 200. pg on column. Lipid extracts from mouse tissues were analyzed by this method, and 65 targets were quantitatively detected in the brain, including 6 compounds analyzed in the positive ion mode. We demonstrated that a fast continuous ionization polarity switching enables the quantification of a wide variety of lipid mediator species without compromising the sensitivity and reliability.","author":[{"dropping-particle":"","family":"Yamada","given":"Masaki","non-dropping-particle":"","parse-names":false,"suffix":""},{"dropping-particle":"","family":"Kita","given":"Yoshihiro","non-dropping-particle":"","parse-names":false,"suffix":""},{"dropping-particle":"","family":"Kohira","given":"Takahiro","non-dropping-particle":"","parse-names":false,"suffix":""},{"dropping-particle":"","family":"Yoshida","given":"Kenji","non-dropping-particle":"","parse-names":false,"suffix":""},{"dropping-particle":"","family":"Hamano","given":"Fumie","non-dropping-particle":"","parse-names":false,"suffix":""},{"dropping-particle":"","family":"Tokuoka","given":"Suzumi M.","non-dropping-particle":"","parse-names":false,"suffix":""},{"dropping-particle":"","family":"Shimizu","given":"Takao","non-dropping-particle":"","parse-names":false,"suffix":""}],"container-title":"Journal of Chromatography B: Analytical Technologies in the Biomedical and Life Sciences","id":"ITEM-1","issued":{"date-parts":[["2015"]]},"page":"74-84","publisher":"Elsevier B.V.","title":"A comprehensive quantification method for eicosanoids and related compounds by using liquid chromatography/mass spectrometry with high speed continuous ionization polarity switching","type":"article-journal","volume":"995-996"},"uris":["http://www.mendeley.com/documents/?uuid=fa3af49a-5f64-483e-89db-7d6d0e448d89"]}],"mendeley":{"formattedCitation":"&lt;sup&gt;1&lt;/sup&gt;","plainTextFormattedCitation":"1","previouslyFormattedCitation":"&lt;sup&gt;2&lt;/sup&gt;"},"properties":{"noteIndex":0},"schema":"https://github.com/citation-style-language/schema/raw/master/csl-citation.json"}</w:instrText>
      </w:r>
      <w:r>
        <w:rPr>
          <w:rFonts w:ascii="Arial" w:hAnsi="Arial" w:cs="Arial"/>
        </w:rPr>
        <w:fldChar w:fldCharType="separate"/>
      </w:r>
      <w:r w:rsidR="00E94F16" w:rsidRPr="00E94F16">
        <w:rPr>
          <w:rFonts w:ascii="Arial" w:hAnsi="Arial" w:cs="Arial"/>
          <w:noProof/>
          <w:vertAlign w:val="superscript"/>
        </w:rPr>
        <w:t>1</w:t>
      </w:r>
      <w:r>
        <w:rPr>
          <w:rFonts w:ascii="Arial" w:hAnsi="Arial" w:cs="Arial"/>
        </w:rPr>
        <w:fldChar w:fldCharType="end"/>
      </w:r>
      <w:r w:rsidRPr="00141D39">
        <w:rPr>
          <w:rFonts w:ascii="Arial" w:hAnsi="Arial" w:cs="Arial"/>
        </w:rPr>
        <w:t>. Kinetex C8 column (2.6 μm, 2.1 mm × 150 mm, Phenomenex, Torrance, CA) was used and 5 μL of the prepared sample was injected. Gradient analysis was performed with water 0.1 %formic acid in water /Acetonitrile as mobile phase at a flow rate of 0.4</w:t>
      </w:r>
      <w:r>
        <w:rPr>
          <w:rFonts w:ascii="Arial" w:hAnsi="Arial" w:cs="Arial"/>
        </w:rPr>
        <w:t xml:space="preserve"> mL/min as described previously</w:t>
      </w:r>
      <w:r w:rsidRPr="00141D39">
        <w:rPr>
          <w:rFonts w:ascii="Arial" w:hAnsi="Arial" w:cs="Arial"/>
        </w:rPr>
        <w:t xml:space="preserve"> for urine samples as a 27 min gradient program. And for plasma and feces samples, extra wash was performed with 2-propanol. The washing method is as follows; 27 min (0.1% fomic acid in water/Acetonitrile/2-propanol</w:t>
      </w:r>
      <w:r>
        <w:rPr>
          <w:rFonts w:ascii="Arial" w:hAnsi="Arial" w:cs="Arial"/>
        </w:rPr>
        <w:t xml:space="preserve">: </w:t>
      </w:r>
      <w:r w:rsidRPr="00141D39">
        <w:rPr>
          <w:rFonts w:ascii="Arial" w:hAnsi="Arial" w:cs="Arial"/>
        </w:rPr>
        <w:t>5/95/0) - 30 min</w:t>
      </w:r>
      <w:r>
        <w:rPr>
          <w:rFonts w:ascii="Arial" w:hAnsi="Arial" w:cs="Arial"/>
        </w:rPr>
        <w:t xml:space="preserve"> </w:t>
      </w:r>
      <w:r w:rsidRPr="00141D39">
        <w:rPr>
          <w:rFonts w:ascii="Arial" w:hAnsi="Arial" w:cs="Arial"/>
        </w:rPr>
        <w:t>(5/50/45) - 35 min</w:t>
      </w:r>
      <w:r>
        <w:rPr>
          <w:rFonts w:ascii="Arial" w:hAnsi="Arial" w:cs="Arial"/>
        </w:rPr>
        <w:t xml:space="preserve"> </w:t>
      </w:r>
      <w:r w:rsidRPr="00141D39">
        <w:rPr>
          <w:rFonts w:ascii="Arial" w:hAnsi="Arial" w:cs="Arial"/>
        </w:rPr>
        <w:t>(5/50/45) - 38 min</w:t>
      </w:r>
      <w:r>
        <w:rPr>
          <w:rFonts w:ascii="Arial" w:hAnsi="Arial" w:cs="Arial"/>
        </w:rPr>
        <w:t xml:space="preserve"> </w:t>
      </w:r>
      <w:r w:rsidRPr="00141D39">
        <w:rPr>
          <w:rFonts w:ascii="Arial" w:hAnsi="Arial" w:cs="Arial"/>
        </w:rPr>
        <w:t>(5/5/90) - 42 min</w:t>
      </w:r>
      <w:r>
        <w:rPr>
          <w:rFonts w:ascii="Arial" w:hAnsi="Arial" w:cs="Arial"/>
        </w:rPr>
        <w:t xml:space="preserve"> </w:t>
      </w:r>
      <w:r w:rsidRPr="00141D39">
        <w:rPr>
          <w:rFonts w:ascii="Arial" w:hAnsi="Arial" w:cs="Arial"/>
        </w:rPr>
        <w:t>(5/5/90) – 42.1 min</w:t>
      </w:r>
      <w:r>
        <w:rPr>
          <w:rFonts w:ascii="Arial" w:hAnsi="Arial" w:cs="Arial"/>
        </w:rPr>
        <w:t xml:space="preserve"> </w:t>
      </w:r>
      <w:r w:rsidRPr="00141D39">
        <w:rPr>
          <w:rFonts w:ascii="Arial" w:hAnsi="Arial" w:cs="Arial"/>
        </w:rPr>
        <w:t>(5/95/0) – 44 min</w:t>
      </w:r>
      <w:r>
        <w:rPr>
          <w:rFonts w:ascii="Arial" w:hAnsi="Arial" w:cs="Arial"/>
        </w:rPr>
        <w:t xml:space="preserve"> </w:t>
      </w:r>
      <w:r w:rsidRPr="00141D39">
        <w:rPr>
          <w:rFonts w:ascii="Arial" w:hAnsi="Arial" w:cs="Arial"/>
        </w:rPr>
        <w:t>(5/95/0) – 44.1 min</w:t>
      </w:r>
      <w:r>
        <w:rPr>
          <w:rFonts w:ascii="Arial" w:hAnsi="Arial" w:cs="Arial"/>
        </w:rPr>
        <w:t xml:space="preserve"> </w:t>
      </w:r>
      <w:r w:rsidRPr="00141D39">
        <w:rPr>
          <w:rFonts w:ascii="Arial" w:hAnsi="Arial" w:cs="Arial"/>
        </w:rPr>
        <w:t>(90/10/0) – 48 min</w:t>
      </w:r>
      <w:r>
        <w:rPr>
          <w:rFonts w:ascii="Arial" w:hAnsi="Arial" w:cs="Arial"/>
        </w:rPr>
        <w:t xml:space="preserve"> </w:t>
      </w:r>
      <w:r w:rsidRPr="00141D39">
        <w:rPr>
          <w:rFonts w:ascii="Arial" w:hAnsi="Arial" w:cs="Arial"/>
        </w:rPr>
        <w:t>(90/10/0).</w:t>
      </w:r>
    </w:p>
    <w:p w:rsidR="00A12F3D" w:rsidRPr="00AD2196" w:rsidRDefault="00A12F3D" w:rsidP="00A12F3D">
      <w:pPr>
        <w:jc w:val="left"/>
        <w:rPr>
          <w:rFonts w:ascii="Arial" w:hAnsi="Arial" w:cs="Arial"/>
        </w:rPr>
      </w:pPr>
      <w:r w:rsidRPr="00AD2196">
        <w:rPr>
          <w:rFonts w:ascii="Arial" w:hAnsi="Arial" w:cs="Arial"/>
        </w:rPr>
        <w:t xml:space="preserve">The trace elements (magnesium (Mg), calcium (Ca), chromium (Cr), manganese (Mn), iron (Fe), cobalt (Co), copper (Cu), zinc (Zn), and selenium (Se)) in the solutions were identified and quantitated by inductively coupled plasma-mass spectrometry (ICP-MS; Agilent7700/Mass Hunter, Agilent Technologies, Santa Clara, CA). Standard curves were plotted by preparing 1,000 µg/ml (ppm) standard solutions of Mg, Ca, Cr, Mn, Fe, Co, Cu, Zn, and Se (Fujifilm Wako Pure Chemical Industries Ltd., Osaka, Japan) and diluting them in 5% (v/v) nitric acid to final metal concentrations of 0, 1, 2, 5, 10, 20, 50, 100, and 200 ng/ml (ppb). For quality control, 1 ng/ml (ppb) of a reference internal standard (indium; In) was measured along with the samples. The standard curves of each trace metal exhibited good linear regression (over r = 0.999) in the concentration range of 1-200 ng/ml (ppb). Additionally, all elements placed in the mass number table by Agilent were semi-quantified simultaneously according to the recommended analytical method by Agilent. Briefly, mass intensities of all elements were corrected and semi-quantified by those of ICP-MS tuning solution, including </w:t>
      </w:r>
      <w:r>
        <w:rPr>
          <w:rFonts w:ascii="Arial" w:hAnsi="Arial" w:cs="Arial"/>
        </w:rPr>
        <w:t>five</w:t>
      </w:r>
      <w:r w:rsidRPr="00AD2196">
        <w:rPr>
          <w:rFonts w:ascii="Arial" w:hAnsi="Arial" w:cs="Arial"/>
        </w:rPr>
        <w:t xml:space="preserve"> standard elements such as lithium (Li), Co, yttrium (Y), cerium (Ce), and thallium (Tl) at each final concentration of 1 ng/mL (ppb).</w:t>
      </w:r>
    </w:p>
    <w:p w:rsidR="00A12F3D" w:rsidRPr="00AD2196" w:rsidRDefault="00A12F3D" w:rsidP="00A12F3D">
      <w:pPr>
        <w:jc w:val="left"/>
        <w:rPr>
          <w:rFonts w:ascii="Arial" w:hAnsi="Arial" w:cs="Arial"/>
        </w:rPr>
      </w:pPr>
    </w:p>
    <w:p w:rsidR="00A12F3D" w:rsidRPr="00A12F3D" w:rsidRDefault="00A12F3D" w:rsidP="00A12F3D">
      <w:pPr>
        <w:jc w:val="left"/>
        <w:rPr>
          <w:rFonts w:ascii="Arial" w:hAnsi="Arial" w:cs="Arial"/>
          <w:b/>
          <w:bCs/>
          <w:color w:val="000000" w:themeColor="text1"/>
          <w:szCs w:val="21"/>
        </w:rPr>
      </w:pPr>
      <w:r w:rsidRPr="00A12F3D">
        <w:rPr>
          <w:rFonts w:ascii="Arial" w:hAnsi="Arial" w:cs="Arial"/>
          <w:b/>
          <w:bCs/>
          <w:color w:val="000000" w:themeColor="text1"/>
          <w:szCs w:val="21"/>
        </w:rPr>
        <w:t xml:space="preserve">Sequencing data processing and </w:t>
      </w:r>
      <w:r w:rsidR="00E60C60">
        <w:rPr>
          <w:rFonts w:ascii="Arial" w:hAnsi="Arial" w:cs="Arial"/>
          <w:b/>
          <w:bCs/>
          <w:color w:val="000000" w:themeColor="text1"/>
          <w:szCs w:val="21"/>
        </w:rPr>
        <w:t>analysis</w:t>
      </w:r>
    </w:p>
    <w:p w:rsidR="00A12F3D" w:rsidRPr="00AD2196" w:rsidRDefault="00A12F3D" w:rsidP="00A12F3D">
      <w:pPr>
        <w:jc w:val="left"/>
        <w:rPr>
          <w:rFonts w:ascii="Arial" w:hAnsi="Arial" w:cs="Arial"/>
          <w:b/>
          <w:bCs/>
          <w:color w:val="000000" w:themeColor="text1"/>
          <w:szCs w:val="21"/>
        </w:rPr>
      </w:pPr>
      <w:r w:rsidRPr="00AD2196">
        <w:rPr>
          <w:rFonts w:ascii="Arial" w:hAnsi="Arial" w:cs="Arial"/>
          <w:color w:val="000000" w:themeColor="text1"/>
          <w:szCs w:val="21"/>
        </w:rPr>
        <w:t xml:space="preserve">Demultiplexed sequencing reads were subjected to primer trimming using Cutadapt v3.2 </w:t>
      </w:r>
      <w:r w:rsidRPr="00AD2196">
        <w:rPr>
          <w:rFonts w:ascii="Arial" w:hAnsi="Arial" w:cs="Arial"/>
          <w:color w:val="000000" w:themeColor="text1"/>
          <w:szCs w:val="21"/>
        </w:rPr>
        <w:fldChar w:fldCharType="begin" w:fldLock="1"/>
      </w:r>
      <w:r w:rsidR="00E94F16">
        <w:rPr>
          <w:rFonts w:ascii="Arial" w:hAnsi="Arial" w:cs="Arial"/>
          <w:color w:val="000000" w:themeColor="text1"/>
          <w:szCs w:val="21"/>
        </w:rPr>
        <w:instrText>ADDIN CSL_CITATION {"citationItems":[{"id":"ITEM-1","itemData":{"DOI":"10.1177/1179546817731110","ISSN":"11795468","abstract":"This study confirms the association of risk factors for coronary artery disease (CAD) and the apoE polymorphisms, specifically related to the APOE*4 allele, with coronary disease in postmenopausal women. Significantly altered values of the lipid profile were found in patients when compared with controls, independent of the presence of the APOE*4 allele. However, the controls showed higher high-density lipoprotein cholesterol (HDL-C) levels and reduced triglyceride (TG) levels, differing significantly from patients. In this case, the study of subgroups, considering the APOE*3/3 and APOE*3/4 genotypes, suggests that the APOE*4 allele is not implicated in the variations of the lipid profile of patients and determined an increase in the production levels of HDL-C and a reduction in TG highly benefiting the control group compared with APOE*3/3 genotype. The metabolic kinetics of TG, although with the same pattern between groups, and the presence of the APOE*4 allele are suggested to be associated with accelerated clearance compared with APOE*3 allele in non-CAD group.","author":[{"dropping-particle":"","family":"Tácito","given":"Lúcia Helena Bonalume","non-dropping-particle":"","parse-names":false,"suffix":""},{"dropping-particle":"","family":"Yamada","given":"Lilian Nakachima","non-dropping-particle":"","parse-names":false,"suffix":""},{"dropping-particle":"","family":"Souza Pinhel","given":"Marcela Augusta","non-dropping-particle":"de","parse-names":false,"suffix":""},{"dropping-particle":"","family":"Yugar-Toledo","given":"Juan Carlos","non-dropping-particle":"","parse-names":false,"suffix":""},{"dropping-particle":"","family":"Souza","given":"Dorotéia Rossi Silva","non-dropping-particle":"","parse-names":false,"suffix":""}],"container-title":"Clinical Medicine Insights: Cardiology","id":"ITEM-1","issued":{"date-parts":[["2017"]]},"title":"Influence of Apolipoprotein E on the Lipid Profile and Postprandial Triglyceride Levels in Brazilian Postmenopausal Women With Artery Disease","type":"article-journal","volume":"11"},"uris":["http://www.mendeley.com/documents/?uuid=4ef38187-e900-413d-b61a-d251f67397ec"]}],"mendeley":{"formattedCitation":"&lt;sup&gt;2&lt;/sup&gt;","plainTextFormattedCitation":"2","previouslyFormattedCitation":"&lt;sup&gt;3&lt;/sup&gt;"},"properties":{"noteIndex":0},"schema":"https://github.com/citation-style-language/schema/raw/master/csl-citation.json"}</w:instrText>
      </w:r>
      <w:r w:rsidRPr="00AD2196">
        <w:rPr>
          <w:rFonts w:ascii="Arial" w:hAnsi="Arial" w:cs="Arial"/>
          <w:color w:val="000000" w:themeColor="text1"/>
          <w:szCs w:val="21"/>
        </w:rPr>
        <w:fldChar w:fldCharType="separate"/>
      </w:r>
      <w:r w:rsidR="00E94F16" w:rsidRPr="00E94F16">
        <w:rPr>
          <w:rFonts w:ascii="Arial" w:hAnsi="Arial" w:cs="Arial"/>
          <w:noProof/>
          <w:color w:val="000000" w:themeColor="text1"/>
          <w:szCs w:val="21"/>
          <w:vertAlign w:val="superscript"/>
        </w:rPr>
        <w:t>2</w:t>
      </w:r>
      <w:r w:rsidRPr="00AD2196">
        <w:rPr>
          <w:rFonts w:ascii="Arial" w:hAnsi="Arial" w:cs="Arial"/>
          <w:color w:val="000000" w:themeColor="text1"/>
          <w:szCs w:val="21"/>
        </w:rPr>
        <w:fldChar w:fldCharType="end"/>
      </w:r>
      <w:r w:rsidRPr="00AD2196">
        <w:rPr>
          <w:rFonts w:ascii="Arial" w:hAnsi="Arial" w:cs="Arial"/>
          <w:color w:val="000000" w:themeColor="text1"/>
          <w:szCs w:val="21"/>
        </w:rPr>
        <w:t xml:space="preserve">, with the following command line options: -g ^GTGYCAGCMGNNNNNNNNN -G ^GGACTACNVGNNNNNNNNNN --no-indels --error-rate 0.2 --discard-untrimmed --max-n 0 --minimum-length 200:200. Amplicon sequence variants (ASVs) were then inferred using DADA2 v1.16.0 </w:t>
      </w:r>
      <w:r w:rsidRPr="00AD2196">
        <w:rPr>
          <w:rFonts w:ascii="Arial" w:hAnsi="Arial" w:cs="Arial"/>
          <w:color w:val="000000" w:themeColor="text1"/>
          <w:szCs w:val="21"/>
        </w:rPr>
        <w:fldChar w:fldCharType="begin" w:fldLock="1"/>
      </w:r>
      <w:r w:rsidR="00E94F16">
        <w:rPr>
          <w:rFonts w:ascii="Arial" w:hAnsi="Arial" w:cs="Arial"/>
          <w:color w:val="000000" w:themeColor="text1"/>
          <w:szCs w:val="21"/>
        </w:rPr>
        <w:instrText>ADDIN CSL_CITATION {"citationItems":[{"id":"ITEM-1","itemData":{"DOI":"10.1038/nmeth.3869","ISSN":"15487105","PMID":"27214047","abstract":"We present the open-source software package DADA2 for modeling and correcting Illumina-sequenced amplicon errors (https://github.com/benjjneb/dada2). DADA2 infers sample sequences exactly and resolves differences of as little as 1 nucleotide. In several mock communities, DADA2 identified more real variants and output fewer spurious sequences than other methods. We applied DADA2 to vaginal samples from a cohort of pregnant women, revealing a diversity of previously undetected Lactobacillus crispatus variants.","author":[{"dropping-particle":"","family":"Callahan","given":"Benjamin J.","non-dropping-particle":"","parse-names":false,"suffix":""},{"dropping-particle":"","family":"McMurdie","given":"Paul J.","non-dropping-particle":"","parse-names":false,"suffix":""},{"dropping-particle":"","family":"Rosen","given":"Michael J.","non-dropping-particle":"","parse-names":false,"suffix":""},{"dropping-particle":"","family":"Han","given":"Andrew W.","non-dropping-particle":"","parse-names":false,"suffix":""},{"dropping-particle":"","family":"Johnson","given":"Amy Jo A.","non-dropping-particle":"","parse-names":false,"suffix":""},{"dropping-particle":"","family":"Holmes","given":"Susan P.","non-dropping-particle":"","parse-names":false,"suffix":""}],"container-title":"Nature Methods","id":"ITEM-1","issue":"7","issued":{"date-parts":[["2016"]]},"page":"581-583","title":"DADA2: High-resolution sample inference from Illumina amplicon data","type":"article-journal","volume":"13"},"uris":["http://www.mendeley.com/documents/?uuid=af212c13-c055-4fdb-8dc9-729f8b2fdb07"]}],"mendeley":{"formattedCitation":"&lt;sup&gt;3&lt;/sup&gt;","plainTextFormattedCitation":"3","previouslyFormattedCitation":"&lt;sup&gt;4&lt;/sup&gt;"},"properties":{"noteIndex":0},"schema":"https://github.com/citation-style-language/schema/raw/master/csl-citation.json"}</w:instrText>
      </w:r>
      <w:r w:rsidRPr="00AD2196">
        <w:rPr>
          <w:rFonts w:ascii="Arial" w:hAnsi="Arial" w:cs="Arial"/>
          <w:color w:val="000000" w:themeColor="text1"/>
          <w:szCs w:val="21"/>
        </w:rPr>
        <w:fldChar w:fldCharType="separate"/>
      </w:r>
      <w:r w:rsidR="00E94F16" w:rsidRPr="00E94F16">
        <w:rPr>
          <w:rFonts w:ascii="Arial" w:hAnsi="Arial" w:cs="Arial"/>
          <w:noProof/>
          <w:color w:val="000000" w:themeColor="text1"/>
          <w:szCs w:val="21"/>
          <w:vertAlign w:val="superscript"/>
        </w:rPr>
        <w:t>3</w:t>
      </w:r>
      <w:r w:rsidRPr="00AD2196">
        <w:rPr>
          <w:rFonts w:ascii="Arial" w:hAnsi="Arial" w:cs="Arial"/>
          <w:color w:val="000000" w:themeColor="text1"/>
          <w:szCs w:val="21"/>
        </w:rPr>
        <w:fldChar w:fldCharType="end"/>
      </w:r>
      <w:r w:rsidRPr="00AD2196">
        <w:rPr>
          <w:rFonts w:ascii="Arial" w:hAnsi="Arial" w:cs="Arial"/>
          <w:color w:val="000000" w:themeColor="text1"/>
          <w:szCs w:val="21"/>
        </w:rPr>
        <w:t xml:space="preserve">, following additional trimming and filtering of reads using DADA2’s filterAndTrim function, specifying options truncLen = c(180, 180) and maxEE = c(3, 3). Learning of error models for forward and reverse reads (function learnErrors), denoising of forward and reverse reads (function data), merging of reads (function mergePairs), and </w:t>
      </w:r>
      <w:r w:rsidRPr="00AD2196">
        <w:rPr>
          <w:rFonts w:ascii="Arial" w:hAnsi="Arial" w:cs="Arial"/>
          <w:color w:val="000000" w:themeColor="text1"/>
          <w:szCs w:val="21"/>
        </w:rPr>
        <w:lastRenderedPageBreak/>
        <w:t xml:space="preserve">removal of bimeras (function removeBimeraDenovo) were performed with default settings, with the exception that a minimal number of 2 </w:t>
      </w:r>
      <w:r w:rsidRPr="00AD2196">
        <w:rPr>
          <w:rFonts w:ascii="Arial" w:hAnsi="Arial" w:cs="Arial"/>
          <w:color w:val="000000" w:themeColor="text1"/>
          <w:szCs w:val="21"/>
        </w:rPr>
        <w:sym w:font="Symbol" w:char="F0B4"/>
      </w:r>
      <w:r w:rsidRPr="00AD2196">
        <w:rPr>
          <w:rFonts w:ascii="Arial" w:hAnsi="Arial" w:cs="Arial"/>
          <w:color w:val="000000" w:themeColor="text1"/>
          <w:szCs w:val="21"/>
        </w:rPr>
        <w:t xml:space="preserve"> 10</w:t>
      </w:r>
      <w:r w:rsidRPr="00AD2196">
        <w:rPr>
          <w:rFonts w:ascii="Arial" w:hAnsi="Arial" w:cs="Arial"/>
          <w:color w:val="000000" w:themeColor="text1"/>
          <w:szCs w:val="21"/>
          <w:vertAlign w:val="superscript"/>
        </w:rPr>
        <w:t>8</w:t>
      </w:r>
      <w:r w:rsidRPr="00AD2196">
        <w:rPr>
          <w:rFonts w:ascii="Arial" w:hAnsi="Arial" w:cs="Arial"/>
          <w:color w:val="000000" w:themeColor="text1"/>
          <w:szCs w:val="21"/>
        </w:rPr>
        <w:t xml:space="preserve"> bases from randomly selected samples were used (option 2 </w:t>
      </w:r>
      <w:r w:rsidRPr="00AD2196">
        <w:rPr>
          <w:rFonts w:ascii="Arial" w:hAnsi="Arial" w:cs="Arial"/>
          <w:color w:val="000000" w:themeColor="text1"/>
          <w:szCs w:val="21"/>
        </w:rPr>
        <w:sym w:font="Symbol" w:char="F0B4"/>
      </w:r>
      <w:r w:rsidRPr="00AD2196">
        <w:rPr>
          <w:rFonts w:ascii="Arial" w:hAnsi="Arial" w:cs="Arial"/>
          <w:color w:val="000000" w:themeColor="text1"/>
          <w:szCs w:val="21"/>
        </w:rPr>
        <w:t xml:space="preserve"> 10</w:t>
      </w:r>
      <w:r w:rsidRPr="00AD2196">
        <w:rPr>
          <w:rFonts w:ascii="Arial" w:hAnsi="Arial" w:cs="Arial"/>
          <w:color w:val="000000" w:themeColor="text1"/>
          <w:szCs w:val="21"/>
          <w:vertAlign w:val="superscript"/>
        </w:rPr>
        <w:t>8</w:t>
      </w:r>
      <w:r w:rsidRPr="00AD2196">
        <w:rPr>
          <w:rFonts w:ascii="Arial" w:hAnsi="Arial" w:cs="Arial"/>
          <w:color w:val="000000" w:themeColor="text1"/>
          <w:szCs w:val="21"/>
        </w:rPr>
        <w:t xml:space="preserve"> (option nbases = 2e+08 and randomize = TRUE). Taxonomy of the inferred ASVs was assigned using RDP’s naïve Bayesian classifier v2.13</w:t>
      </w:r>
      <w:r w:rsidRPr="00AD2196">
        <w:rPr>
          <w:rFonts w:ascii="Arial" w:hAnsi="Arial" w:cs="Arial"/>
          <w:color w:val="000000" w:themeColor="text1"/>
          <w:szCs w:val="21"/>
        </w:rPr>
        <w:fldChar w:fldCharType="begin" w:fldLock="1"/>
      </w:r>
      <w:r w:rsidR="00E94F16">
        <w:rPr>
          <w:rFonts w:ascii="Arial" w:hAnsi="Arial" w:cs="Arial"/>
          <w:color w:val="000000" w:themeColor="text1"/>
          <w:szCs w:val="21"/>
        </w:rPr>
        <w:instrText>ADDIN CSL_CITATION {"citationItems":[{"id":"ITEM-1","itemData":{"DOI":"10.1128/AEM.00062-07","ISSN":"00992240","PMID":"17586664","abstract":"The Ribosomal Database Project (RDP) Classifier, a naïve Bayesian classifier, can rapidly and accurately classify bacterial 16S rRNA sequences into the new higher-order taxonomy proposed in Bergey's Taxonomic Outline of the Prokaryotes (2nd ed., release 5.0, Springer-Verlag, New York, NY, 2004). It provides taxonomic assignments from domain to genus, with confidence estimates for each assignment. The majority of classifications (98%) were of high estimated confidence (≥95%) and high accuracy (98%). In addition to being tested with the corpus of 5,014 type strain sequences from Bergey's outline, the RDP Classifier was tested with a corpus of 23,095 rRNA sequences as assigned by the NCBI into their alternative higher-order taxonomy. The results from leave-one-out testing on both corpora show that the overall accuracies at all levels of confidence for near-full-length and 400-base segments were 89% or above down to the genus level, and the majority of the classification errors appear to be due to anomalies in the current taxonomies. For shorter rRNA segments, such as those that might be generated by pyrosequencing, the error rate varied greatly over the length of the 16S rRNA gene, with segments around the V2 and V4 variable regions giving the lowest error rates. The RDP Classifier is suitable both for the analysis of single rRNA sequences and for the analysis of libraries of thousands of sequences. Another related tool, RDP Library Compare, was developed to facilitate microbial-community comparison based on 16S rRNA gene sequence libraries. It combines the RDP Classifier with a statistical test to flag taxa differentially represented between samples. The RDP Classifier and RDP Library Compare are available online at http://rdp.cme.msu. edu/. Copyright © 2007, American Society for Microbiology. All Rights Reserved.","author":[{"dropping-particle":"","family":"Wang","given":"Qiong","non-dropping-particle":"","parse-names":false,"suffix":""},{"dropping-particle":"","family":"Garrity","given":"George M.","non-dropping-particle":"","parse-names":false,"suffix":""},{"dropping-particle":"","family":"Tiedje","given":"James M.","non-dropping-particle":"","parse-names":false,"suffix":""},{"dropping-particle":"","family":"Cole","given":"James R.","non-dropping-particle":"","parse-names":false,"suffix":""}],"container-title":"Applied and Environmental Microbiology","id":"ITEM-1","issue":"16","issued":{"date-parts":[["2007"]]},"page":"5261-5267","title":"Naïve Bayesian classifier for rapid assignment of rRNA sequences into the new bacterial taxonomy","type":"article-journal","volume":"73"},"uris":["http://www.mendeley.com/documents/?uuid=79d0e8b6-c446-4346-9775-7cb326d276df"]}],"mendeley":{"formattedCitation":"&lt;sup&gt;4&lt;/sup&gt;","plainTextFormattedCitation":"4","previouslyFormattedCitation":"&lt;sup&gt;5&lt;/sup&gt;"},"properties":{"noteIndex":0},"schema":"https://github.com/citation-style-language/schema/raw/master/csl-citation.json"}</w:instrText>
      </w:r>
      <w:r w:rsidRPr="00AD2196">
        <w:rPr>
          <w:rFonts w:ascii="Arial" w:hAnsi="Arial" w:cs="Arial"/>
          <w:color w:val="000000" w:themeColor="text1"/>
          <w:szCs w:val="21"/>
        </w:rPr>
        <w:fldChar w:fldCharType="separate"/>
      </w:r>
      <w:r w:rsidR="00E94F16" w:rsidRPr="00E94F16">
        <w:rPr>
          <w:rFonts w:ascii="Arial" w:hAnsi="Arial" w:cs="Arial"/>
          <w:noProof/>
          <w:color w:val="000000" w:themeColor="text1"/>
          <w:szCs w:val="21"/>
          <w:vertAlign w:val="superscript"/>
        </w:rPr>
        <w:t>4</w:t>
      </w:r>
      <w:r w:rsidRPr="00AD2196">
        <w:rPr>
          <w:rFonts w:ascii="Arial" w:hAnsi="Arial" w:cs="Arial"/>
          <w:color w:val="000000" w:themeColor="text1"/>
          <w:szCs w:val="21"/>
        </w:rPr>
        <w:fldChar w:fldCharType="end"/>
      </w:r>
      <w:r w:rsidRPr="00AD2196">
        <w:rPr>
          <w:rFonts w:ascii="Arial" w:hAnsi="Arial" w:cs="Arial"/>
          <w:color w:val="000000" w:themeColor="text1"/>
          <w:szCs w:val="21"/>
        </w:rPr>
        <w:t xml:space="preserve"> specifying option --format fixrank.</w:t>
      </w:r>
    </w:p>
    <w:p w:rsidR="00A12F3D" w:rsidRPr="00AD2196" w:rsidRDefault="00A12F3D" w:rsidP="00A12F3D">
      <w:pPr>
        <w:jc w:val="left"/>
        <w:rPr>
          <w:rFonts w:ascii="Arial" w:hAnsi="Arial" w:cs="Arial"/>
          <w:color w:val="000000" w:themeColor="text1"/>
          <w:szCs w:val="21"/>
        </w:rPr>
      </w:pPr>
      <w:r w:rsidRPr="00AD2196">
        <w:rPr>
          <w:rFonts w:ascii="Arial" w:hAnsi="Arial" w:cs="Arial"/>
          <w:color w:val="000000" w:themeColor="text1"/>
          <w:szCs w:val="21"/>
        </w:rPr>
        <w:t xml:space="preserve">Subsequently, a filtered ASVs table was generated by discarding ASVs lacking domain- and/or phylum-level taxonomic assignment (a bootstrap confidence score of 80%) as well as ASVs with an aberrant length (that is, shorter than 250 or longer than 255 bp based on the expected length of 253 bp for the V4 hypervariable region of the 16S rRNA gene). The filtered ASV table was </w:t>
      </w:r>
      <w:r>
        <w:rPr>
          <w:rFonts w:ascii="Arial" w:hAnsi="Arial" w:cs="Arial"/>
          <w:color w:val="000000" w:themeColor="text1"/>
          <w:szCs w:val="21"/>
        </w:rPr>
        <w:t>10</w:t>
      </w:r>
      <w:r w:rsidRPr="00AD2196">
        <w:rPr>
          <w:rFonts w:ascii="Arial" w:hAnsi="Arial" w:cs="Arial"/>
          <w:color w:val="000000" w:themeColor="text1"/>
          <w:szCs w:val="21"/>
        </w:rPr>
        <w:t xml:space="preserve"> times randomly subsampled to 60,000 total counts per sample using </w:t>
      </w:r>
      <w:r w:rsidRPr="00AD2196">
        <w:rPr>
          <w:rFonts w:ascii="Arial" w:hAnsi="Arial" w:cs="Arial"/>
          <w:i/>
          <w:color w:val="000000" w:themeColor="text1"/>
          <w:szCs w:val="21"/>
        </w:rPr>
        <w:t>vegan</w:t>
      </w:r>
      <w:r w:rsidRPr="00AD2196">
        <w:rPr>
          <w:rFonts w:ascii="Arial" w:hAnsi="Arial" w:cs="Arial"/>
          <w:color w:val="000000" w:themeColor="text1"/>
          <w:szCs w:val="21"/>
        </w:rPr>
        <w:t xml:space="preserve"> v2.5 (https://CRAN.R-project.org/package=vegan) rarefy function, averaged across subsamples (arithmetic mean), and converted to relative abundances by total sum scaling. Further, duplicate measurements for each monkey were averaged prior to downstream analysis by taking the arithmetic mean of ASV-wise relative abundances.</w:t>
      </w:r>
    </w:p>
    <w:p w:rsidR="00A12F3D" w:rsidRPr="00AD2196" w:rsidRDefault="00A12F3D" w:rsidP="00A12F3D">
      <w:pPr>
        <w:jc w:val="left"/>
        <w:rPr>
          <w:rFonts w:ascii="Arial" w:hAnsi="Arial" w:cs="Arial"/>
          <w:color w:val="000000" w:themeColor="text1"/>
          <w:szCs w:val="21"/>
        </w:rPr>
      </w:pPr>
      <w:r w:rsidRPr="00AD2196">
        <w:rPr>
          <w:rFonts w:ascii="Arial" w:hAnsi="Arial" w:cs="Arial"/>
          <w:color w:val="000000" w:themeColor="text1"/>
          <w:szCs w:val="21"/>
        </w:rPr>
        <w:t xml:space="preserve">To correlate ASV relative abundance with water content, we considered ASVs detected (that is, with non-zero count in the rarified ASV table) in at least half of the samples. Spearman correlation coefficients and </w:t>
      </w:r>
      <w:r w:rsidRPr="00AD2196">
        <w:rPr>
          <w:rFonts w:ascii="Arial" w:hAnsi="Arial" w:cs="Arial"/>
          <w:i/>
          <w:iCs/>
          <w:color w:val="000000" w:themeColor="text1"/>
          <w:szCs w:val="21"/>
        </w:rPr>
        <w:t>p-values</w:t>
      </w:r>
      <w:r w:rsidRPr="00AD2196">
        <w:rPr>
          <w:rFonts w:ascii="Arial" w:hAnsi="Arial" w:cs="Arial"/>
          <w:color w:val="000000" w:themeColor="text1"/>
          <w:szCs w:val="21"/>
        </w:rPr>
        <w:t xml:space="preserve"> were calculated using R v4.0.2 stats’s cor.test function and adjusted </w:t>
      </w:r>
      <w:r w:rsidRPr="00AD2196">
        <w:rPr>
          <w:rFonts w:ascii="Arial" w:hAnsi="Arial" w:cs="Arial"/>
          <w:i/>
          <w:iCs/>
          <w:color w:val="000000" w:themeColor="text1"/>
          <w:szCs w:val="21"/>
        </w:rPr>
        <w:t>p-values</w:t>
      </w:r>
      <w:r w:rsidRPr="00AD2196">
        <w:rPr>
          <w:rFonts w:ascii="Arial" w:hAnsi="Arial" w:cs="Arial"/>
          <w:color w:val="000000" w:themeColor="text1"/>
          <w:szCs w:val="21"/>
        </w:rPr>
        <w:t xml:space="preserve"> generated using R stats’s p.adjust function (method = "fdr"), with a cut-off of 0.1 for significant correlations. Graphics were generated using </w:t>
      </w:r>
      <w:r w:rsidRPr="00AD2196">
        <w:rPr>
          <w:rFonts w:ascii="Arial" w:hAnsi="Arial" w:cs="Arial"/>
          <w:i/>
          <w:color w:val="000000" w:themeColor="text1"/>
          <w:szCs w:val="21"/>
        </w:rPr>
        <w:t>ggplot2</w:t>
      </w:r>
      <w:r w:rsidRPr="00AD2196">
        <w:rPr>
          <w:rFonts w:ascii="Arial" w:hAnsi="Arial" w:cs="Arial"/>
          <w:color w:val="000000" w:themeColor="text1"/>
          <w:szCs w:val="21"/>
        </w:rPr>
        <w:t xml:space="preserve"> v3.3.3 (https://ggplot2.tidyverse.org) and </w:t>
      </w:r>
      <w:r w:rsidRPr="00AD2196">
        <w:rPr>
          <w:rFonts w:ascii="Arial" w:hAnsi="Arial" w:cs="Arial"/>
          <w:i/>
          <w:color w:val="000000" w:themeColor="text1"/>
          <w:szCs w:val="21"/>
        </w:rPr>
        <w:t>dplyr</w:t>
      </w:r>
      <w:r w:rsidRPr="00AD2196">
        <w:rPr>
          <w:rFonts w:ascii="Arial" w:hAnsi="Arial" w:cs="Arial"/>
          <w:color w:val="000000" w:themeColor="text1"/>
          <w:szCs w:val="21"/>
        </w:rPr>
        <w:t xml:space="preserve"> v1.0.3 (https://CRAN.R-project.org/package=dplyr) in R.</w:t>
      </w:r>
    </w:p>
    <w:p w:rsidR="00A12F3D" w:rsidRPr="00AD2196" w:rsidRDefault="00A12F3D" w:rsidP="00A12F3D">
      <w:pPr>
        <w:jc w:val="left"/>
        <w:rPr>
          <w:rFonts w:ascii="Arial" w:hAnsi="Arial" w:cs="Arial"/>
        </w:rPr>
      </w:pPr>
    </w:p>
    <w:p w:rsidR="00A12F3D" w:rsidRPr="00A12F3D" w:rsidRDefault="00A12F3D" w:rsidP="00A12F3D">
      <w:pPr>
        <w:jc w:val="left"/>
        <w:rPr>
          <w:rFonts w:ascii="Arial" w:hAnsi="Arial" w:cs="Arial"/>
          <w:b/>
        </w:rPr>
      </w:pPr>
      <w:r w:rsidRPr="00A12F3D">
        <w:rPr>
          <w:rFonts w:ascii="Arial" w:hAnsi="Arial" w:cs="Arial"/>
          <w:b/>
        </w:rPr>
        <w:t>Lipid Data analysis</w:t>
      </w:r>
    </w:p>
    <w:p w:rsidR="00A12F3D" w:rsidRPr="00AD2196" w:rsidRDefault="00A12F3D" w:rsidP="00A12F3D">
      <w:pPr>
        <w:jc w:val="left"/>
        <w:rPr>
          <w:rFonts w:ascii="Arial" w:hAnsi="Arial" w:cs="Arial"/>
        </w:rPr>
      </w:pPr>
      <w:r w:rsidRPr="00AD2196">
        <w:rPr>
          <w:rFonts w:ascii="Arial" w:hAnsi="Arial" w:cs="Arial"/>
        </w:rPr>
        <w:t>Lipid species in plasma, urine, and stool samples of 20 monkeys were identified by LipidSearch4.2 using raw data file from mass spectrometry, aligned among monkeys, and then Spearman's rank correlation coefficients by arrays of quantitation value from 20 monkeys with all combination of identified lipids were calculated for each sample. The search parameters of Lipid Search were set as follows: precursor ion m/z tolerance and product ion m/z tolerance were both set to 5 ppm, intensity threshold of product ion was set to 1% of the precursor ion. If peaks within 5 ppm were detected more than once within a retention time of 0.1 min, they were considered the same lipid. The m-score was set to 5 or higher, and the lipid was identified if the grade (lipid subtype and fatty acid chains (full or partial) were identified) was displayed by the Lipid Search criteria.</w:t>
      </w:r>
    </w:p>
    <w:p w:rsidR="00A12F3D" w:rsidRPr="00AD2196" w:rsidRDefault="00A12F3D" w:rsidP="00A12F3D">
      <w:pPr>
        <w:jc w:val="left"/>
        <w:rPr>
          <w:rFonts w:ascii="Arial" w:hAnsi="Arial" w:cs="Arial"/>
        </w:rPr>
      </w:pPr>
      <w:r w:rsidRPr="00AD2196">
        <w:rPr>
          <w:rFonts w:ascii="Arial" w:hAnsi="Arial" w:cs="Arial"/>
        </w:rPr>
        <w:t xml:space="preserve">For data analysis, Labsolutions version 5.61(Shimadzu Co.), GCsolution version 2.44 (Shimadzu Co.,), Compound Discoverer 2.1 (Thermo Fisher Scientific Inc), LipidSearch version 4.2 (Thermo Fisher Scientific Inc.), Human Metabolome Database </w:t>
      </w:r>
      <w:r w:rsidRPr="00AD2196">
        <w:rPr>
          <w:rFonts w:ascii="Arial" w:hAnsi="Arial" w:cs="Arial"/>
        </w:rPr>
        <w:lastRenderedPageBreak/>
        <w:t>(HMDB)(</w:t>
      </w:r>
      <w:r w:rsidRPr="00AD2196">
        <w:t>https://hmdb.ca/)</w:t>
      </w:r>
      <w:r w:rsidRPr="00AD2196">
        <w:rPr>
          <w:rFonts w:ascii="Arial" w:hAnsi="Arial" w:cs="Arial"/>
        </w:rPr>
        <w:t>,</w:t>
      </w:r>
      <w:r w:rsidRPr="00AD2196">
        <w:t xml:space="preserve"> MetaboAnalyst (https://www.metaboanalyst.ca/), Excel</w:t>
      </w:r>
      <w:r w:rsidRPr="00AD2196">
        <w:rPr>
          <w:rFonts w:ascii="Arial" w:hAnsi="Arial" w:cs="Arial"/>
        </w:rPr>
        <w:t xml:space="preserve"> 2016 (Microsoft) were used</w:t>
      </w:r>
      <w:r>
        <w:rPr>
          <w:rFonts w:ascii="Arial" w:hAnsi="Arial" w:cs="Arial"/>
        </w:rPr>
        <w:t xml:space="preserve"> for the calculation of </w:t>
      </w:r>
      <w:r w:rsidRPr="00F414B1">
        <w:rPr>
          <w:rFonts w:ascii="Arial" w:hAnsi="Arial" w:cs="Arial"/>
        </w:rPr>
        <w:t>Spearman's rank correlation</w:t>
      </w:r>
      <w:r>
        <w:rPr>
          <w:rFonts w:ascii="Arial" w:hAnsi="Arial" w:cs="Arial"/>
        </w:rPr>
        <w:t xml:space="preserve"> and </w:t>
      </w:r>
      <w:r w:rsidRPr="00F414B1">
        <w:rPr>
          <w:rFonts w:ascii="Arial" w:hAnsi="Arial" w:cs="Arial"/>
          <w:i/>
        </w:rPr>
        <w:t>p</w:t>
      </w:r>
      <w:r>
        <w:rPr>
          <w:rFonts w:ascii="Arial" w:hAnsi="Arial" w:cs="Arial"/>
        </w:rPr>
        <w:t>-values, and</w:t>
      </w:r>
      <w:r w:rsidRPr="00AD2196">
        <w:rPr>
          <w:rFonts w:ascii="Arial" w:hAnsi="Arial" w:cs="Arial"/>
        </w:rPr>
        <w:t xml:space="preserve"> </w:t>
      </w:r>
      <w:r w:rsidRPr="00AD2196">
        <w:rPr>
          <w:rFonts w:ascii="Arial" w:hAnsi="Arial" w:cs="Arial"/>
          <w:i/>
        </w:rPr>
        <w:t>p</w:t>
      </w:r>
      <w:r w:rsidRPr="00AD2196">
        <w:rPr>
          <w:rFonts w:ascii="Arial" w:hAnsi="Arial" w:cs="Arial"/>
        </w:rPr>
        <w:t xml:space="preserve">-values for a correlation coefficient were calculated by Excel </w:t>
      </w:r>
      <w:r>
        <w:rPr>
          <w:rFonts w:ascii="Arial" w:hAnsi="Arial" w:cs="Arial"/>
        </w:rPr>
        <w:t xml:space="preserve">program </w:t>
      </w:r>
      <w:r w:rsidRPr="00AD2196">
        <w:rPr>
          <w:rFonts w:ascii="Arial" w:hAnsi="Arial" w:cs="Arial"/>
        </w:rPr>
        <w:t>(https://www.statology.org/p-value-correlation-excel/).</w:t>
      </w:r>
    </w:p>
    <w:p w:rsidR="00A12F3D" w:rsidRDefault="00A12F3D"/>
    <w:p w:rsidR="00E94F16" w:rsidRDefault="00E94F16">
      <w:r>
        <w:rPr>
          <w:rFonts w:hint="eastAsia"/>
        </w:rPr>
        <w:t>R</w:t>
      </w:r>
      <w:r>
        <w:t>eferences</w:t>
      </w:r>
    </w:p>
    <w:p w:rsidR="00E94F16" w:rsidRPr="00E94F16" w:rsidRDefault="00E94F16" w:rsidP="00E94F16">
      <w:pPr>
        <w:autoSpaceDE w:val="0"/>
        <w:autoSpaceDN w:val="0"/>
        <w:adjustRightInd w:val="0"/>
        <w:ind w:left="640" w:hanging="640"/>
        <w:jc w:val="left"/>
        <w:rPr>
          <w:rFonts w:ascii="游明朝" w:eastAsia="游明朝" w:hAnsi="游明朝" w:cs="Times New Roman"/>
          <w:noProof/>
          <w:kern w:val="0"/>
          <w:sz w:val="20"/>
          <w:szCs w:val="24"/>
        </w:rPr>
      </w:pPr>
      <w:r>
        <w:fldChar w:fldCharType="begin" w:fldLock="1"/>
      </w:r>
      <w:r>
        <w:instrText xml:space="preserve">ADDIN Mendeley Bibliography CSL_BIBLIOGRAPHY </w:instrText>
      </w:r>
      <w:r>
        <w:fldChar w:fldCharType="separate"/>
      </w:r>
      <w:r w:rsidRPr="00E94F16">
        <w:rPr>
          <w:rFonts w:ascii="游明朝" w:eastAsia="游明朝" w:hAnsi="游明朝" w:cs="Times New Roman"/>
          <w:noProof/>
          <w:kern w:val="0"/>
          <w:sz w:val="20"/>
          <w:szCs w:val="24"/>
        </w:rPr>
        <w:t>1.</w:t>
      </w:r>
      <w:r w:rsidRPr="00E94F16">
        <w:rPr>
          <w:rFonts w:ascii="游明朝" w:eastAsia="游明朝" w:hAnsi="游明朝" w:cs="Times New Roman"/>
          <w:noProof/>
          <w:kern w:val="0"/>
          <w:sz w:val="20"/>
          <w:szCs w:val="24"/>
        </w:rPr>
        <w:tab/>
        <w:t xml:space="preserve">Yamada, M. </w:t>
      </w:r>
      <w:r w:rsidRPr="00E94F16">
        <w:rPr>
          <w:rFonts w:ascii="游明朝" w:eastAsia="游明朝" w:hAnsi="游明朝" w:cs="Times New Roman"/>
          <w:i/>
          <w:iCs/>
          <w:noProof/>
          <w:kern w:val="0"/>
          <w:sz w:val="20"/>
          <w:szCs w:val="24"/>
        </w:rPr>
        <w:t>et al.</w:t>
      </w:r>
      <w:r w:rsidRPr="00E94F16">
        <w:rPr>
          <w:rFonts w:ascii="游明朝" w:eastAsia="游明朝" w:hAnsi="游明朝" w:cs="Times New Roman"/>
          <w:noProof/>
          <w:kern w:val="0"/>
          <w:sz w:val="20"/>
          <w:szCs w:val="24"/>
        </w:rPr>
        <w:t xml:space="preserve"> A comprehensive quantification method for eicosanoids and related compounds by using liquid chromatography/mass spectrometry with high speed continuous ionization polarity switching. </w:t>
      </w:r>
      <w:r w:rsidRPr="00E94F16">
        <w:rPr>
          <w:rFonts w:ascii="游明朝" w:eastAsia="游明朝" w:hAnsi="游明朝" w:cs="Times New Roman"/>
          <w:i/>
          <w:iCs/>
          <w:noProof/>
          <w:kern w:val="0"/>
          <w:sz w:val="20"/>
          <w:szCs w:val="24"/>
        </w:rPr>
        <w:t>J. Chromatogr. B Anal. Technol. Biomed. Life Sci.</w:t>
      </w:r>
      <w:r w:rsidRPr="00E94F16">
        <w:rPr>
          <w:rFonts w:ascii="游明朝" w:eastAsia="游明朝" w:hAnsi="游明朝" w:cs="Times New Roman"/>
          <w:noProof/>
          <w:kern w:val="0"/>
          <w:sz w:val="20"/>
          <w:szCs w:val="24"/>
        </w:rPr>
        <w:t xml:space="preserve"> </w:t>
      </w:r>
      <w:r w:rsidRPr="00E94F16">
        <w:rPr>
          <w:rFonts w:ascii="游明朝" w:eastAsia="游明朝" w:hAnsi="游明朝" w:cs="Times New Roman"/>
          <w:b/>
          <w:bCs/>
          <w:noProof/>
          <w:kern w:val="0"/>
          <w:sz w:val="20"/>
          <w:szCs w:val="24"/>
        </w:rPr>
        <w:t>995</w:t>
      </w:r>
      <w:r w:rsidRPr="00E94F16">
        <w:rPr>
          <w:rFonts w:ascii="游明朝" w:eastAsia="游明朝" w:hAnsi="游明朝" w:cs="Times New Roman"/>
          <w:noProof/>
          <w:kern w:val="0"/>
          <w:sz w:val="20"/>
          <w:szCs w:val="24"/>
        </w:rPr>
        <w:t>–</w:t>
      </w:r>
      <w:r w:rsidRPr="00E94F16">
        <w:rPr>
          <w:rFonts w:ascii="游明朝" w:eastAsia="游明朝" w:hAnsi="游明朝" w:cs="Times New Roman"/>
          <w:b/>
          <w:bCs/>
          <w:noProof/>
          <w:kern w:val="0"/>
          <w:sz w:val="20"/>
          <w:szCs w:val="24"/>
        </w:rPr>
        <w:t>996</w:t>
      </w:r>
      <w:r w:rsidRPr="00E94F16">
        <w:rPr>
          <w:rFonts w:ascii="游明朝" w:eastAsia="游明朝" w:hAnsi="游明朝" w:cs="Times New Roman"/>
          <w:noProof/>
          <w:kern w:val="0"/>
          <w:sz w:val="20"/>
          <w:szCs w:val="24"/>
        </w:rPr>
        <w:t>, 74–84 (2015).</w:t>
      </w:r>
    </w:p>
    <w:p w:rsidR="00E94F16" w:rsidRPr="00E94F16" w:rsidRDefault="00E94F16" w:rsidP="00E94F16">
      <w:pPr>
        <w:autoSpaceDE w:val="0"/>
        <w:autoSpaceDN w:val="0"/>
        <w:adjustRightInd w:val="0"/>
        <w:ind w:left="640" w:hanging="640"/>
        <w:jc w:val="left"/>
        <w:rPr>
          <w:rFonts w:ascii="游明朝" w:eastAsia="游明朝" w:hAnsi="游明朝" w:cs="Times New Roman"/>
          <w:noProof/>
          <w:kern w:val="0"/>
          <w:sz w:val="20"/>
          <w:szCs w:val="24"/>
        </w:rPr>
      </w:pPr>
      <w:r w:rsidRPr="00E94F16">
        <w:rPr>
          <w:rFonts w:ascii="游明朝" w:eastAsia="游明朝" w:hAnsi="游明朝" w:cs="Times New Roman"/>
          <w:noProof/>
          <w:kern w:val="0"/>
          <w:sz w:val="20"/>
          <w:szCs w:val="24"/>
        </w:rPr>
        <w:t>2.</w:t>
      </w:r>
      <w:r w:rsidRPr="00E94F16">
        <w:rPr>
          <w:rFonts w:ascii="游明朝" w:eastAsia="游明朝" w:hAnsi="游明朝" w:cs="Times New Roman"/>
          <w:noProof/>
          <w:kern w:val="0"/>
          <w:sz w:val="20"/>
          <w:szCs w:val="24"/>
        </w:rPr>
        <w:tab/>
        <w:t xml:space="preserve">Tácito, L. H. B., Yamada, L. N., de Souza Pinhel, M. A., Yugar-Toledo, J. C. &amp; Souza, D. R. S. Influence of Apolipoprotein E on the Lipid Profile and Postprandial Triglyceride Levels in Brazilian Postmenopausal Women With Artery Disease. </w:t>
      </w:r>
      <w:r w:rsidRPr="00E94F16">
        <w:rPr>
          <w:rFonts w:ascii="游明朝" w:eastAsia="游明朝" w:hAnsi="游明朝" w:cs="Times New Roman"/>
          <w:i/>
          <w:iCs/>
          <w:noProof/>
          <w:kern w:val="0"/>
          <w:sz w:val="20"/>
          <w:szCs w:val="24"/>
        </w:rPr>
        <w:t>Clin. Med. Insights Cardiol.</w:t>
      </w:r>
      <w:r w:rsidRPr="00E94F16">
        <w:rPr>
          <w:rFonts w:ascii="游明朝" w:eastAsia="游明朝" w:hAnsi="游明朝" w:cs="Times New Roman"/>
          <w:noProof/>
          <w:kern w:val="0"/>
          <w:sz w:val="20"/>
          <w:szCs w:val="24"/>
        </w:rPr>
        <w:t xml:space="preserve"> </w:t>
      </w:r>
      <w:r w:rsidRPr="00E94F16">
        <w:rPr>
          <w:rFonts w:ascii="游明朝" w:eastAsia="游明朝" w:hAnsi="游明朝" w:cs="Times New Roman"/>
          <w:b/>
          <w:bCs/>
          <w:noProof/>
          <w:kern w:val="0"/>
          <w:sz w:val="20"/>
          <w:szCs w:val="24"/>
        </w:rPr>
        <w:t>11</w:t>
      </w:r>
      <w:r w:rsidRPr="00E94F16">
        <w:rPr>
          <w:rFonts w:ascii="游明朝" w:eastAsia="游明朝" w:hAnsi="游明朝" w:cs="Times New Roman"/>
          <w:noProof/>
          <w:kern w:val="0"/>
          <w:sz w:val="20"/>
          <w:szCs w:val="24"/>
        </w:rPr>
        <w:t>, (2017).</w:t>
      </w:r>
    </w:p>
    <w:p w:rsidR="00E94F16" w:rsidRPr="00E94F16" w:rsidRDefault="00E94F16" w:rsidP="00E94F16">
      <w:pPr>
        <w:autoSpaceDE w:val="0"/>
        <w:autoSpaceDN w:val="0"/>
        <w:adjustRightInd w:val="0"/>
        <w:ind w:left="640" w:hanging="640"/>
        <w:jc w:val="left"/>
        <w:rPr>
          <w:rFonts w:ascii="游明朝" w:eastAsia="游明朝" w:hAnsi="游明朝" w:cs="Times New Roman"/>
          <w:noProof/>
          <w:kern w:val="0"/>
          <w:sz w:val="20"/>
          <w:szCs w:val="24"/>
        </w:rPr>
      </w:pPr>
      <w:r w:rsidRPr="00E94F16">
        <w:rPr>
          <w:rFonts w:ascii="游明朝" w:eastAsia="游明朝" w:hAnsi="游明朝" w:cs="Times New Roman"/>
          <w:noProof/>
          <w:kern w:val="0"/>
          <w:sz w:val="20"/>
          <w:szCs w:val="24"/>
        </w:rPr>
        <w:t>3.</w:t>
      </w:r>
      <w:r w:rsidRPr="00E94F16">
        <w:rPr>
          <w:rFonts w:ascii="游明朝" w:eastAsia="游明朝" w:hAnsi="游明朝" w:cs="Times New Roman"/>
          <w:noProof/>
          <w:kern w:val="0"/>
          <w:sz w:val="20"/>
          <w:szCs w:val="24"/>
        </w:rPr>
        <w:tab/>
        <w:t xml:space="preserve">Callahan, B. J. </w:t>
      </w:r>
      <w:r w:rsidRPr="00E94F16">
        <w:rPr>
          <w:rFonts w:ascii="游明朝" w:eastAsia="游明朝" w:hAnsi="游明朝" w:cs="Times New Roman"/>
          <w:i/>
          <w:iCs/>
          <w:noProof/>
          <w:kern w:val="0"/>
          <w:sz w:val="20"/>
          <w:szCs w:val="24"/>
        </w:rPr>
        <w:t>et al.</w:t>
      </w:r>
      <w:r w:rsidRPr="00E94F16">
        <w:rPr>
          <w:rFonts w:ascii="游明朝" w:eastAsia="游明朝" w:hAnsi="游明朝" w:cs="Times New Roman"/>
          <w:noProof/>
          <w:kern w:val="0"/>
          <w:sz w:val="20"/>
          <w:szCs w:val="24"/>
        </w:rPr>
        <w:t xml:space="preserve"> DADA2: High-resolution sample inference from Illumina amplicon data. </w:t>
      </w:r>
      <w:r w:rsidRPr="00E94F16">
        <w:rPr>
          <w:rFonts w:ascii="游明朝" w:eastAsia="游明朝" w:hAnsi="游明朝" w:cs="Times New Roman"/>
          <w:i/>
          <w:iCs/>
          <w:noProof/>
          <w:kern w:val="0"/>
          <w:sz w:val="20"/>
          <w:szCs w:val="24"/>
        </w:rPr>
        <w:t>Nat. Methods</w:t>
      </w:r>
      <w:r w:rsidRPr="00E94F16">
        <w:rPr>
          <w:rFonts w:ascii="游明朝" w:eastAsia="游明朝" w:hAnsi="游明朝" w:cs="Times New Roman"/>
          <w:noProof/>
          <w:kern w:val="0"/>
          <w:sz w:val="20"/>
          <w:szCs w:val="24"/>
        </w:rPr>
        <w:t xml:space="preserve"> </w:t>
      </w:r>
      <w:r w:rsidRPr="00E94F16">
        <w:rPr>
          <w:rFonts w:ascii="游明朝" w:eastAsia="游明朝" w:hAnsi="游明朝" w:cs="Times New Roman"/>
          <w:b/>
          <w:bCs/>
          <w:noProof/>
          <w:kern w:val="0"/>
          <w:sz w:val="20"/>
          <w:szCs w:val="24"/>
        </w:rPr>
        <w:t>13</w:t>
      </w:r>
      <w:r w:rsidRPr="00E94F16">
        <w:rPr>
          <w:rFonts w:ascii="游明朝" w:eastAsia="游明朝" w:hAnsi="游明朝" w:cs="Times New Roman"/>
          <w:noProof/>
          <w:kern w:val="0"/>
          <w:sz w:val="20"/>
          <w:szCs w:val="24"/>
        </w:rPr>
        <w:t>, 581–583 (2016).</w:t>
      </w:r>
    </w:p>
    <w:p w:rsidR="00E94F16" w:rsidRPr="00E94F16" w:rsidRDefault="00E94F16" w:rsidP="00E94F16">
      <w:pPr>
        <w:autoSpaceDE w:val="0"/>
        <w:autoSpaceDN w:val="0"/>
        <w:adjustRightInd w:val="0"/>
        <w:ind w:left="640" w:hanging="640"/>
        <w:jc w:val="left"/>
        <w:rPr>
          <w:rFonts w:ascii="游明朝" w:eastAsia="游明朝" w:hAnsi="游明朝"/>
          <w:noProof/>
          <w:sz w:val="20"/>
        </w:rPr>
      </w:pPr>
      <w:r w:rsidRPr="00E94F16">
        <w:rPr>
          <w:rFonts w:ascii="游明朝" w:eastAsia="游明朝" w:hAnsi="游明朝" w:cs="Times New Roman"/>
          <w:noProof/>
          <w:kern w:val="0"/>
          <w:sz w:val="20"/>
          <w:szCs w:val="24"/>
        </w:rPr>
        <w:t>4.</w:t>
      </w:r>
      <w:r w:rsidRPr="00E94F16">
        <w:rPr>
          <w:rFonts w:ascii="游明朝" w:eastAsia="游明朝" w:hAnsi="游明朝" w:cs="Times New Roman"/>
          <w:noProof/>
          <w:kern w:val="0"/>
          <w:sz w:val="20"/>
          <w:szCs w:val="24"/>
        </w:rPr>
        <w:tab/>
        <w:t xml:space="preserve">Wang, Q., Garrity, G. M., Tiedje, J. M. &amp; Cole, J. R. Naïve Bayesian classifier for rapid assignment of rRNA sequences into the new bacterial taxonomy. </w:t>
      </w:r>
      <w:r w:rsidRPr="00E94F16">
        <w:rPr>
          <w:rFonts w:ascii="游明朝" w:eastAsia="游明朝" w:hAnsi="游明朝" w:cs="Times New Roman"/>
          <w:i/>
          <w:iCs/>
          <w:noProof/>
          <w:kern w:val="0"/>
          <w:sz w:val="20"/>
          <w:szCs w:val="24"/>
        </w:rPr>
        <w:t>Appl. Environ. Microbiol.</w:t>
      </w:r>
      <w:r w:rsidRPr="00E94F16">
        <w:rPr>
          <w:rFonts w:ascii="游明朝" w:eastAsia="游明朝" w:hAnsi="游明朝" w:cs="Times New Roman"/>
          <w:noProof/>
          <w:kern w:val="0"/>
          <w:sz w:val="20"/>
          <w:szCs w:val="24"/>
        </w:rPr>
        <w:t xml:space="preserve"> </w:t>
      </w:r>
      <w:r w:rsidRPr="00E94F16">
        <w:rPr>
          <w:rFonts w:ascii="游明朝" w:eastAsia="游明朝" w:hAnsi="游明朝" w:cs="Times New Roman"/>
          <w:b/>
          <w:bCs/>
          <w:noProof/>
          <w:kern w:val="0"/>
          <w:sz w:val="20"/>
          <w:szCs w:val="24"/>
        </w:rPr>
        <w:t>73</w:t>
      </w:r>
      <w:r w:rsidRPr="00E94F16">
        <w:rPr>
          <w:rFonts w:ascii="游明朝" w:eastAsia="游明朝" w:hAnsi="游明朝" w:cs="Times New Roman"/>
          <w:noProof/>
          <w:kern w:val="0"/>
          <w:sz w:val="20"/>
          <w:szCs w:val="24"/>
        </w:rPr>
        <w:t>, 5261–5267 (2007).</w:t>
      </w:r>
    </w:p>
    <w:p w:rsidR="00E94F16" w:rsidRPr="00A12F3D" w:rsidRDefault="00E94F16">
      <w:pPr>
        <w:rPr>
          <w:rFonts w:hint="eastAsia"/>
        </w:rPr>
      </w:pPr>
      <w:r>
        <w:fldChar w:fldCharType="end"/>
      </w:r>
    </w:p>
    <w:sectPr w:rsidR="00E94F16" w:rsidRPr="00A12F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EE9" w:rsidRDefault="00195EE9" w:rsidP="00E94F16">
      <w:r>
        <w:separator/>
      </w:r>
    </w:p>
  </w:endnote>
  <w:endnote w:type="continuationSeparator" w:id="0">
    <w:p w:rsidR="00195EE9" w:rsidRDefault="00195EE9" w:rsidP="00E9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EE9" w:rsidRDefault="00195EE9" w:rsidP="00E94F16">
      <w:r>
        <w:separator/>
      </w:r>
    </w:p>
  </w:footnote>
  <w:footnote w:type="continuationSeparator" w:id="0">
    <w:p w:rsidR="00195EE9" w:rsidRDefault="00195EE9" w:rsidP="00E94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3D"/>
    <w:rsid w:val="000D1E11"/>
    <w:rsid w:val="00195EE9"/>
    <w:rsid w:val="005B3869"/>
    <w:rsid w:val="00A12F3D"/>
    <w:rsid w:val="00C71178"/>
    <w:rsid w:val="00E60C60"/>
    <w:rsid w:val="00E94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AB8AEA"/>
  <w15:chartTrackingRefBased/>
  <w15:docId w15:val="{FAD6D86F-894D-458C-B65B-FE377009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F16"/>
    <w:pPr>
      <w:tabs>
        <w:tab w:val="center" w:pos="4252"/>
        <w:tab w:val="right" w:pos="8504"/>
      </w:tabs>
      <w:snapToGrid w:val="0"/>
    </w:pPr>
  </w:style>
  <w:style w:type="character" w:customStyle="1" w:styleId="a4">
    <w:name w:val="ヘッダー (文字)"/>
    <w:basedOn w:val="a0"/>
    <w:link w:val="a3"/>
    <w:uiPriority w:val="99"/>
    <w:rsid w:val="00E94F16"/>
  </w:style>
  <w:style w:type="paragraph" w:styleId="a5">
    <w:name w:val="footer"/>
    <w:basedOn w:val="a"/>
    <w:link w:val="a6"/>
    <w:uiPriority w:val="99"/>
    <w:unhideWhenUsed/>
    <w:rsid w:val="00E94F16"/>
    <w:pPr>
      <w:tabs>
        <w:tab w:val="center" w:pos="4252"/>
        <w:tab w:val="right" w:pos="8504"/>
      </w:tabs>
      <w:snapToGrid w:val="0"/>
    </w:pPr>
  </w:style>
  <w:style w:type="character" w:customStyle="1" w:styleId="a6">
    <w:name w:val="フッター (文字)"/>
    <w:basedOn w:val="a0"/>
    <w:link w:val="a5"/>
    <w:uiPriority w:val="99"/>
    <w:rsid w:val="00E94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29A54-5141-4C09-898F-DC1BF0A2C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3047</Words>
  <Characters>17371</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y-oda</dc:creator>
  <cp:keywords/>
  <dc:description/>
  <cp:lastModifiedBy>y-oda</cp:lastModifiedBy>
  <cp:revision>2</cp:revision>
  <dcterms:created xsi:type="dcterms:W3CDTF">2021-04-20T08:59:00Z</dcterms:created>
  <dcterms:modified xsi:type="dcterms:W3CDTF">2021-04-21T00:36:00Z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faf426ce-f48b-3778-b966-9536ed4fb2ed</vt:lpwstr>
  </property>
  <property fmtid="{D5CDD505-2E9C-101B-9397-08002B2CF9AE}" pid="4" name="Mendeley Citation Style_1">
    <vt:lpwstr>http://www.zotero.org/styles/scientific-reports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http://www.zotero.org/styles/journal-of-lipid-research</vt:lpwstr>
  </property>
  <property fmtid="{D5CDD505-2E9C-101B-9397-08002B2CF9AE}" pid="18" name="Mendeley Recent Style Name 6_1">
    <vt:lpwstr>Journal of Lipid Research</vt:lpwstr>
  </property>
  <property fmtid="{D5CDD505-2E9C-101B-9397-08002B2CF9AE}" pid="19" name="Mendeley Recent Style Id 7_1">
    <vt:lpwstr>http://www.zotero.org/styles/metabolites</vt:lpwstr>
  </property>
  <property fmtid="{D5CDD505-2E9C-101B-9397-08002B2CF9AE}" pid="20" name="Mendeley Recent Style Name 7_1">
    <vt:lpwstr>Metabolites</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http://www.zotero.org/styles/scientific-reports</vt:lpwstr>
  </property>
  <property fmtid="{D5CDD505-2E9C-101B-9397-08002B2CF9AE}" pid="24" name="Mendeley Recent Style Name 9_1">
    <vt:lpwstr>Scientific Reports</vt:lpwstr>
  </property>
</Properties>
</file>