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eastAsia="zh-CN"/>
        </w:rPr>
        <w:t>Table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S</w:t>
      </w:r>
      <w:r>
        <w:rPr>
          <w:rFonts w:ascii="Times New Roman" w:hAnsi="Times New Roman" w:eastAsia="宋体" w:cs="Times New Roman"/>
          <w:b/>
          <w:bCs/>
          <w:sz w:val="24"/>
        </w:rPr>
        <w:t>1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: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4"/>
        </w:rPr>
        <w:t>Statistics of the sequencing data</w:t>
      </w:r>
    </w:p>
    <w:tbl>
      <w:tblPr>
        <w:tblStyle w:val="3"/>
        <w:tblW w:w="8833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090"/>
        <w:gridCol w:w="1391"/>
        <w:gridCol w:w="1191"/>
        <w:gridCol w:w="1300"/>
        <w:gridCol w:w="12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43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Types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90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Sequencing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platform</w:t>
            </w:r>
          </w:p>
        </w:tc>
        <w:tc>
          <w:tcPr>
            <w:tcW w:w="1391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Library size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91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Number of library</w:t>
            </w:r>
          </w:p>
        </w:tc>
        <w:tc>
          <w:tcPr>
            <w:tcW w:w="1300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Clean data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(Gb)</w:t>
            </w:r>
          </w:p>
        </w:tc>
        <w:tc>
          <w:tcPr>
            <w:tcW w:w="1218" w:type="dxa"/>
            <w:tcBorders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Coverage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(×) †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Illumina </w:t>
            </w:r>
          </w:p>
        </w:tc>
        <w:tc>
          <w:tcPr>
            <w:tcW w:w="2090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Illumina HiSeq X</w:t>
            </w:r>
          </w:p>
        </w:tc>
        <w:tc>
          <w:tcPr>
            <w:tcW w:w="1391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350 bp</w:t>
            </w:r>
          </w:p>
        </w:tc>
        <w:tc>
          <w:tcPr>
            <w:tcW w:w="1191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300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252.77</w:t>
            </w:r>
          </w:p>
        </w:tc>
        <w:tc>
          <w:tcPr>
            <w:tcW w:w="1218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154.13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PacBio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PacBio Sequel II</w:t>
            </w:r>
          </w:p>
        </w:tc>
        <w:tc>
          <w:tcPr>
            <w:tcW w:w="1391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 kb</w:t>
            </w:r>
          </w:p>
        </w:tc>
        <w:tc>
          <w:tcPr>
            <w:tcW w:w="1191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293.72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193.40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Hi-C </w:t>
            </w: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Illumina HiSeq X</w:t>
            </w:r>
          </w:p>
        </w:tc>
        <w:tc>
          <w:tcPr>
            <w:tcW w:w="1391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00–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00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bp</w:t>
            </w:r>
          </w:p>
        </w:tc>
        <w:tc>
          <w:tcPr>
            <w:tcW w:w="1191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233.26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Transcriptome</w:t>
            </w:r>
          </w:p>
        </w:tc>
        <w:tc>
          <w:tcPr>
            <w:tcW w:w="2090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Illumina HiSeq X</w:t>
            </w:r>
          </w:p>
        </w:tc>
        <w:tc>
          <w:tcPr>
            <w:tcW w:w="1391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350 bp</w:t>
            </w:r>
          </w:p>
        </w:tc>
        <w:tc>
          <w:tcPr>
            <w:tcW w:w="1191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8.18</w:t>
            </w:r>
          </w:p>
        </w:tc>
        <w:tc>
          <w:tcPr>
            <w:tcW w:w="1218" w:type="dxa"/>
            <w:tcBorders>
              <w:tl2br w:val="nil"/>
              <w:tr2bl w:val="nil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</w:tr>
    </w:tbl>
    <w:p>
      <w:pPr>
        <w:spacing w:line="480" w:lineRule="auto"/>
        <w:rPr>
          <w:rFonts w:ascii="Times New Roman" w:hAnsi="Times New Roman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2: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 xml:space="preserve">Statistics of 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different types of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Hi-C reads</w:t>
      </w:r>
    </w:p>
    <w:tbl>
      <w:tblPr>
        <w:tblStyle w:val="3"/>
        <w:tblW w:w="8666" w:type="dxa"/>
        <w:tblInd w:w="-6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940"/>
        <w:gridCol w:w="2628"/>
        <w:gridCol w:w="244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Mapping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ype</w:t>
            </w:r>
          </w:p>
        </w:tc>
        <w:tc>
          <w:tcPr>
            <w:tcW w:w="262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Ratio to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otal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ead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(%)</w:t>
            </w:r>
          </w:p>
        </w:tc>
        <w:tc>
          <w:tcPr>
            <w:tcW w:w="2446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Ratio to unique mapped read pairs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92" w:type="dxa"/>
            <w:gridSpan w:val="2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Total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ead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780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870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254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(100)</w:t>
            </w:r>
          </w:p>
        </w:tc>
        <w:tc>
          <w:tcPr>
            <w:tcW w:w="2446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Mapped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ead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airs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571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597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025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(7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3.20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244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Unique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apped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ead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188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834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895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4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188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834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895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Valid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nteraction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116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652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252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14.94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4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116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652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252 (61.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Invalid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nteraction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194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Dangling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nd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72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182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643 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9.24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456 (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17.04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5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Re-ligation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964 (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7.18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5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Self-cycle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195 (0.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5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Dumped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airs</w:t>
            </w:r>
          </w:p>
        </w:tc>
        <w:tc>
          <w:tcPr>
            <w:tcW w:w="262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028 (1</w:t>
            </w:r>
            <w:r>
              <w:rPr>
                <w:rFonts w:hint="eastAsia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3.32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3: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Summary of the Hi-C assembly</w:t>
      </w:r>
    </w:p>
    <w:tbl>
      <w:tblPr>
        <w:tblStyle w:val="3"/>
        <w:tblW w:w="880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61"/>
        <w:gridCol w:w="2137"/>
        <w:gridCol w:w="1445"/>
        <w:gridCol w:w="21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Group</w:t>
            </w:r>
          </w:p>
        </w:tc>
        <w:tc>
          <w:tcPr>
            <w:tcW w:w="156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 xml:space="preserve">Cluster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um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ber</w:t>
            </w:r>
          </w:p>
        </w:tc>
        <w:tc>
          <w:tcPr>
            <w:tcW w:w="2137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 xml:space="preserve">Cluster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en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gth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(bp)</w:t>
            </w:r>
          </w:p>
        </w:tc>
        <w:tc>
          <w:tcPr>
            <w:tcW w:w="144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 xml:space="preserve">Order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um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ber</w:t>
            </w:r>
          </w:p>
        </w:tc>
        <w:tc>
          <w:tcPr>
            <w:tcW w:w="211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 xml:space="preserve">Order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en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gth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(bp)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Chr01</w:t>
            </w:r>
          </w:p>
        </w:tc>
        <w:tc>
          <w:tcPr>
            <w:tcW w:w="1561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213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153,803,806</w:t>
            </w:r>
          </w:p>
        </w:tc>
        <w:tc>
          <w:tcPr>
            <w:tcW w:w="144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211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144,229,830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Chr02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107,196,770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96,729,369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Chr03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105,879,025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99,673,625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Chr04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89,177,396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79,719,718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Chr05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87,093,095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83,870,643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Chr06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85,721,425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79,888,130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Chr07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82,224,449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75,738,333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Chr08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80,407,287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71,696,766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Chr0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76,323,934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70,155,845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75,434,972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70,608,841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73,470,129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68,962,617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73,804,105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68,909,514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72,126,331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67,123,217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72,953,836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67,734,440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69,882,476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64,959,859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68,966,225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65,096,897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69,709,078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64,804,978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Chr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61,886,338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57,909,238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Total</w:t>
            </w: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(Ratio %)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4,621 (97.74)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1,506,060,677 (99.17)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3,531 (76.41)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1,397,811,860 (92.81)</w:t>
            </w:r>
          </w:p>
        </w:tc>
      </w:tr>
    </w:tbl>
    <w:p>
      <w:pPr>
        <w:rPr>
          <w:rFonts w:hint="eastAsia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Table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4: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Summary of the assessment of genome assembly</w:t>
      </w:r>
    </w:p>
    <w:tbl>
      <w:tblPr>
        <w:tblStyle w:val="3"/>
        <w:tblW w:w="8472" w:type="dxa"/>
        <w:tblInd w:w="3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1467"/>
        <w:gridCol w:w="1344"/>
        <w:gridCol w:w="23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35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Parameter</w:t>
            </w:r>
          </w:p>
        </w:tc>
        <w:tc>
          <w:tcPr>
            <w:tcW w:w="1467" w:type="dxa"/>
            <w:tcBorders>
              <w:bottom w:val="single" w:color="auto" w:sz="12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BUSCO groups (%)</w:t>
            </w:r>
          </w:p>
        </w:tc>
        <w:tc>
          <w:tcPr>
            <w:tcW w:w="1344" w:type="dxa"/>
            <w:tcBorders>
              <w:bottom w:val="single" w:color="auto" w:sz="12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CEGMA groups (%)</w:t>
            </w:r>
          </w:p>
        </w:tc>
        <w:tc>
          <w:tcPr>
            <w:tcW w:w="2306" w:type="dxa"/>
            <w:tcBorders>
              <w:bottom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Illumina reads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atio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 (%)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Total BUSCOs </w:t>
            </w:r>
          </w:p>
        </w:tc>
        <w:tc>
          <w:tcPr>
            <w:tcW w:w="1467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978 (100)</w:t>
            </w:r>
          </w:p>
        </w:tc>
        <w:tc>
          <w:tcPr>
            <w:tcW w:w="1344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op w:val="single" w:color="auto" w:sz="12" w:space="0"/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Complete BUSCOs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889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(9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Complete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and single-copy BUSCOs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721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3.7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Complete and duplicated BUSCOs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8 (1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Fragmented BUSCOs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26 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Missing BUSCOs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.4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Total CEGMA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8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(100)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Searched CEGMA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23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(9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2.36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)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Number of 248 highly conserved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05 (82.66)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Total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eads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1,664,680,996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(100)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Mapped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eads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1,622,200,797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(97.45)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Mapped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eads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pairs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>-</w:t>
            </w:r>
          </w:p>
        </w:tc>
        <w:tc>
          <w:tcPr>
            <w:tcW w:w="230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1,469,907,318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  <w:t xml:space="preserve"> (88.30)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5: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Statistics of the repeated sequences</w:t>
      </w:r>
    </w:p>
    <w:tbl>
      <w:tblPr>
        <w:tblStyle w:val="3"/>
        <w:tblW w:w="8414" w:type="dxa"/>
        <w:tblInd w:w="10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650"/>
        <w:gridCol w:w="1846"/>
        <w:gridCol w:w="186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1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Type</w:t>
            </w:r>
          </w:p>
        </w:tc>
        <w:tc>
          <w:tcPr>
            <w:tcW w:w="1650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84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Length（bp）</w:t>
            </w:r>
          </w:p>
        </w:tc>
        <w:tc>
          <w:tcPr>
            <w:tcW w:w="1867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Percentage 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ClassI/DIRS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24,688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10,566,441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ClassI/LARD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2,515,771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608,849,833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57.54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ClassI/LINE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235,902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74,779,768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7.07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ClassI/LTR/Copia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24,935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6,273,557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ClassI/LTR/Gypsy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106,541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49,198,634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ClassI/PLE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445,851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130,983,883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ClassI/SINE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69,215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ClassI/TRIM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25,844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14,743,872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ClassII/Crypton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21,742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8,053,927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ClassII/Helitron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179,095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54,933,929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ClassII/Maverick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64,882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16,729,014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ClassII/TIR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444,836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110,668,046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Helvetica" w:cs="Times New Roman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10.46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6: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Summary of the gene prediction results</w:t>
      </w:r>
    </w:p>
    <w:tbl>
      <w:tblPr>
        <w:tblStyle w:val="3"/>
        <w:tblW w:w="8600" w:type="dxa"/>
        <w:tblInd w:w="-2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976"/>
        <w:gridCol w:w="2733"/>
        <w:gridCol w:w="163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8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Method</w:t>
            </w:r>
          </w:p>
        </w:tc>
        <w:tc>
          <w:tcPr>
            <w:tcW w:w="1976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Software</w:t>
            </w:r>
          </w:p>
        </w:tc>
        <w:tc>
          <w:tcPr>
            <w:tcW w:w="273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Species</w:t>
            </w:r>
          </w:p>
        </w:tc>
        <w:tc>
          <w:tcPr>
            <w:tcW w:w="163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Gene number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Ab initio</w:t>
            </w:r>
          </w:p>
        </w:tc>
        <w:tc>
          <w:tcPr>
            <w:tcW w:w="197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Genscan</w:t>
            </w:r>
          </w:p>
        </w:tc>
        <w:tc>
          <w:tcPr>
            <w:tcW w:w="273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30,011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Augustus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37,757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GlimmerHMM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190,287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GeneID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36,389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SNAP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72,674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Homology-based</w:t>
            </w:r>
          </w:p>
        </w:tc>
        <w:tc>
          <w:tcPr>
            <w:tcW w:w="19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GeMoMa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Danio rerio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16,546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Crassostrea gigas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29,110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Crassostrea virginica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28,275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Mizuhopecten yessoensis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28,700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ranscriptome-based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PASA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80,463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GeneMarkS-T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53,118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TransDecoder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20,571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Integration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  <w:t>EVM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38,841</w:t>
            </w:r>
          </w:p>
        </w:tc>
      </w:tr>
    </w:tbl>
    <w:p/>
    <w:p/>
    <w:p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  <w:lang w:eastAsia="zh-CN"/>
        </w:rPr>
        <w:t>Table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S7: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Statistics of gene annotation to different databases</w:t>
      </w:r>
    </w:p>
    <w:tbl>
      <w:tblPr>
        <w:tblStyle w:val="3"/>
        <w:tblW w:w="8609" w:type="dxa"/>
        <w:tblInd w:w="-12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800"/>
        <w:gridCol w:w="1554"/>
        <w:gridCol w:w="1455"/>
        <w:gridCol w:w="151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szCs w:val="21"/>
              </w:rPr>
            </w:pP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Annotation database</w:t>
            </w:r>
          </w:p>
        </w:tc>
        <w:tc>
          <w:tcPr>
            <w:tcW w:w="18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Annotated number</w:t>
            </w:r>
          </w:p>
        </w:tc>
        <w:tc>
          <w:tcPr>
            <w:tcW w:w="155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Percentage (%)</w:t>
            </w:r>
          </w:p>
        </w:tc>
        <w:tc>
          <w:tcPr>
            <w:tcW w:w="145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100≤Protein length&lt;300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51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Protein length≥300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8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GO_Annotation</w:t>
            </w:r>
          </w:p>
        </w:tc>
        <w:tc>
          <w:tcPr>
            <w:tcW w:w="180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7,489</w:t>
            </w:r>
          </w:p>
        </w:tc>
        <w:tc>
          <w:tcPr>
            <w:tcW w:w="155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19.28</w:t>
            </w:r>
          </w:p>
        </w:tc>
        <w:tc>
          <w:tcPr>
            <w:tcW w:w="1455" w:type="dxa"/>
            <w:tcBorders>
              <w:top w:val="single" w:color="auto" w:sz="12" w:space="0"/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518" w:type="dxa"/>
            <w:tcBorders>
              <w:top w:val="single" w:color="auto" w:sz="12" w:space="0"/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KEGG_Annotation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12,757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32.84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KOG_Annotation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18,233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46.94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426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TrEMBL_Annotation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32,280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83.11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097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841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N</w:t>
            </w: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r_Annotation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32,382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83.37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858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All_Annotated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32,591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  <w:t>83.91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ascii="Times New Roman" w:hAnsi="Times New Roman" w:eastAsia="Helvetica" w:cs="Times New Roman"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hint="eastAsia" w:ascii="ËÎÌå" w:hAnsi="ËÎÌå" w:eastAsia="宋体" w:cs="ËÎÌå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ËÎÌå" w:hAnsi="ËÎÌå" w:eastAsia="ËÎÌå" w:cs="ËÎÌå"/>
                <w:color w:val="000000"/>
                <w:kern w:val="0"/>
                <w:szCs w:val="21"/>
                <w:lang w:bidi="ar"/>
              </w:rPr>
              <w:t>957</w:t>
            </w:r>
          </w:p>
        </w:tc>
      </w:tr>
    </w:tbl>
    <w:p/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12: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Summary of gen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features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in five bivalves</w:t>
      </w:r>
    </w:p>
    <w:tbl>
      <w:tblPr>
        <w:tblStyle w:val="3"/>
        <w:tblW w:w="8602" w:type="dxa"/>
        <w:tblInd w:w="-2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1573"/>
        <w:gridCol w:w="1609"/>
        <w:gridCol w:w="1755"/>
        <w:gridCol w:w="115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Species</w:t>
            </w:r>
          </w:p>
        </w:tc>
        <w:tc>
          <w:tcPr>
            <w:tcW w:w="157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Multi ortholog</w:t>
            </w:r>
          </w:p>
        </w:tc>
        <w:tc>
          <w:tcPr>
            <w:tcW w:w="1609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Other ortholog</w:t>
            </w:r>
          </w:p>
        </w:tc>
        <w:tc>
          <w:tcPr>
            <w:tcW w:w="1755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Single ortholog</w:t>
            </w:r>
          </w:p>
        </w:tc>
        <w:tc>
          <w:tcPr>
            <w:tcW w:w="1154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Special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1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</w:rPr>
              <w:t>Bathymodiolus</w:t>
            </w: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platifrons</w:t>
            </w:r>
          </w:p>
        </w:tc>
        <w:tc>
          <w:tcPr>
            <w:tcW w:w="157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4,554</w:t>
            </w:r>
          </w:p>
        </w:tc>
        <w:tc>
          <w:tcPr>
            <w:tcW w:w="1609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4,307</w:t>
            </w:r>
          </w:p>
        </w:tc>
        <w:tc>
          <w:tcPr>
            <w:tcW w:w="175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154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23,021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  <w:lang w:val="en-US" w:eastAsia="zh-CN"/>
              </w:rPr>
              <w:t xml:space="preserve">Corbicula 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fluminea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5,754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4,692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25,878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</w:rPr>
              <w:t>Crassostrea</w:t>
            </w: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gigas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8,728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30,181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18,847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</w:rPr>
              <w:t>Crassostrea</w:t>
            </w: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virginica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11,433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34,131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13,685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 w:val="21"/>
                <w:szCs w:val="21"/>
              </w:rPr>
              <w:t>Ruditapes philippinarum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4,545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2,446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sz w:val="21"/>
                <w:szCs w:val="21"/>
                <w:lang w:val="en-US" w:eastAsia="zh-CN"/>
              </w:rPr>
              <w:t>14,480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48C1"/>
    <w:rsid w:val="01D15C80"/>
    <w:rsid w:val="045A255F"/>
    <w:rsid w:val="11EC569C"/>
    <w:rsid w:val="1F3E000F"/>
    <w:rsid w:val="22D30EA3"/>
    <w:rsid w:val="2CC10188"/>
    <w:rsid w:val="361B2356"/>
    <w:rsid w:val="3C646E6C"/>
    <w:rsid w:val="3C720AA1"/>
    <w:rsid w:val="3D64228B"/>
    <w:rsid w:val="3E4C5A5A"/>
    <w:rsid w:val="46B345A8"/>
    <w:rsid w:val="47992639"/>
    <w:rsid w:val="50EC0170"/>
    <w:rsid w:val="55661CFD"/>
    <w:rsid w:val="574A64ED"/>
    <w:rsid w:val="577F4EB1"/>
    <w:rsid w:val="60422772"/>
    <w:rsid w:val="646C58FC"/>
    <w:rsid w:val="654F6DAC"/>
    <w:rsid w:val="70E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2020-06-18T01:30:00Z</dcterms:created>
  <dc:creator>黄雪</dc:creator>
  <cp:lastModifiedBy>百迈客—吴垒</cp:lastModifiedBy>
  <dcterms:modified xsi:type="dcterms:W3CDTF">2021-02-01T02:11:01Z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