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34" w:rsidRDefault="00924348" w:rsidP="00924348">
      <w:pPr>
        <w:spacing w:line="140" w:lineRule="atLeast"/>
        <w:divId w:val="394161236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 w:rsidRPr="00094423">
        <w:rPr>
          <w:rFonts w:ascii="Verdana" w:eastAsia="Times New Roman" w:hAnsi="Verdana"/>
          <w:b/>
          <w:bCs/>
          <w:sz w:val="28"/>
          <w:szCs w:val="28"/>
        </w:rPr>
        <w:t xml:space="preserve">GRADE Profile for comparison of </w:t>
      </w:r>
      <w:r>
        <w:rPr>
          <w:rFonts w:ascii="Verdana" w:eastAsia="Times New Roman" w:hAnsi="Verdana"/>
          <w:b/>
          <w:bCs/>
          <w:sz w:val="28"/>
          <w:szCs w:val="28"/>
        </w:rPr>
        <w:t>listening to Quran</w:t>
      </w:r>
      <w:r w:rsidRPr="00094423">
        <w:rPr>
          <w:rFonts w:ascii="Verdana" w:eastAsia="Times New Roman" w:hAnsi="Verdana"/>
          <w:b/>
          <w:bCs/>
          <w:sz w:val="28"/>
          <w:szCs w:val="28"/>
        </w:rPr>
        <w:t xml:space="preserve"> to </w:t>
      </w:r>
      <w:r>
        <w:rPr>
          <w:rFonts w:ascii="Verdana" w:eastAsia="Times New Roman" w:hAnsi="Verdana"/>
          <w:b/>
          <w:bCs/>
          <w:sz w:val="28"/>
          <w:szCs w:val="28"/>
        </w:rPr>
        <w:t>no intervention</w:t>
      </w:r>
    </w:p>
    <w:tbl>
      <w:tblPr>
        <w:tblW w:w="4759" w:type="pct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344"/>
        <w:gridCol w:w="928"/>
        <w:gridCol w:w="1470"/>
        <w:gridCol w:w="1344"/>
        <w:gridCol w:w="1320"/>
        <w:gridCol w:w="1507"/>
        <w:gridCol w:w="791"/>
        <w:gridCol w:w="908"/>
        <w:gridCol w:w="966"/>
        <w:gridCol w:w="1782"/>
        <w:gridCol w:w="1331"/>
      </w:tblGrid>
      <w:tr w:rsidR="00642D3F" w:rsidRPr="00EB6452" w:rsidTr="00F3212D">
        <w:trPr>
          <w:divId w:val="129246053"/>
          <w:cantSplit/>
          <w:trHeight w:val="401"/>
          <w:tblHeader/>
        </w:trPr>
        <w:tc>
          <w:tcPr>
            <w:tcW w:w="288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Certainty assessment</w:t>
            </w:r>
          </w:p>
        </w:tc>
        <w:tc>
          <w:tcPr>
            <w:tcW w:w="6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No of patients</w:t>
            </w:r>
          </w:p>
        </w:tc>
        <w:tc>
          <w:tcPr>
            <w:tcW w:w="10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Effect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42D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Certainty</w:t>
            </w:r>
          </w:p>
        </w:tc>
      </w:tr>
      <w:tr w:rsidR="00642D3F" w:rsidRPr="00EB6452" w:rsidTr="00F3212D">
        <w:trPr>
          <w:divId w:val="129246053"/>
          <w:cantSplit/>
          <w:trHeight w:val="900"/>
          <w:tblHeader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Participants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br/>
              <w:t>(studies)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Risk of bias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Inconsistency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Indirectness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Imprecision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Other considerations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Quran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controls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Relative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br/>
              <w:t>(95% CI)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>Absolute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br/>
              <w:t>(95% CI)</w:t>
            </w: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31347" w:rsidRPr="00EB6452" w:rsidRDefault="00C31347" w:rsidP="00EB64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EB6452" w:rsidRPr="00EB6452" w:rsidTr="00642D3F">
        <w:trPr>
          <w:divId w:val="129246053"/>
          <w:cantSplit/>
          <w:trHeight w:val="37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31347" w:rsidRPr="00EB6452" w:rsidRDefault="00C31347" w:rsidP="00642D3F">
            <w:pPr>
              <w:spacing w:after="0" w:line="240" w:lineRule="auto"/>
              <w:divId w:val="1841768682"/>
              <w:rPr>
                <w:rFonts w:asciiTheme="majorBidi" w:eastAsia="Times New Roman" w:hAnsiTheme="majorBidi" w:cstheme="majorBidi"/>
                <w:b/>
                <w:bCs/>
              </w:rPr>
            </w:pP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 xml:space="preserve">State anxiety 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(follow up: range </w:t>
            </w:r>
            <w:r w:rsid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0 week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to </w:t>
            </w:r>
            <w:r w:rsid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8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weeks; assessed with:</w:t>
            </w:r>
            <w:r w:rsid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="00642D3F"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Spielberger</w:t>
            </w:r>
            <w:proofErr w:type="spellEnd"/>
            <w:r w:rsidR="00642D3F"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State-Trait Anxiety Inventory (STAI)</w:t>
            </w:r>
            <w:r w:rsidR="00930188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.</w:t>
            </w:r>
          </w:p>
        </w:tc>
      </w:tr>
      <w:tr w:rsidR="00F3212D" w:rsidRPr="00EB6452" w:rsidTr="00F3212D">
        <w:trPr>
          <w:divId w:val="129246053"/>
          <w:cantSplit/>
          <w:trHeight w:val="745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293</w:t>
            </w:r>
          </w:p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(4 RCTs)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none 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147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146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"/>
                <w:rFonts w:asciiTheme="majorBidi" w:eastAsia="Times New Roman" w:hAnsiTheme="majorBidi" w:cstheme="majorBidi"/>
              </w:rPr>
              <w:t>-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536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 xml:space="preserve">MD </w:t>
            </w:r>
            <w:r w:rsidRPr="00EB6452">
              <w:rPr>
                <w:rStyle w:val="cell-value"/>
                <w:rFonts w:asciiTheme="majorBidi" w:eastAsia="Times New Roman" w:hAnsiTheme="majorBidi" w:cstheme="majorBidi"/>
                <w:b/>
                <w:bCs/>
              </w:rPr>
              <w:t>14.75 lower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(19.88 lower to 9.63 lower)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47" w:rsidRPr="00EB6452" w:rsidRDefault="00C31347" w:rsidP="00EB6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quality-sign"/>
                <w:rFonts w:ascii="Cambria Math" w:eastAsia="Times New Roman" w:hAnsi="Cambria Math" w:cs="Cambria Math"/>
              </w:rPr>
              <w:t>⨁◯◯◯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quality-text"/>
                <w:rFonts w:asciiTheme="majorBidi" w:eastAsia="Times New Roman" w:hAnsiTheme="majorBidi" w:cstheme="majorBidi"/>
              </w:rPr>
              <w:t>VERY LOW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642D3F" w:rsidRPr="00EB6452" w:rsidTr="00642D3F">
        <w:trPr>
          <w:divId w:val="129246053"/>
          <w:cantSplit/>
          <w:trHeight w:val="37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42D3F" w:rsidRPr="00EB6452" w:rsidRDefault="00642D3F" w:rsidP="00642D3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Trait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 xml:space="preserve"> anxiety 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(follow up: range 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0 week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to 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8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weeks; assessed with: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Spielberger</w:t>
            </w:r>
            <w:proofErr w:type="spellEnd"/>
            <w:r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State-Trait Anxiety Inventory (STAI)</w:t>
            </w:r>
            <w:r w:rsidR="00930188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.</w:t>
            </w:r>
          </w:p>
        </w:tc>
      </w:tr>
      <w:tr w:rsidR="00F3212D" w:rsidRPr="00EB6452" w:rsidTr="00F3212D">
        <w:trPr>
          <w:divId w:val="129246053"/>
          <w:cantSplit/>
          <w:trHeight w:val="511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745643023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293</w:t>
            </w:r>
          </w:p>
          <w:p w:rsidR="00642D3F" w:rsidRPr="00EB6452" w:rsidRDefault="00642D3F" w:rsidP="00642D3F">
            <w:pPr>
              <w:spacing w:after="0" w:line="240" w:lineRule="auto"/>
              <w:jc w:val="center"/>
              <w:divId w:val="1745643023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(4 RCTs)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130392956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740909678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b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76483721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588121558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107194416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none 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07038832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147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817185999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146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584682529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"/>
                <w:rFonts w:asciiTheme="majorBidi" w:eastAsia="Times New Roman" w:hAnsiTheme="majorBidi" w:cstheme="majorBidi"/>
              </w:rPr>
              <w:t>-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433549155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 xml:space="preserve">MD </w:t>
            </w:r>
            <w:r w:rsidRPr="00EB6452">
              <w:rPr>
                <w:rStyle w:val="cell-value"/>
                <w:rFonts w:asciiTheme="majorBidi" w:eastAsia="Times New Roman" w:hAnsiTheme="majorBidi" w:cstheme="majorBidi"/>
                <w:b/>
                <w:bCs/>
              </w:rPr>
              <w:t>12.38 lower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(16.64 lower to 8.11 lower)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026596388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quality-sign"/>
                <w:rFonts w:ascii="Cambria Math" w:eastAsia="Times New Roman" w:hAnsi="Cambria Math" w:cs="Cambria Math"/>
              </w:rPr>
              <w:t>⨁◯◯◯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quality-text"/>
                <w:rFonts w:asciiTheme="majorBidi" w:eastAsia="Times New Roman" w:hAnsiTheme="majorBidi" w:cstheme="majorBidi"/>
              </w:rPr>
              <w:t>VERY LOW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642D3F" w:rsidRPr="00EB6452" w:rsidTr="00536A29">
        <w:trPr>
          <w:divId w:val="129246053"/>
          <w:cantSplit/>
          <w:trHeight w:val="37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42D3F" w:rsidRPr="00EB6452" w:rsidRDefault="00536A29" w:rsidP="00536A29">
            <w:pPr>
              <w:spacing w:after="0" w:line="240" w:lineRule="auto"/>
              <w:rPr>
                <w:rStyle w:val="quality-sign"/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A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 xml:space="preserve">nxiety 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(follow up: range 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0 week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to 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4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weeks; assessed with: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Spielberger</w:t>
            </w:r>
            <w:proofErr w:type="spellEnd"/>
            <w:r w:rsidRPr="00642D3F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State-Trait Anxiety Inventory (STAI)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, </w:t>
            </w:r>
            <w:r w:rsidRPr="00536A29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Hamilton Anxiety Rating Scale (HARS)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, and </w:t>
            </w:r>
            <w:r w:rsidRPr="00536A29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Marten's competitive anxiety questionnaires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.</w:t>
            </w:r>
          </w:p>
        </w:tc>
      </w:tr>
      <w:tr w:rsidR="00F3212D" w:rsidRPr="00EB6452" w:rsidTr="00F3212D">
        <w:trPr>
          <w:divId w:val="129246053"/>
          <w:cantSplit/>
          <w:trHeight w:val="727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83776850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232</w:t>
            </w:r>
          </w:p>
          <w:p w:rsidR="00642D3F" w:rsidRPr="00EB6452" w:rsidRDefault="00642D3F" w:rsidP="00642D3F">
            <w:pPr>
              <w:spacing w:after="0" w:line="240" w:lineRule="auto"/>
              <w:jc w:val="center"/>
              <w:divId w:val="83776850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(4 RCTs)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313074544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80495737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696272994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154830586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651565627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none 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33727080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116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254631767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116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12449100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"/>
                <w:rFonts w:asciiTheme="majorBidi" w:eastAsia="Times New Roman" w:hAnsiTheme="majorBidi" w:cstheme="majorBidi"/>
              </w:rPr>
              <w:t>-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019892691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 xml:space="preserve">SMD </w:t>
            </w:r>
            <w:r w:rsidRPr="00EB6452">
              <w:rPr>
                <w:rStyle w:val="cell-value"/>
                <w:rFonts w:asciiTheme="majorBidi" w:eastAsia="Times New Roman" w:hAnsiTheme="majorBidi" w:cstheme="majorBidi"/>
                <w:b/>
                <w:bCs/>
              </w:rPr>
              <w:t>2.06 lower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(2.57 lower to 1.54 lower)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988705741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quality-sign"/>
                <w:rFonts w:ascii="Cambria Math" w:eastAsia="Times New Roman" w:hAnsi="Cambria Math" w:cs="Cambria Math"/>
              </w:rPr>
              <w:t>⨁⨁◯◯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quality-text"/>
                <w:rFonts w:asciiTheme="majorBidi" w:eastAsia="Times New Roman" w:hAnsiTheme="majorBidi" w:cstheme="majorBidi"/>
              </w:rPr>
              <w:t>LOW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642D3F" w:rsidRPr="00EB6452" w:rsidTr="00A42FE6">
        <w:trPr>
          <w:divId w:val="129246053"/>
          <w:cantSplit/>
          <w:trHeight w:val="37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42D3F" w:rsidRPr="00EB6452" w:rsidRDefault="00A42FE6" w:rsidP="009E1214">
            <w:pPr>
              <w:spacing w:after="0" w:line="240" w:lineRule="auto"/>
              <w:rPr>
                <w:rStyle w:val="quality-sign"/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Depression</w:t>
            </w:r>
            <w:r w:rsidRPr="00EB6452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(follow up: range 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4 week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to </w:t>
            </w:r>
            <w:r w:rsidR="009E1214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8</w:t>
            </w:r>
            <w:r w:rsidRPr="00EB6452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weeks; assessed with:</w:t>
            </w:r>
            <w:r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9E1214" w:rsidRPr="009E1214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Beck Depression Inventory-II (BDI-II)</w:t>
            </w:r>
            <w:r w:rsidR="009E1214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 xml:space="preserve"> and </w:t>
            </w:r>
            <w:r w:rsidR="009E1214" w:rsidRPr="009E1214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Edinburgh Postnatal Depression Scale</w:t>
            </w:r>
            <w:r w:rsidR="009E1214">
              <w:rPr>
                <w:rStyle w:val="label"/>
                <w:rFonts w:asciiTheme="majorBidi" w:eastAsia="Times New Roman" w:hAnsiTheme="majorBidi" w:cstheme="majorBidi"/>
                <w:b/>
                <w:bCs/>
              </w:rPr>
              <w:t>.</w:t>
            </w:r>
          </w:p>
        </w:tc>
      </w:tr>
      <w:tr w:rsidR="00F3212D" w:rsidRPr="00EB6452" w:rsidTr="00F3212D">
        <w:trPr>
          <w:divId w:val="129246053"/>
          <w:cantSplit/>
          <w:trHeight w:val="763"/>
        </w:trPr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008144119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167</w:t>
            </w:r>
          </w:p>
          <w:p w:rsidR="00642D3F" w:rsidRPr="00EB6452" w:rsidRDefault="00642D3F" w:rsidP="00642D3F">
            <w:pPr>
              <w:spacing w:after="0" w:line="240" w:lineRule="auto"/>
              <w:jc w:val="center"/>
              <w:divId w:val="1008144119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>(2 RCTs)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06314093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c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386419444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very 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d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10969326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not serious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1449258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serious </w:t>
            </w:r>
            <w:r w:rsidRPr="00EB6452">
              <w:rPr>
                <w:rFonts w:asciiTheme="majorBidi" w:eastAsia="Times New Roman" w:hAnsiTheme="majorBidi" w:cstheme="majorBidi"/>
                <w:vertAlign w:val="superscript"/>
              </w:rPr>
              <w:t>e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704479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none 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95173175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Fonts w:asciiTheme="majorBidi" w:eastAsia="Times New Roman" w:hAnsiTheme="majorBidi" w:cstheme="majorBidi"/>
              </w:rPr>
              <w:t xml:space="preserve">84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875732573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83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364212485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"/>
                <w:rFonts w:asciiTheme="majorBidi" w:eastAsia="Times New Roman" w:hAnsiTheme="majorBidi" w:cstheme="majorBidi"/>
              </w:rPr>
              <w:t>-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1127090370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 xml:space="preserve">SMD </w:t>
            </w:r>
            <w:r w:rsidRPr="00EB6452">
              <w:rPr>
                <w:rStyle w:val="cell-value"/>
                <w:rFonts w:asciiTheme="majorBidi" w:eastAsia="Times New Roman" w:hAnsiTheme="majorBidi" w:cstheme="majorBidi"/>
                <w:b/>
                <w:bCs/>
              </w:rPr>
              <w:t>3.77 lower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cell-value"/>
                <w:rFonts w:asciiTheme="majorBidi" w:eastAsia="Times New Roman" w:hAnsiTheme="majorBidi" w:cstheme="majorBidi"/>
              </w:rPr>
              <w:t>(6.68 lower to 0.87 lower)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D3F" w:rsidRPr="00EB6452" w:rsidRDefault="00642D3F" w:rsidP="00642D3F">
            <w:pPr>
              <w:spacing w:after="0" w:line="240" w:lineRule="auto"/>
              <w:jc w:val="center"/>
              <w:divId w:val="2020112598"/>
              <w:rPr>
                <w:rFonts w:asciiTheme="majorBidi" w:eastAsia="Times New Roman" w:hAnsiTheme="majorBidi" w:cstheme="majorBidi"/>
              </w:rPr>
            </w:pPr>
            <w:r w:rsidRPr="00EB6452">
              <w:rPr>
                <w:rStyle w:val="quality-sign"/>
                <w:rFonts w:ascii="Cambria Math" w:eastAsia="Times New Roman" w:hAnsi="Cambria Math" w:cs="Cambria Math"/>
              </w:rPr>
              <w:t>⨁◯◯◯</w:t>
            </w:r>
            <w:r w:rsidRPr="00EB6452">
              <w:rPr>
                <w:rFonts w:asciiTheme="majorBidi" w:eastAsia="Times New Roman" w:hAnsiTheme="majorBidi" w:cstheme="majorBidi"/>
              </w:rPr>
              <w:br/>
            </w:r>
            <w:r w:rsidRPr="00EB6452">
              <w:rPr>
                <w:rStyle w:val="quality-text"/>
                <w:rFonts w:asciiTheme="majorBidi" w:eastAsia="Times New Roman" w:hAnsiTheme="majorBidi" w:cstheme="majorBidi"/>
              </w:rPr>
              <w:t>VERY LOW</w:t>
            </w:r>
            <w:r w:rsidRPr="00EB6452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</w:tbl>
    <w:p w:rsidR="000A5D34" w:rsidRPr="00536A29" w:rsidRDefault="00B07CB2" w:rsidP="00536A29">
      <w:pPr>
        <w:pStyle w:val="NormalWeb"/>
        <w:spacing w:before="0" w:beforeAutospacing="0" w:line="140" w:lineRule="atLeast"/>
        <w:divId w:val="129246053"/>
        <w:rPr>
          <w:rFonts w:asciiTheme="majorBidi" w:hAnsiTheme="majorBidi" w:cstheme="majorBidi"/>
          <w:color w:val="000000"/>
          <w:sz w:val="20"/>
          <w:szCs w:val="20"/>
          <w:lang w:val="en"/>
        </w:rPr>
      </w:pPr>
      <w:r w:rsidRPr="00536A29">
        <w:rPr>
          <w:rFonts w:asciiTheme="majorBidi" w:hAnsiTheme="majorBidi" w:cstheme="majorBidi"/>
          <w:b/>
          <w:bCs/>
          <w:color w:val="000000"/>
          <w:sz w:val="20"/>
          <w:szCs w:val="20"/>
          <w:lang w:val="en"/>
        </w:rPr>
        <w:t>CI:</w:t>
      </w:r>
      <w:r w:rsidRPr="00536A29">
        <w:rPr>
          <w:rFonts w:asciiTheme="majorBidi" w:hAnsiTheme="majorBidi" w:cstheme="majorBidi"/>
          <w:color w:val="000000"/>
          <w:sz w:val="20"/>
          <w:szCs w:val="20"/>
          <w:lang w:val="en"/>
        </w:rPr>
        <w:t xml:space="preserve"> Confidence interval; </w:t>
      </w:r>
      <w:r w:rsidRPr="00536A29">
        <w:rPr>
          <w:rFonts w:asciiTheme="majorBidi" w:hAnsiTheme="majorBidi" w:cstheme="majorBidi"/>
          <w:b/>
          <w:bCs/>
          <w:color w:val="000000"/>
          <w:sz w:val="20"/>
          <w:szCs w:val="20"/>
          <w:lang w:val="en"/>
        </w:rPr>
        <w:t>MD:</w:t>
      </w:r>
      <w:r w:rsidRPr="00536A29">
        <w:rPr>
          <w:rFonts w:asciiTheme="majorBidi" w:hAnsiTheme="majorBidi" w:cstheme="majorBidi"/>
          <w:color w:val="000000"/>
          <w:sz w:val="20"/>
          <w:szCs w:val="20"/>
          <w:lang w:val="en"/>
        </w:rPr>
        <w:t xml:space="preserve"> Mean difference; </w:t>
      </w:r>
      <w:r w:rsidRPr="00536A29">
        <w:rPr>
          <w:rFonts w:asciiTheme="majorBidi" w:hAnsiTheme="majorBidi" w:cstheme="majorBidi"/>
          <w:b/>
          <w:bCs/>
          <w:color w:val="000000"/>
          <w:sz w:val="20"/>
          <w:szCs w:val="20"/>
          <w:lang w:val="en"/>
        </w:rPr>
        <w:t>SMD:</w:t>
      </w:r>
      <w:r w:rsidRPr="00536A29">
        <w:rPr>
          <w:rFonts w:asciiTheme="majorBidi" w:hAnsiTheme="majorBidi" w:cstheme="majorBidi"/>
          <w:color w:val="000000"/>
          <w:sz w:val="20"/>
          <w:szCs w:val="20"/>
          <w:lang w:val="en"/>
        </w:rPr>
        <w:t xml:space="preserve"> </w:t>
      </w:r>
      <w:proofErr w:type="spellStart"/>
      <w:r w:rsidRPr="00536A29">
        <w:rPr>
          <w:rFonts w:asciiTheme="majorBidi" w:hAnsiTheme="majorBidi" w:cstheme="majorBidi"/>
          <w:color w:val="000000"/>
          <w:sz w:val="20"/>
          <w:szCs w:val="20"/>
          <w:lang w:val="en"/>
        </w:rPr>
        <w:t>Standardised</w:t>
      </w:r>
      <w:proofErr w:type="spellEnd"/>
      <w:r w:rsidRPr="00536A29">
        <w:rPr>
          <w:rFonts w:asciiTheme="majorBidi" w:hAnsiTheme="majorBidi" w:cstheme="majorBidi"/>
          <w:color w:val="000000"/>
          <w:sz w:val="20"/>
          <w:szCs w:val="20"/>
          <w:lang w:val="en"/>
        </w:rPr>
        <w:t xml:space="preserve"> mean difference</w:t>
      </w:r>
    </w:p>
    <w:p w:rsidR="000A5D34" w:rsidRPr="00536A29" w:rsidRDefault="00B07CB2" w:rsidP="00AB4DA5">
      <w:pPr>
        <w:pStyle w:val="Heading4"/>
        <w:spacing w:after="0" w:afterAutospacing="0" w:line="140" w:lineRule="atLeast"/>
        <w:rPr>
          <w:rFonts w:asciiTheme="majorBidi" w:eastAsia="Times New Roman" w:hAnsiTheme="majorBidi" w:cstheme="majorBidi"/>
          <w:color w:val="000000"/>
          <w:sz w:val="36"/>
          <w:szCs w:val="36"/>
          <w:lang w:val="en"/>
        </w:rPr>
      </w:pPr>
      <w:r w:rsidRPr="00536A29">
        <w:rPr>
          <w:rFonts w:asciiTheme="majorBidi" w:eastAsia="Times New Roman" w:hAnsiTheme="majorBidi" w:cstheme="majorBidi"/>
          <w:color w:val="000000"/>
          <w:sz w:val="28"/>
          <w:szCs w:val="28"/>
          <w:lang w:val="en"/>
        </w:rPr>
        <w:t>Explanations</w:t>
      </w:r>
    </w:p>
    <w:p w:rsidR="000A5D34" w:rsidRPr="00536A29" w:rsidRDefault="00B07CB2">
      <w:pPr>
        <w:spacing w:line="140" w:lineRule="atLeast"/>
        <w:divId w:val="1512454019"/>
        <w:rPr>
          <w:rFonts w:asciiTheme="majorBidi" w:eastAsia="Times New Roman" w:hAnsiTheme="majorBidi" w:cstheme="majorBidi"/>
          <w:color w:val="000000"/>
          <w:lang w:val="en"/>
        </w:rPr>
      </w:pPr>
      <w:proofErr w:type="spellStart"/>
      <w:r w:rsidRPr="000559E7">
        <w:rPr>
          <w:rFonts w:asciiTheme="majorBidi" w:eastAsia="Times New Roman" w:hAnsiTheme="majorBidi" w:cstheme="majorBidi"/>
          <w:color w:val="000000"/>
          <w:vertAlign w:val="superscript"/>
          <w:lang w:val="en"/>
        </w:rPr>
        <w:t>a</w:t>
      </w:r>
      <w:r w:rsidRPr="00536A29">
        <w:rPr>
          <w:rFonts w:asciiTheme="majorBidi" w:eastAsia="Times New Roman" w:hAnsiTheme="majorBidi" w:cstheme="majorBidi"/>
          <w:color w:val="000000"/>
          <w:lang w:val="en"/>
        </w:rPr>
        <w:t>Evidence</w:t>
      </w:r>
      <w:proofErr w:type="spellEnd"/>
      <w:r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downgraded by 2 levels because the overall risk of bias for the 4 studies was judged as high mainly due to issues in </w:t>
      </w:r>
      <w:proofErr w:type="spellStart"/>
      <w:r w:rsidRPr="00536A29">
        <w:rPr>
          <w:rFonts w:asciiTheme="majorBidi" w:eastAsia="Times New Roman" w:hAnsiTheme="majorBidi" w:cstheme="majorBidi"/>
          <w:color w:val="000000"/>
          <w:lang w:val="en"/>
        </w:rPr>
        <w:t>randomisation</w:t>
      </w:r>
      <w:proofErr w:type="spellEnd"/>
      <w:r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process, deviations from intended interventions, and measurement of the outcome. </w:t>
      </w:r>
    </w:p>
    <w:p w:rsidR="000A5D34" w:rsidRPr="00536A29" w:rsidRDefault="000559E7">
      <w:pPr>
        <w:spacing w:line="140" w:lineRule="atLeast"/>
        <w:divId w:val="1023552027"/>
        <w:rPr>
          <w:rFonts w:asciiTheme="majorBidi" w:eastAsia="Times New Roman" w:hAnsiTheme="majorBidi" w:cstheme="majorBidi"/>
          <w:color w:val="000000"/>
          <w:lang w:val="en"/>
        </w:rPr>
      </w:pPr>
      <w:proofErr w:type="spellStart"/>
      <w:proofErr w:type="gramStart"/>
      <w:r w:rsidRPr="000559E7">
        <w:rPr>
          <w:rFonts w:asciiTheme="majorBidi" w:eastAsia="Times New Roman" w:hAnsiTheme="majorBidi" w:cstheme="majorBidi"/>
          <w:color w:val="000000"/>
          <w:vertAlign w:val="superscript"/>
          <w:lang w:val="en"/>
        </w:rPr>
        <w:t>b</w:t>
      </w:r>
      <w:r w:rsidR="00B07CB2" w:rsidRPr="00536A29">
        <w:rPr>
          <w:rFonts w:asciiTheme="majorBidi" w:eastAsia="Times New Roman" w:hAnsiTheme="majorBidi" w:cstheme="majorBidi"/>
          <w:color w:val="000000"/>
          <w:lang w:val="en"/>
        </w:rPr>
        <w:t>Evidence</w:t>
      </w:r>
      <w:proofErr w:type="spellEnd"/>
      <w:proofErr w:type="gramEnd"/>
      <w:r w:rsidR="00B07CB2"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downgraded by 2 levels as P&lt;0.05 and I square= 96%, indicating high heterogeneity. </w:t>
      </w:r>
    </w:p>
    <w:p w:rsidR="000A5D34" w:rsidRPr="00536A29" w:rsidRDefault="000559E7">
      <w:pPr>
        <w:spacing w:line="140" w:lineRule="atLeast"/>
        <w:divId w:val="1891577521"/>
        <w:rPr>
          <w:rFonts w:asciiTheme="majorBidi" w:eastAsia="Times New Roman" w:hAnsiTheme="majorBidi" w:cstheme="majorBidi"/>
          <w:color w:val="000000"/>
          <w:lang w:val="en"/>
        </w:rPr>
      </w:pPr>
      <w:proofErr w:type="spellStart"/>
      <w:r w:rsidRPr="000559E7">
        <w:rPr>
          <w:rFonts w:asciiTheme="majorBidi" w:eastAsia="Times New Roman" w:hAnsiTheme="majorBidi" w:cstheme="majorBidi"/>
          <w:color w:val="000000"/>
          <w:vertAlign w:val="superscript"/>
          <w:lang w:val="en"/>
        </w:rPr>
        <w:t>c</w:t>
      </w:r>
      <w:r w:rsidR="00B07CB2" w:rsidRPr="00536A29">
        <w:rPr>
          <w:rFonts w:asciiTheme="majorBidi" w:eastAsia="Times New Roman" w:hAnsiTheme="majorBidi" w:cstheme="majorBidi"/>
          <w:color w:val="000000"/>
          <w:lang w:val="en"/>
        </w:rPr>
        <w:t>Evidence</w:t>
      </w:r>
      <w:proofErr w:type="spellEnd"/>
      <w:r w:rsidR="00B07CB2"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downgraded by 2 levels because the overall risk of bias for the 2 studies was judged as high mainly due to issues in measurement of the outcome, missing outcome data, and deviations from intended interventions. </w:t>
      </w:r>
    </w:p>
    <w:p w:rsidR="000A5D34" w:rsidRPr="00536A29" w:rsidRDefault="00B07CB2" w:rsidP="000559E7">
      <w:pPr>
        <w:spacing w:line="140" w:lineRule="atLeast"/>
        <w:divId w:val="1309438168"/>
        <w:rPr>
          <w:rFonts w:asciiTheme="majorBidi" w:eastAsia="Times New Roman" w:hAnsiTheme="majorBidi" w:cstheme="majorBidi"/>
          <w:color w:val="000000"/>
          <w:lang w:val="en"/>
        </w:rPr>
      </w:pPr>
      <w:proofErr w:type="spellStart"/>
      <w:proofErr w:type="gramStart"/>
      <w:r w:rsidRPr="000559E7">
        <w:rPr>
          <w:rFonts w:asciiTheme="majorBidi" w:eastAsia="Times New Roman" w:hAnsiTheme="majorBidi" w:cstheme="majorBidi"/>
          <w:color w:val="000000"/>
          <w:vertAlign w:val="superscript"/>
          <w:lang w:val="en"/>
        </w:rPr>
        <w:t>d</w:t>
      </w:r>
      <w:r w:rsidRPr="00536A29">
        <w:rPr>
          <w:rFonts w:asciiTheme="majorBidi" w:eastAsia="Times New Roman" w:hAnsiTheme="majorBidi" w:cstheme="majorBidi"/>
          <w:color w:val="000000"/>
          <w:lang w:val="en"/>
        </w:rPr>
        <w:t>Evidence</w:t>
      </w:r>
      <w:proofErr w:type="spellEnd"/>
      <w:proofErr w:type="gramEnd"/>
      <w:r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downgrade</w:t>
      </w:r>
      <w:bookmarkStart w:id="0" w:name="_GoBack"/>
      <w:bookmarkEnd w:id="0"/>
      <w:r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d by 2 levels as P&lt;0.05 and I square= 97%, indicating high heterogeneity. </w:t>
      </w:r>
    </w:p>
    <w:p w:rsidR="00B07CB2" w:rsidRPr="00536A29" w:rsidRDefault="00B07CB2">
      <w:pPr>
        <w:spacing w:line="140" w:lineRule="atLeast"/>
        <w:divId w:val="773525681"/>
        <w:rPr>
          <w:rFonts w:asciiTheme="majorBidi" w:eastAsia="Times New Roman" w:hAnsiTheme="majorBidi" w:cstheme="majorBidi"/>
          <w:color w:val="000000"/>
          <w:lang w:val="en"/>
        </w:rPr>
      </w:pPr>
      <w:proofErr w:type="spellStart"/>
      <w:proofErr w:type="gramStart"/>
      <w:r w:rsidRPr="000559E7">
        <w:rPr>
          <w:rFonts w:asciiTheme="majorBidi" w:eastAsia="Times New Roman" w:hAnsiTheme="majorBidi" w:cstheme="majorBidi"/>
          <w:color w:val="000000"/>
          <w:vertAlign w:val="superscript"/>
          <w:lang w:val="en"/>
        </w:rPr>
        <w:t>e</w:t>
      </w:r>
      <w:r w:rsidRPr="00536A29">
        <w:rPr>
          <w:rFonts w:asciiTheme="majorBidi" w:eastAsia="Times New Roman" w:hAnsiTheme="majorBidi" w:cstheme="majorBidi"/>
          <w:color w:val="000000"/>
          <w:lang w:val="en"/>
        </w:rPr>
        <w:t>Evidence</w:t>
      </w:r>
      <w:proofErr w:type="spellEnd"/>
      <w:proofErr w:type="gramEnd"/>
      <w:r w:rsidRPr="00536A29">
        <w:rPr>
          <w:rFonts w:asciiTheme="majorBidi" w:eastAsia="Times New Roman" w:hAnsiTheme="majorBidi" w:cstheme="majorBidi"/>
          <w:color w:val="000000"/>
          <w:lang w:val="en"/>
        </w:rPr>
        <w:t xml:space="preserve"> downgraded by 1 level because 95% CI crosses one MIDs for this outcome. </w:t>
      </w:r>
    </w:p>
    <w:sectPr w:rsidR="00B07CB2" w:rsidRPr="00536A2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zI2tbA0NTY1tTRR0lEKTi0uzszPAykwqgUAwK9TOiwAAAA="/>
  </w:docVars>
  <w:rsids>
    <w:rsidRoot w:val="00536AD9"/>
    <w:rsid w:val="000559E7"/>
    <w:rsid w:val="000A5D34"/>
    <w:rsid w:val="00314376"/>
    <w:rsid w:val="00536A29"/>
    <w:rsid w:val="00536AD9"/>
    <w:rsid w:val="00642D3F"/>
    <w:rsid w:val="007834C4"/>
    <w:rsid w:val="00924348"/>
    <w:rsid w:val="00930188"/>
    <w:rsid w:val="009E1214"/>
    <w:rsid w:val="00A42FE6"/>
    <w:rsid w:val="00AB4DA5"/>
    <w:rsid w:val="00B07CB2"/>
    <w:rsid w:val="00C31347"/>
    <w:rsid w:val="00EB6452"/>
    <w:rsid w:val="00F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EE2F9-623F-470C-B79C-BCFAA461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Alaa Ali E. Abd-Alrazaq</dc:creator>
  <cp:lastModifiedBy>Dr. Alaa Ali E. Abd-Alrazaq</cp:lastModifiedBy>
  <cp:revision>3</cp:revision>
  <cp:lastPrinted>2020-01-23T11:17:00Z</cp:lastPrinted>
  <dcterms:created xsi:type="dcterms:W3CDTF">2019-11-09T09:37:00Z</dcterms:created>
  <dcterms:modified xsi:type="dcterms:W3CDTF">2020-01-23T11:19:00Z</dcterms:modified>
</cp:coreProperties>
</file>