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rPr>
          <w:rFonts w:hAnsi="Times New Roman" w:cs="Times New Roman"/>
          <w:b/>
          <w:bCs/>
          <w:sz w:val="24"/>
          <w:szCs w:val="24"/>
        </w:rPr>
      </w:pPr>
      <w:r>
        <w:rPr>
          <w:rFonts w:hint="eastAsia" w:hAnsi="Times New Roman" w:cs="Times New Roman"/>
          <w:b/>
          <w:bCs/>
          <w:sz w:val="24"/>
          <w:szCs w:val="24"/>
        </w:rPr>
        <w:t xml:space="preserve">Supplemental information </w:t>
      </w:r>
    </w:p>
    <w:p>
      <w:pPr>
        <w:spacing w:line="480" w:lineRule="auto"/>
        <w:rPr>
          <w:rFonts w:hint="default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Ansi="Times New Roman" w:cs="Times New Roman"/>
          <w:b/>
          <w:bCs/>
          <w:sz w:val="24"/>
          <w:szCs w:val="24"/>
        </w:rPr>
        <w:t xml:space="preserve">Figure </w:t>
      </w:r>
      <w:r>
        <w:rPr>
          <w:rFonts w:hint="eastAsia" w:hAnsi="Times New Roman" w:cs="Times New Roman"/>
          <w:b/>
          <w:bCs/>
          <w:sz w:val="24"/>
          <w:szCs w:val="24"/>
        </w:rPr>
        <w:t>S1</w:t>
      </w:r>
      <w:r>
        <w:rPr>
          <w:rFonts w:hAnsi="Times New Roman" w:cs="Times New Roman"/>
          <w:b/>
          <w:bCs/>
          <w:sz w:val="24"/>
          <w:szCs w:val="24"/>
        </w:rPr>
        <w:t xml:space="preserve"> |</w:t>
      </w:r>
      <w:r>
        <w:rPr>
          <w:rFonts w:hint="eastAsia" w:hAnsi="Times New Roman" w:cs="Times New Roman"/>
          <w:b/>
          <w:bCs/>
          <w:sz w:val="24"/>
          <w:szCs w:val="24"/>
        </w:rPr>
        <w:t xml:space="preserve">The developmental sequence of </w:t>
      </w:r>
      <w:r>
        <w:rPr>
          <w:rFonts w:hAnsi="Times New Roman" w:cs="Times New Roman"/>
          <w:b/>
          <w:bCs/>
          <w:i/>
          <w:iCs/>
          <w:sz w:val="24"/>
          <w:szCs w:val="24"/>
        </w:rPr>
        <w:t xml:space="preserve">Jinia rosettea </w:t>
      </w:r>
      <w:r>
        <w:rPr>
          <w:rFonts w:hAnsi="Times New Roman" w:cs="Times New Roman"/>
          <w:b/>
          <w:bCs/>
          <w:sz w:val="24"/>
          <w:szCs w:val="24"/>
        </w:rPr>
        <w:t xml:space="preserve">gen. et sp. nov. </w:t>
      </w:r>
      <w:r>
        <w:rPr>
          <w:rFonts w:hint="eastAsia" w:hAnsi="Times New Roman" w:cs="Times New Roman"/>
          <w:b/>
          <w:bCs/>
          <w:sz w:val="24"/>
          <w:szCs w:val="24"/>
        </w:rPr>
        <w:t>A,</w:t>
      </w:r>
      <w:r>
        <w:rPr>
          <w:rFonts w:hint="eastAsia" w:hAnsi="Times New Roman" w:cs="Times New Roman"/>
          <w:sz w:val="24"/>
          <w:szCs w:val="24"/>
        </w:rPr>
        <w:t xml:space="preserve"> GRCP 14002, the </w:t>
      </w:r>
      <w:r>
        <w:rPr>
          <w:rFonts w:hAnsi="Times New Roman" w:cs="Times New Roman"/>
          <w:i/>
          <w:iCs/>
          <w:sz w:val="24"/>
          <w:szCs w:val="24"/>
        </w:rPr>
        <w:t>Jinia rosettea</w:t>
      </w:r>
      <w:r>
        <w:rPr>
          <w:rFonts w:hint="eastAsia" w:hAnsi="Times New Roman" w:cs="Times New Roman"/>
          <w:i/>
          <w:iCs/>
          <w:sz w:val="24"/>
          <w:szCs w:val="24"/>
        </w:rPr>
        <w:t xml:space="preserve"> </w:t>
      </w:r>
      <w:r>
        <w:rPr>
          <w:rFonts w:hAnsi="Times New Roman" w:cs="Times New Roman"/>
          <w:sz w:val="24"/>
          <w:szCs w:val="24"/>
        </w:rPr>
        <w:t>at early developmental stage</w:t>
      </w:r>
      <w:r>
        <w:rPr>
          <w:rFonts w:hint="eastAsia" w:hAnsi="Times New Roman" w:cs="Times New Roman"/>
          <w:i/>
          <w:iCs/>
          <w:sz w:val="24"/>
          <w:szCs w:val="24"/>
        </w:rPr>
        <w:t>.</w:t>
      </w:r>
      <w:r>
        <w:rPr>
          <w:rFonts w:hint="eastAsia" w:hAnsi="Times New Roman" w:cs="Times New Roman"/>
          <w:b/>
          <w:bCs/>
          <w:sz w:val="24"/>
          <w:szCs w:val="24"/>
        </w:rPr>
        <w:t xml:space="preserve"> B, </w:t>
      </w:r>
      <w:r>
        <w:rPr>
          <w:rFonts w:hint="eastAsia" w:hAnsi="Times New Roman" w:cs="Times New Roman"/>
          <w:sz w:val="24"/>
          <w:szCs w:val="24"/>
        </w:rPr>
        <w:t xml:space="preserve">GRCP 14003a, the </w:t>
      </w:r>
      <w:r>
        <w:rPr>
          <w:rFonts w:hAnsi="Times New Roman" w:cs="Times New Roman"/>
          <w:i/>
          <w:iCs/>
          <w:sz w:val="24"/>
          <w:szCs w:val="24"/>
        </w:rPr>
        <w:t>J</w:t>
      </w:r>
      <w:r>
        <w:rPr>
          <w:rFonts w:hint="eastAsia" w:hAnsi="Times New Roman" w:cs="Times New Roman"/>
          <w:i/>
          <w:iCs/>
          <w:sz w:val="24"/>
          <w:szCs w:val="24"/>
        </w:rPr>
        <w:t>.</w:t>
      </w:r>
      <w:r>
        <w:rPr>
          <w:rFonts w:hAnsi="Times New Roman" w:cs="Times New Roman"/>
          <w:i/>
          <w:iCs/>
          <w:sz w:val="24"/>
          <w:szCs w:val="24"/>
        </w:rPr>
        <w:t xml:space="preserve"> rosettea</w:t>
      </w:r>
      <w:r>
        <w:rPr>
          <w:rFonts w:hint="eastAsia" w:hAnsi="Times New Roman" w:cs="Times New Roman"/>
          <w:i/>
          <w:iCs/>
          <w:sz w:val="24"/>
          <w:szCs w:val="24"/>
        </w:rPr>
        <w:t xml:space="preserve"> </w:t>
      </w:r>
      <w:r>
        <w:rPr>
          <w:rFonts w:hint="eastAsia" w:hAnsi="Times New Roman" w:cs="Times New Roman"/>
          <w:sz w:val="24"/>
          <w:szCs w:val="24"/>
        </w:rPr>
        <w:t>at later developmental stages</w:t>
      </w:r>
      <w:r>
        <w:rPr>
          <w:rFonts w:hint="eastAsia" w:hAnsi="Times New Roman" w:cs="Times New Roman"/>
          <w:i/>
          <w:iCs/>
          <w:sz w:val="24"/>
          <w:szCs w:val="24"/>
        </w:rPr>
        <w:t xml:space="preserve">. </w:t>
      </w:r>
      <w:r>
        <w:rPr>
          <w:rFonts w:hint="eastAsia" w:hAnsi="Times New Roman" w:cs="Times New Roman"/>
          <w:b/>
          <w:bCs/>
          <w:sz w:val="24"/>
          <w:szCs w:val="24"/>
        </w:rPr>
        <w:t xml:space="preserve">C, </w:t>
      </w:r>
      <w:r>
        <w:rPr>
          <w:rFonts w:hint="eastAsia" w:hAnsi="Times New Roman" w:cs="Times New Roman"/>
          <w:sz w:val="24"/>
          <w:szCs w:val="24"/>
        </w:rPr>
        <w:t xml:space="preserve">GRCP 14003b, SEM images show the thickness of the cuticle. </w:t>
      </w:r>
      <w:r>
        <w:rPr>
          <w:rFonts w:hint="eastAsia" w:hAnsi="Times New Roman" w:cs="Times New Roman"/>
          <w:b/>
          <w:bCs/>
          <w:sz w:val="24"/>
          <w:szCs w:val="24"/>
        </w:rPr>
        <w:t xml:space="preserve">D, </w:t>
      </w:r>
      <w:r>
        <w:rPr>
          <w:rFonts w:hint="eastAsia" w:hAnsi="Times New Roman" w:cs="Times New Roman"/>
          <w:sz w:val="24"/>
          <w:szCs w:val="24"/>
        </w:rPr>
        <w:t xml:space="preserve">zoom in of the plate of E. </w:t>
      </w:r>
      <w:r>
        <w:rPr>
          <w:rFonts w:hint="eastAsia" w:hAnsi="Times New Roman" w:cs="Times New Roman"/>
          <w:b/>
          <w:bCs/>
          <w:sz w:val="24"/>
          <w:szCs w:val="24"/>
        </w:rPr>
        <w:t>E,</w:t>
      </w:r>
      <w:r>
        <w:rPr>
          <w:rFonts w:hint="eastAsia" w:hAnsi="Times New Roman" w:cs="Times New Roman"/>
          <w:sz w:val="24"/>
          <w:szCs w:val="24"/>
        </w:rPr>
        <w:t xml:space="preserve"> the morphology of the rings of GRCP 14001.</w:t>
      </w:r>
      <w:r>
        <w:rPr>
          <w:rFonts w:hint="eastAsia" w:hAnsi="Times New Roman" w:cs="Times New Roman"/>
          <w:b/>
          <w:bCs/>
          <w:sz w:val="24"/>
          <w:szCs w:val="24"/>
        </w:rPr>
        <w:t xml:space="preserve"> F, </w:t>
      </w:r>
      <w:r>
        <w:rPr>
          <w:rFonts w:hint="eastAsia" w:hAnsi="Times New Roman" w:cs="Times New Roman"/>
          <w:sz w:val="24"/>
          <w:szCs w:val="24"/>
        </w:rPr>
        <w:t>the morphology of the rings of GRCP 14003b.</w:t>
      </w:r>
      <w:r>
        <w:rPr>
          <w:rFonts w:hint="eastAsia" w:hAnsi="Times New Roman" w:cs="Times New Roman"/>
          <w:b/>
          <w:bCs/>
          <w:sz w:val="24"/>
          <w:szCs w:val="24"/>
        </w:rPr>
        <w:t xml:space="preserve"> G, </w:t>
      </w:r>
      <w:r>
        <w:rPr>
          <w:rFonts w:hint="eastAsia" w:hAnsi="Times New Roman" w:cs="Times New Roman"/>
          <w:sz w:val="24"/>
          <w:szCs w:val="24"/>
        </w:rPr>
        <w:t>the morphology of the rings of the developed specimen GRCP 14004. Scale bars：A-C 1 mm；D 10</w:t>
      </w:r>
      <w:r>
        <w:rPr>
          <w:rFonts w:hAnsi="Times New Roman" w:cs="Times New Roman"/>
          <w:sz w:val="24"/>
          <w:szCs w:val="24"/>
        </w:rPr>
        <w:t xml:space="preserve"> </w:t>
      </w:r>
      <w:r>
        <w:rPr>
          <w:rFonts w:hAnsi="Times New Roman" w:eastAsia="宋体" w:cs="Times New Roman"/>
          <w:sz w:val="24"/>
          <w:szCs w:val="24"/>
        </w:rPr>
        <w:t>μm</w:t>
      </w:r>
      <w:r>
        <w:rPr>
          <w:rFonts w:hint="eastAsia" w:hAnsi="Times New Roman" w:eastAsia="宋体" w:cs="Times New Roman"/>
          <w:sz w:val="24"/>
          <w:szCs w:val="24"/>
        </w:rPr>
        <w:t xml:space="preserve">; E-G 200 </w:t>
      </w:r>
      <w:r>
        <w:rPr>
          <w:rFonts w:hAnsi="Times New Roman" w:eastAsia="宋体" w:cs="Times New Roman"/>
          <w:sz w:val="24"/>
          <w:szCs w:val="24"/>
        </w:rPr>
        <w:t>μm</w:t>
      </w:r>
      <w:r>
        <w:rPr>
          <w:rFonts w:hint="eastAsia" w:hAnsi="Times New Roman" w:eastAsia="宋体" w:cs="Times New Roman"/>
          <w:sz w:val="24"/>
          <w:szCs w:val="24"/>
        </w:rPr>
        <w:t>.</w:t>
      </w:r>
      <w:r>
        <w:rPr>
          <w:rFonts w:hint="eastAsia" w:hAnsi="Times New Roman" w:eastAsia="宋体" w:cs="Times New Roman"/>
          <w:sz w:val="24"/>
          <w:szCs w:val="24"/>
          <w:lang w:val="en-US" w:eastAsia="zh-CN"/>
        </w:rPr>
        <w:t xml:space="preserve"> </w:t>
      </w:r>
      <w:bookmarkStart w:id="0" w:name="_GoBack"/>
      <w:bookmarkEnd w:id="0"/>
      <w:r>
        <w:rPr>
          <w:rFonts w:hint="eastAsia" w:hAnsi="Times New Roman" w:cs="Times New Roman"/>
          <w:sz w:val="24"/>
          <w:szCs w:val="24"/>
          <w:lang w:val="en-US" w:eastAsia="zh-CN"/>
        </w:rPr>
        <w:t>Abbreviation: bc: boundary cell; p: plate; po: polygon; pt: platelet.</w:t>
      </w:r>
    </w:p>
    <w:p>
      <w:pPr>
        <w:spacing w:line="480" w:lineRule="auto"/>
        <w:rPr>
          <w:rFonts w:hAnsi="Times New Roman" w:eastAsia="宋体" w:cs="Times New Roman"/>
          <w:sz w:val="24"/>
          <w:szCs w:val="24"/>
        </w:rPr>
      </w:pPr>
    </w:p>
    <w:p>
      <w:pPr>
        <w:spacing w:line="480" w:lineRule="auto"/>
        <w:rPr>
          <w:rFonts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>
      <w:pPr>
        <w:spacing w:line="480" w:lineRule="auto"/>
        <w:jc w:val="center"/>
        <w:rPr>
          <w:rFonts w:hAnsi="Arial" w:eastAsia="宋体" w:cs="Arial"/>
          <w:b/>
          <w:bCs/>
          <w:color w:val="333333"/>
          <w:sz w:val="24"/>
          <w:szCs w:val="24"/>
        </w:rPr>
      </w:pPr>
      <w:r>
        <w:rPr>
          <w:rFonts w:hint="eastAsia" w:hAnsi="Times New Roman" w:cs="Times New Roman"/>
          <w:b/>
          <w:bCs/>
          <w:sz w:val="24"/>
          <w:szCs w:val="24"/>
        </w:rPr>
        <w:drawing>
          <wp:inline distT="0" distB="0" distL="114300" distR="114300">
            <wp:extent cx="5270500" cy="5270500"/>
            <wp:effectExtent l="0" t="0" r="6350" b="6350"/>
            <wp:docPr id="1" name="图片 1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hAnsi="Times New Roman" w:cs="Times New Roman"/>
          <w:b/>
          <w:bCs/>
          <w:sz w:val="24"/>
          <w:szCs w:val="24"/>
        </w:rPr>
        <w:t xml:space="preserve">Figure S1 </w:t>
      </w:r>
      <w:r>
        <w:rPr>
          <w:rFonts w:hint="eastAsia" w:hAnsi="Arial" w:eastAsia="宋体" w:cs="Arial"/>
          <w:b/>
          <w:bCs/>
          <w:color w:val="333333"/>
          <w:sz w:val="24"/>
          <w:szCs w:val="24"/>
        </w:rPr>
        <w:t>r</w:t>
      </w:r>
      <w:r>
        <w:rPr>
          <w:rFonts w:hAnsi="Arial" w:eastAsia="宋体" w:cs="Arial"/>
          <w:b/>
          <w:bCs/>
          <w:color w:val="333333"/>
          <w:sz w:val="24"/>
          <w:szCs w:val="24"/>
        </w:rPr>
        <w:t>elated to Figure</w:t>
      </w:r>
      <w:r>
        <w:rPr>
          <w:rFonts w:hint="eastAsia" w:hAnsi="Arial" w:eastAsia="宋体" w:cs="Arial"/>
          <w:b/>
          <w:bCs/>
          <w:color w:val="333333"/>
          <w:sz w:val="24"/>
          <w:szCs w:val="24"/>
        </w:rPr>
        <w:t xml:space="preserve"> 1</w:t>
      </w:r>
    </w:p>
    <w:p/>
    <w:sectPr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F6F03B6"/>
    <w:rsid w:val="4C7F3DC1"/>
    <w:rsid w:val="4E86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2020-07-08T16:32:02Z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