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9F" w:rsidRPr="000B249F" w:rsidRDefault="000B249F" w:rsidP="000B7AD8">
      <w:pPr>
        <w:spacing w:line="360" w:lineRule="auto"/>
        <w:jc w:val="both"/>
        <w:rPr>
          <w:rFonts w:cs="Times New Roman"/>
          <w:b/>
          <w:sz w:val="24"/>
          <w:szCs w:val="24"/>
        </w:rPr>
      </w:pPr>
      <w:r w:rsidRPr="000B249F">
        <w:rPr>
          <w:rFonts w:cs="Times New Roman"/>
          <w:b/>
          <w:sz w:val="24"/>
          <w:szCs w:val="24"/>
        </w:rPr>
        <w:t>Materials and Methods</w:t>
      </w:r>
    </w:p>
    <w:p w:rsidR="000B7AD8" w:rsidRPr="00494C33" w:rsidRDefault="000B7AD8" w:rsidP="000B7AD8">
      <w:pPr>
        <w:spacing w:line="360" w:lineRule="auto"/>
        <w:jc w:val="both"/>
        <w:rPr>
          <w:rFonts w:cs="Times New Roman"/>
          <w:b/>
          <w:sz w:val="24"/>
          <w:szCs w:val="24"/>
        </w:rPr>
      </w:pPr>
      <w:r w:rsidRPr="00494C33">
        <w:rPr>
          <w:rFonts w:cs="Times New Roman"/>
          <w:b/>
          <w:i/>
          <w:sz w:val="24"/>
          <w:szCs w:val="24"/>
        </w:rPr>
        <w:t>In vivo</w:t>
      </w:r>
      <w:r w:rsidRPr="00494C33">
        <w:rPr>
          <w:rFonts w:cs="Times New Roman"/>
          <w:b/>
          <w:sz w:val="24"/>
          <w:szCs w:val="24"/>
        </w:rPr>
        <w:t xml:space="preserve"> knockdown of SAA</w:t>
      </w:r>
      <w:r w:rsidR="00EE132B">
        <w:rPr>
          <w:rFonts w:cs="Times New Roman"/>
          <w:b/>
          <w:sz w:val="24"/>
          <w:szCs w:val="24"/>
        </w:rPr>
        <w:t>1 using RNAi technology</w:t>
      </w:r>
    </w:p>
    <w:p w:rsidR="000B7AD8" w:rsidRDefault="000B7AD8" w:rsidP="000B7AD8">
      <w:pPr>
        <w:spacing w:line="360" w:lineRule="auto"/>
        <w:jc w:val="both"/>
        <w:rPr>
          <w:rFonts w:cs="Times New Roman"/>
          <w:sz w:val="24"/>
          <w:szCs w:val="24"/>
        </w:rPr>
      </w:pPr>
      <w:r w:rsidRPr="00494C33">
        <w:rPr>
          <w:rFonts w:cs="Times New Roman"/>
          <w:sz w:val="24"/>
          <w:szCs w:val="24"/>
        </w:rPr>
        <w:t xml:space="preserve">For </w:t>
      </w:r>
      <w:r w:rsidRPr="00494C33">
        <w:rPr>
          <w:rFonts w:cs="Times New Roman"/>
          <w:i/>
          <w:sz w:val="24"/>
          <w:szCs w:val="24"/>
        </w:rPr>
        <w:t>in vivo</w:t>
      </w:r>
      <w:r w:rsidRPr="00494C33">
        <w:rPr>
          <w:rFonts w:cs="Times New Roman"/>
          <w:sz w:val="24"/>
          <w:szCs w:val="24"/>
        </w:rPr>
        <w:t xml:space="preserve"> knockdown of SAA</w:t>
      </w:r>
      <w:r>
        <w:rPr>
          <w:rFonts w:cs="Times New Roman"/>
          <w:sz w:val="24"/>
          <w:szCs w:val="24"/>
        </w:rPr>
        <w:t>1</w:t>
      </w:r>
      <w:r w:rsidRPr="00494C33">
        <w:rPr>
          <w:rFonts w:cs="Times New Roman"/>
          <w:sz w:val="24"/>
          <w:szCs w:val="24"/>
        </w:rPr>
        <w:t xml:space="preserve">, invivofectamine3.0-siRNA complex was prepared and injected in to C57BL/6 mice according to the manufacturer instruction (Life science technology). </w:t>
      </w:r>
    </w:p>
    <w:p w:rsidR="000B7AD8" w:rsidRPr="00494C33" w:rsidRDefault="000B7AD8" w:rsidP="000B7AD8">
      <w:pPr>
        <w:spacing w:line="360" w:lineRule="auto"/>
        <w:jc w:val="both"/>
        <w:rPr>
          <w:rFonts w:cs="Times New Roman"/>
          <w:sz w:val="24"/>
          <w:szCs w:val="24"/>
        </w:rPr>
      </w:pPr>
      <w:r w:rsidRPr="00494C33">
        <w:rPr>
          <w:rFonts w:cs="Times New Roman"/>
          <w:sz w:val="24"/>
          <w:szCs w:val="24"/>
        </w:rPr>
        <w:t xml:space="preserve">siRNA sequences </w:t>
      </w:r>
    </w:p>
    <w:p w:rsidR="000B7AD8" w:rsidRDefault="000B7AD8" w:rsidP="000B7AD8">
      <w:pPr>
        <w:spacing w:after="0" w:line="240" w:lineRule="auto"/>
        <w:jc w:val="both"/>
        <w:rPr>
          <w:rFonts w:cs="Times New Roman"/>
          <w:sz w:val="24"/>
          <w:szCs w:val="24"/>
        </w:rPr>
      </w:pPr>
      <w:r>
        <w:rPr>
          <w:rFonts w:cs="Times New Roman"/>
          <w:sz w:val="24"/>
          <w:szCs w:val="24"/>
        </w:rPr>
        <w:t>SAA1-1: 5’CAACUAUGAUGCUGCUCAA3’</w:t>
      </w:r>
    </w:p>
    <w:p w:rsidR="000B7AD8" w:rsidRDefault="000B7AD8" w:rsidP="000B7AD8">
      <w:pPr>
        <w:spacing w:after="0" w:line="240" w:lineRule="auto"/>
        <w:jc w:val="both"/>
        <w:rPr>
          <w:rFonts w:cs="Times New Roman"/>
          <w:sz w:val="24"/>
          <w:szCs w:val="24"/>
        </w:rPr>
      </w:pPr>
      <w:r>
        <w:rPr>
          <w:rFonts w:cs="Times New Roman"/>
          <w:sz w:val="24"/>
          <w:szCs w:val="24"/>
        </w:rPr>
        <w:t>SAA1-2: 5’GUCCUCCUAUUAGCUCAGU3’</w:t>
      </w:r>
    </w:p>
    <w:p w:rsidR="000B7AD8" w:rsidRDefault="000B7AD8" w:rsidP="000B7AD8">
      <w:pPr>
        <w:spacing w:after="0" w:line="240" w:lineRule="auto"/>
        <w:jc w:val="both"/>
        <w:rPr>
          <w:rFonts w:cs="Times New Roman"/>
          <w:sz w:val="24"/>
          <w:szCs w:val="24"/>
        </w:rPr>
      </w:pPr>
      <w:r>
        <w:rPr>
          <w:rFonts w:cs="Times New Roman"/>
          <w:sz w:val="24"/>
          <w:szCs w:val="24"/>
        </w:rPr>
        <w:t>SAA1-3: 5’GAGGAGAGGGUAAUAAACA3’</w:t>
      </w:r>
    </w:p>
    <w:p w:rsidR="00803956" w:rsidRPr="00494C33" w:rsidRDefault="00803956" w:rsidP="00803956">
      <w:pPr>
        <w:spacing w:before="100" w:beforeAutospacing="1" w:after="100" w:afterAutospacing="1" w:line="360" w:lineRule="auto"/>
        <w:jc w:val="both"/>
        <w:rPr>
          <w:rFonts w:cs="Times New Roman"/>
          <w:sz w:val="24"/>
          <w:szCs w:val="24"/>
        </w:rPr>
      </w:pPr>
      <w:r w:rsidRPr="00494C33">
        <w:rPr>
          <w:rFonts w:cs="Times New Roman"/>
          <w:sz w:val="24"/>
          <w:szCs w:val="24"/>
        </w:rPr>
        <w:t>Briefly, equal amount of 250 μl of siRNA</w:t>
      </w:r>
      <w:r>
        <w:rPr>
          <w:rFonts w:cs="Times New Roman"/>
          <w:sz w:val="24"/>
          <w:szCs w:val="24"/>
        </w:rPr>
        <w:t xml:space="preserve"> targeting SAA1 </w:t>
      </w:r>
      <w:r w:rsidRPr="00494C33">
        <w:rPr>
          <w:rFonts w:cs="Times New Roman"/>
          <w:sz w:val="24"/>
          <w:szCs w:val="24"/>
        </w:rPr>
        <w:t xml:space="preserve">(3 mg/ml) and complexation buffer was mixed by vortexing to form </w:t>
      </w:r>
      <w:r>
        <w:rPr>
          <w:rFonts w:cs="Times New Roman"/>
          <w:sz w:val="24"/>
          <w:szCs w:val="24"/>
        </w:rPr>
        <w:t xml:space="preserve">invivofectamine3.0-SAAsiRNA </w:t>
      </w:r>
      <w:r w:rsidRPr="00494C33">
        <w:rPr>
          <w:rFonts w:cs="Times New Roman"/>
          <w:sz w:val="24"/>
          <w:szCs w:val="24"/>
        </w:rPr>
        <w:t>complex. The invivofectamine3.0-</w:t>
      </w:r>
      <w:r>
        <w:rPr>
          <w:rFonts w:cs="Times New Roman"/>
          <w:sz w:val="24"/>
          <w:szCs w:val="24"/>
        </w:rPr>
        <w:t>SAA</w:t>
      </w:r>
      <w:r w:rsidRPr="00494C33">
        <w:rPr>
          <w:rFonts w:cs="Times New Roman"/>
          <w:sz w:val="24"/>
          <w:szCs w:val="24"/>
        </w:rPr>
        <w:t xml:space="preserve">siRNA complex incubated at 50 </w:t>
      </w:r>
      <w:r w:rsidRPr="00494C33">
        <w:rPr>
          <w:rFonts w:cs="Times New Roman"/>
          <w:sz w:val="24"/>
          <w:szCs w:val="24"/>
          <w:vertAlign w:val="superscript"/>
        </w:rPr>
        <w:t>0</w:t>
      </w:r>
      <w:r w:rsidRPr="00494C33">
        <w:rPr>
          <w:rFonts w:cs="Times New Roman"/>
          <w:sz w:val="24"/>
          <w:szCs w:val="24"/>
        </w:rPr>
        <w:t xml:space="preserve">C for about 30 min. The complex centrifuged for 1hr at 3,000 x g (LABOGENE) and adjusted to 0.5 ml to make the final concentration 1.4mg/ml. Finally the mice injected </w:t>
      </w:r>
      <w:r>
        <w:rPr>
          <w:rFonts w:cs="Times New Roman"/>
          <w:sz w:val="24"/>
          <w:szCs w:val="24"/>
        </w:rPr>
        <w:t>buffer</w:t>
      </w:r>
      <w:r w:rsidRPr="00494C33">
        <w:rPr>
          <w:rFonts w:cs="Times New Roman"/>
          <w:sz w:val="24"/>
          <w:szCs w:val="24"/>
        </w:rPr>
        <w:t xml:space="preserve"> </w:t>
      </w:r>
      <w:r>
        <w:rPr>
          <w:rFonts w:cs="Times New Roman"/>
          <w:sz w:val="24"/>
          <w:szCs w:val="24"/>
        </w:rPr>
        <w:t>(</w:t>
      </w:r>
      <w:r w:rsidRPr="00494C33">
        <w:rPr>
          <w:rFonts w:cs="Times New Roman"/>
          <w:sz w:val="24"/>
          <w:szCs w:val="24"/>
        </w:rPr>
        <w:t>control</w:t>
      </w:r>
      <w:r>
        <w:rPr>
          <w:rFonts w:cs="Times New Roman"/>
          <w:sz w:val="24"/>
          <w:szCs w:val="24"/>
        </w:rPr>
        <w:t>), NC siRNA (non-specific siRNA) or SAA1-</w:t>
      </w:r>
      <w:r w:rsidRPr="00494C33">
        <w:rPr>
          <w:rFonts w:cs="Times New Roman"/>
          <w:sz w:val="24"/>
          <w:szCs w:val="24"/>
        </w:rPr>
        <w:t xml:space="preserve">siRNA </w:t>
      </w:r>
      <w:r>
        <w:rPr>
          <w:rFonts w:cs="Times New Roman"/>
          <w:sz w:val="24"/>
          <w:szCs w:val="24"/>
        </w:rPr>
        <w:t>complex</w:t>
      </w:r>
      <w:r w:rsidRPr="00494C33">
        <w:rPr>
          <w:rFonts w:cs="Times New Roman"/>
          <w:sz w:val="24"/>
          <w:szCs w:val="24"/>
        </w:rPr>
        <w:t xml:space="preserve"> </w:t>
      </w:r>
      <w:r>
        <w:rPr>
          <w:rFonts w:cs="Times New Roman"/>
          <w:sz w:val="24"/>
          <w:szCs w:val="24"/>
        </w:rPr>
        <w:t xml:space="preserve">(targeting SAA1) </w:t>
      </w:r>
      <w:r w:rsidRPr="00494C33">
        <w:rPr>
          <w:rFonts w:cs="Times New Roman"/>
          <w:sz w:val="24"/>
          <w:szCs w:val="24"/>
        </w:rPr>
        <w:t>in to the lateral caudal tail vein</w:t>
      </w:r>
      <w:r>
        <w:rPr>
          <w:rFonts w:cs="Times New Roman"/>
          <w:sz w:val="24"/>
          <w:szCs w:val="24"/>
        </w:rPr>
        <w:t xml:space="preserve"> </w:t>
      </w:r>
      <w:r w:rsidRPr="002A04EB">
        <w:rPr>
          <w:rFonts w:cs="Times New Roman"/>
          <w:sz w:val="24"/>
          <w:szCs w:val="24"/>
        </w:rPr>
        <w:t xml:space="preserve">once at day −1 </w:t>
      </w:r>
      <w:r>
        <w:rPr>
          <w:rFonts w:cs="Times New Roman"/>
          <w:sz w:val="24"/>
          <w:szCs w:val="24"/>
        </w:rPr>
        <w:t>before CCl</w:t>
      </w:r>
      <w:r w:rsidRPr="009432FF">
        <w:rPr>
          <w:rFonts w:cs="Times New Roman"/>
          <w:sz w:val="24"/>
          <w:szCs w:val="24"/>
          <w:vertAlign w:val="subscript"/>
        </w:rPr>
        <w:t>4</w:t>
      </w:r>
      <w:r>
        <w:rPr>
          <w:rFonts w:cs="Times New Roman"/>
          <w:sz w:val="24"/>
          <w:szCs w:val="24"/>
        </w:rPr>
        <w:t xml:space="preserve"> treatment</w:t>
      </w:r>
      <w:r w:rsidRPr="00494C33">
        <w:rPr>
          <w:rFonts w:cs="Times New Roman"/>
          <w:sz w:val="24"/>
          <w:szCs w:val="24"/>
        </w:rPr>
        <w:t xml:space="preserve">. </w:t>
      </w:r>
    </w:p>
    <w:p w:rsidR="009739F4" w:rsidRPr="00494C33" w:rsidRDefault="009739F4" w:rsidP="009739F4">
      <w:pPr>
        <w:autoSpaceDE w:val="0"/>
        <w:autoSpaceDN w:val="0"/>
        <w:adjustRightInd w:val="0"/>
        <w:spacing w:after="0" w:line="360" w:lineRule="auto"/>
        <w:jc w:val="both"/>
        <w:rPr>
          <w:rFonts w:cs="Times New Roman"/>
          <w:b/>
          <w:sz w:val="24"/>
          <w:szCs w:val="24"/>
        </w:rPr>
      </w:pPr>
      <w:r w:rsidRPr="00494C33">
        <w:rPr>
          <w:rFonts w:cs="Times New Roman"/>
          <w:b/>
          <w:sz w:val="24"/>
          <w:szCs w:val="24"/>
        </w:rPr>
        <w:t>Histological analysis</w:t>
      </w:r>
    </w:p>
    <w:p w:rsidR="009739F4" w:rsidRPr="00494C33" w:rsidRDefault="009739F4" w:rsidP="009739F4">
      <w:pPr>
        <w:spacing w:before="100" w:beforeAutospacing="1" w:after="100" w:afterAutospacing="1" w:line="360" w:lineRule="auto"/>
        <w:jc w:val="both"/>
        <w:rPr>
          <w:rFonts w:cs="Times New Roman"/>
          <w:sz w:val="24"/>
          <w:szCs w:val="24"/>
        </w:rPr>
      </w:pPr>
      <w:r w:rsidRPr="00494C33">
        <w:rPr>
          <w:rFonts w:cs="Times New Roman"/>
          <w:sz w:val="24"/>
          <w:szCs w:val="24"/>
        </w:rPr>
        <w:t>Mice were sacrificed after 24 hr of CCl</w:t>
      </w:r>
      <w:r w:rsidRPr="00494C33">
        <w:rPr>
          <w:rFonts w:cs="Times New Roman"/>
          <w:sz w:val="24"/>
          <w:szCs w:val="24"/>
          <w:vertAlign w:val="subscript"/>
        </w:rPr>
        <w:t>4</w:t>
      </w:r>
      <w:r w:rsidRPr="00494C33">
        <w:rPr>
          <w:rFonts w:cs="Times New Roman"/>
          <w:sz w:val="24"/>
          <w:szCs w:val="24"/>
        </w:rPr>
        <w:t xml:space="preserve"> injection and the livers were fixed in 4 % paraformaldehyde and embedded in paraffin. The tissue sections (5 μm) in size were stained with H&amp;E staining kit (Beyotime Biotech Inc.) or TUNEL using the DeadEnd Flourometric TUNEL System (Promega, G7360). </w:t>
      </w:r>
    </w:p>
    <w:p w:rsidR="00FF7A40" w:rsidRPr="00494C33" w:rsidRDefault="00FF7A40" w:rsidP="00FF7A40">
      <w:pPr>
        <w:spacing w:before="100" w:beforeAutospacing="1" w:after="100" w:afterAutospacing="1" w:line="360" w:lineRule="auto"/>
        <w:jc w:val="both"/>
        <w:rPr>
          <w:rFonts w:cs="Times New Roman"/>
          <w:b/>
          <w:sz w:val="24"/>
          <w:szCs w:val="24"/>
        </w:rPr>
      </w:pPr>
      <w:r w:rsidRPr="00494C33">
        <w:rPr>
          <w:rFonts w:cs="Times New Roman"/>
          <w:b/>
          <w:sz w:val="24"/>
          <w:szCs w:val="24"/>
        </w:rPr>
        <w:t xml:space="preserve">Cell isolation and culture </w:t>
      </w:r>
    </w:p>
    <w:p w:rsidR="00803956" w:rsidRPr="00803956" w:rsidRDefault="001F090C" w:rsidP="00803956">
      <w:pPr>
        <w:spacing w:line="360" w:lineRule="auto"/>
        <w:jc w:val="both"/>
      </w:pPr>
      <w:r w:rsidRPr="002D21B6">
        <w:rPr>
          <w:rFonts w:cs="Times New Roman"/>
          <w:sz w:val="24"/>
          <w:szCs w:val="24"/>
        </w:rPr>
        <w:t>Tissues were obtained by qualified medical staff, with written donor consent and the approval of the Ethics Committee according to the Declaration of Helsinki.</w:t>
      </w:r>
      <w:r w:rsidRPr="00494C33">
        <w:rPr>
          <w:rFonts w:cs="Times New Roman"/>
          <w:sz w:val="24"/>
          <w:szCs w:val="24"/>
        </w:rPr>
        <w:t xml:space="preserve"> </w:t>
      </w:r>
      <w:r w:rsidR="00FF7A40" w:rsidRPr="00494C33">
        <w:rPr>
          <w:rFonts w:cs="Times New Roman"/>
          <w:sz w:val="24"/>
          <w:szCs w:val="24"/>
        </w:rPr>
        <w:t xml:space="preserve">Primary human hepatocytes were isolated by using collagenase </w:t>
      </w:r>
      <w:r w:rsidR="00803956">
        <w:rPr>
          <w:rFonts w:cs="Times New Roman"/>
          <w:sz w:val="24"/>
          <w:szCs w:val="24"/>
        </w:rPr>
        <w:t>digestion</w:t>
      </w:r>
      <w:r w:rsidR="00FF7A40" w:rsidRPr="00494C33">
        <w:rPr>
          <w:rFonts w:cs="Times New Roman"/>
          <w:sz w:val="24"/>
          <w:szCs w:val="24"/>
        </w:rPr>
        <w:t xml:space="preserve"> </w:t>
      </w:r>
      <w:r w:rsidR="00FF7A40">
        <w:rPr>
          <w:rFonts w:cs="Times New Roman"/>
          <w:sz w:val="24"/>
          <w:szCs w:val="24"/>
        </w:rPr>
        <w:t xml:space="preserve">from </w:t>
      </w:r>
      <w:r w:rsidR="00FF7A40" w:rsidRPr="00820A95">
        <w:rPr>
          <w:rFonts w:cs="Times New Roman"/>
          <w:sz w:val="24"/>
          <w:szCs w:val="24"/>
        </w:rPr>
        <w:t>surgical specimen</w:t>
      </w:r>
      <w:r w:rsidR="00FF7A40">
        <w:rPr>
          <w:rFonts w:cs="Times New Roman"/>
          <w:sz w:val="24"/>
          <w:szCs w:val="24"/>
        </w:rPr>
        <w:t xml:space="preserve">s of </w:t>
      </w:r>
      <w:r w:rsidR="00FF7A40" w:rsidRPr="00820A95">
        <w:rPr>
          <w:rFonts w:cs="Times New Roman"/>
          <w:sz w:val="24"/>
          <w:szCs w:val="24"/>
        </w:rPr>
        <w:t xml:space="preserve">healthy human livers </w:t>
      </w:r>
      <w:r w:rsidR="00FF7A40" w:rsidRPr="00494C33">
        <w:rPr>
          <w:rFonts w:cs="Times New Roman"/>
          <w:sz w:val="24"/>
          <w:szCs w:val="24"/>
        </w:rPr>
        <w:t>as described previously</w:t>
      </w:r>
      <w:r w:rsidR="00FF7A40">
        <w:rPr>
          <w:rFonts w:cs="Times New Roman"/>
          <w:sz w:val="24"/>
          <w:szCs w:val="24"/>
        </w:rPr>
        <w:t xml:space="preserve"> </w:t>
      </w:r>
      <w:r w:rsidR="00FF7A40">
        <w:rPr>
          <w:rFonts w:cs="Times New Roman"/>
          <w:sz w:val="24"/>
          <w:szCs w:val="24"/>
        </w:rPr>
        <w:fldChar w:fldCharType="begin"/>
      </w:r>
      <w:r w:rsidR="00FF7A40">
        <w:rPr>
          <w:rFonts w:cs="Times New Roman"/>
          <w:sz w:val="24"/>
          <w:szCs w:val="24"/>
        </w:rPr>
        <w:instrText xml:space="preserve"> ADDIN EN.CITE &lt;EndNote&gt;&lt;Cite&gt;&lt;Author&gt;Li&lt;/Author&gt;&lt;Year&gt;1992&lt;/Year&gt;&lt;RecNum&gt;217&lt;/RecNum&gt;&lt;DisplayText&gt;[19]&lt;/DisplayText&gt;&lt;record&gt;&lt;rec-number&gt;217&lt;/rec-number&gt;&lt;foreign-keys&gt;&lt;key app="EN" db-id="5wavpvz24xavvzexzelxdavldxv9rws2rerp"&gt;217&lt;/key&gt;&lt;/foreign-keys&gt;&lt;ref-type name="Journal Article"&gt;17&lt;/ref-type&gt;&lt;contributors&gt;&lt;authors&gt;&lt;author&gt;Li, A. P.&lt;/author&gt;&lt;author&gt;Roque, M. A.&lt;/author&gt;&lt;author&gt;Beck, D. J.&lt;/author&gt;&lt;author&gt;Kaminski, D. L.&lt;/author&gt;&lt;/authors&gt;&lt;/contributors&gt;&lt;titles&gt;&lt;title&gt;Isolation and culturing of hepatocytes from human livers&lt;/title&gt;&lt;secondary-title&gt;Journal of tissue culture methods&lt;/secondary-title&gt;&lt;/titles&gt;&lt;periodical&gt;&lt;full-title&gt;Journal of tissue culture methods&lt;/full-title&gt;&lt;/periodical&gt;&lt;pages&gt;139-145&lt;/pages&gt;&lt;volume&gt;14&lt;/volume&gt;&lt;number&gt;3&lt;/number&gt;&lt;dates&gt;&lt;year&gt;1992&lt;/year&gt;&lt;pub-dates&gt;&lt;date&gt;1992/09/01&lt;/date&gt;&lt;/pub-dates&gt;&lt;/dates&gt;&lt;isbn&gt;1573-0603&lt;/isbn&gt;&lt;urls&gt;&lt;related-urls&gt;&lt;url&gt;https://doi.org/10.1007/BF01409104&lt;/url&gt;&lt;/related-urls&gt;&lt;/urls&gt;&lt;electronic-resource-num&gt;10.1007/BF01409104&lt;/electronic-resource-num&gt;&lt;/record&gt;&lt;/Cite&gt;&lt;/EndNote&gt;</w:instrText>
      </w:r>
      <w:r w:rsidR="00FF7A40">
        <w:rPr>
          <w:rFonts w:cs="Times New Roman"/>
          <w:sz w:val="24"/>
          <w:szCs w:val="24"/>
        </w:rPr>
        <w:fldChar w:fldCharType="separate"/>
      </w:r>
      <w:r w:rsidR="00FF7A40">
        <w:rPr>
          <w:rFonts w:cs="Times New Roman"/>
          <w:noProof/>
          <w:sz w:val="24"/>
          <w:szCs w:val="24"/>
        </w:rPr>
        <w:t>[</w:t>
      </w:r>
      <w:hyperlink w:anchor="_ENREF_19" w:tooltip="Li, 1992 #217" w:history="1">
        <w:r w:rsidR="00FF7A40">
          <w:rPr>
            <w:rFonts w:cs="Times New Roman"/>
            <w:noProof/>
            <w:sz w:val="24"/>
            <w:szCs w:val="24"/>
          </w:rPr>
          <w:t>19</w:t>
        </w:r>
      </w:hyperlink>
      <w:r w:rsidR="00FF7A40">
        <w:rPr>
          <w:rFonts w:cs="Times New Roman"/>
          <w:noProof/>
          <w:sz w:val="24"/>
          <w:szCs w:val="24"/>
        </w:rPr>
        <w:t>]</w:t>
      </w:r>
      <w:r w:rsidR="00FF7A40">
        <w:rPr>
          <w:rFonts w:cs="Times New Roman"/>
          <w:sz w:val="24"/>
          <w:szCs w:val="24"/>
        </w:rPr>
        <w:fldChar w:fldCharType="end"/>
      </w:r>
      <w:r w:rsidR="00FF7A40" w:rsidRPr="00494C33">
        <w:rPr>
          <w:rFonts w:cs="Times New Roman"/>
          <w:sz w:val="24"/>
          <w:szCs w:val="24"/>
        </w:rPr>
        <w:t>.</w:t>
      </w:r>
      <w:r w:rsidR="00FF7A40" w:rsidRPr="002D21B6">
        <w:t xml:space="preserve"> </w:t>
      </w:r>
      <w:r>
        <w:t xml:space="preserve"> </w:t>
      </w:r>
      <w:r w:rsidR="00803956" w:rsidRPr="00803956">
        <w:rPr>
          <w:rFonts w:cstheme="minorHAnsi"/>
          <w:sz w:val="24"/>
          <w:szCs w:val="24"/>
        </w:rPr>
        <w:t xml:space="preserve">In brief, </w:t>
      </w:r>
      <w:r>
        <w:rPr>
          <w:rFonts w:cstheme="minorHAnsi"/>
          <w:sz w:val="24"/>
          <w:szCs w:val="24"/>
        </w:rPr>
        <w:t xml:space="preserve">human liver spacemen </w:t>
      </w:r>
      <w:r w:rsidR="00803956" w:rsidRPr="00803956">
        <w:rPr>
          <w:rFonts w:cstheme="minorHAnsi"/>
          <w:sz w:val="24"/>
          <w:szCs w:val="24"/>
        </w:rPr>
        <w:t>was digest</w:t>
      </w:r>
      <w:r>
        <w:rPr>
          <w:rFonts w:cstheme="minorHAnsi"/>
          <w:sz w:val="24"/>
          <w:szCs w:val="24"/>
        </w:rPr>
        <w:t>ed</w:t>
      </w:r>
      <w:r w:rsidR="00803956" w:rsidRPr="00803956">
        <w:rPr>
          <w:rFonts w:cstheme="minorHAnsi"/>
          <w:sz w:val="24"/>
          <w:szCs w:val="24"/>
        </w:rPr>
        <w:t xml:space="preserve"> by using 0.5 % collagenase solution supplemented with calcium for 30 min. Liver was homogenized with 0.025 % </w:t>
      </w:r>
      <w:r w:rsidR="00803956" w:rsidRPr="00803956">
        <w:rPr>
          <w:rFonts w:cstheme="minorHAnsi"/>
          <w:sz w:val="24"/>
          <w:szCs w:val="24"/>
        </w:rPr>
        <w:lastRenderedPageBreak/>
        <w:t xml:space="preserve">collagenase for about 30 min at 37 </w:t>
      </w:r>
      <w:r w:rsidR="00803956" w:rsidRPr="00803956">
        <w:rPr>
          <w:rFonts w:cstheme="minorHAnsi"/>
          <w:sz w:val="24"/>
          <w:szCs w:val="24"/>
          <w:vertAlign w:val="superscript"/>
        </w:rPr>
        <w:t>0</w:t>
      </w:r>
      <w:r w:rsidR="00803956" w:rsidRPr="00803956">
        <w:rPr>
          <w:rFonts w:cstheme="minorHAnsi"/>
          <w:sz w:val="24"/>
          <w:szCs w:val="24"/>
        </w:rPr>
        <w:t xml:space="preserve">C. The cells suspension was filtered, centrifuged for 2 min at 50 x g and hepatocytes were isolated from the pellets. Viable hepatocytes were screened by trypan blue exclusion dye as well as by attachment to the collagen coated cell culture plates in DMEM (Thermo Fisher Scientific) supplemented with 15 % FBS (Gibco, Thermo Fisher Scientific) and 1 % Penicillin-Streptomycin (Thermo Fisher Scientific). </w:t>
      </w:r>
    </w:p>
    <w:p w:rsidR="00FF7A40" w:rsidRPr="00494C33" w:rsidRDefault="00FF7A40" w:rsidP="00FF7A40">
      <w:pPr>
        <w:jc w:val="both"/>
        <w:rPr>
          <w:rFonts w:cs="Times New Roman"/>
          <w:b/>
          <w:sz w:val="24"/>
          <w:szCs w:val="24"/>
        </w:rPr>
      </w:pPr>
      <w:r w:rsidRPr="00494C33">
        <w:rPr>
          <w:rFonts w:cs="Times New Roman"/>
          <w:b/>
          <w:sz w:val="24"/>
          <w:szCs w:val="24"/>
        </w:rPr>
        <w:t>Determination of cell death</w:t>
      </w:r>
    </w:p>
    <w:p w:rsidR="00FF7A40" w:rsidRPr="006B738F" w:rsidRDefault="00FF7A40" w:rsidP="00FF7A40">
      <w:pPr>
        <w:spacing w:line="360" w:lineRule="auto"/>
        <w:jc w:val="both"/>
        <w:rPr>
          <w:rFonts w:cs="Times New Roman"/>
          <w:sz w:val="24"/>
          <w:szCs w:val="24"/>
        </w:rPr>
      </w:pPr>
      <w:r w:rsidRPr="00494C33">
        <w:rPr>
          <w:rFonts w:cs="Times New Roman"/>
          <w:sz w:val="24"/>
          <w:szCs w:val="24"/>
        </w:rPr>
        <w:t xml:space="preserve">Primary human hepatocytes were treated with </w:t>
      </w:r>
      <w:r>
        <w:rPr>
          <w:rFonts w:cs="Times New Roman"/>
          <w:sz w:val="24"/>
          <w:szCs w:val="24"/>
        </w:rPr>
        <w:t xml:space="preserve">recombinant human </w:t>
      </w:r>
      <w:r w:rsidRPr="00494C33">
        <w:rPr>
          <w:rFonts w:cs="Times New Roman"/>
          <w:sz w:val="24"/>
          <w:szCs w:val="24"/>
        </w:rPr>
        <w:t>SAA</w:t>
      </w:r>
      <w:r>
        <w:rPr>
          <w:rFonts w:cs="Times New Roman"/>
          <w:sz w:val="24"/>
          <w:szCs w:val="24"/>
        </w:rPr>
        <w:t>1</w:t>
      </w:r>
      <w:r w:rsidRPr="00494C33">
        <w:rPr>
          <w:rFonts w:cs="Times New Roman"/>
          <w:sz w:val="24"/>
          <w:szCs w:val="24"/>
        </w:rPr>
        <w:t xml:space="preserve"> (PeproTech) 10 μg/ml or </w:t>
      </w:r>
      <w:r>
        <w:rPr>
          <w:rFonts w:cs="Times New Roman"/>
          <w:sz w:val="24"/>
          <w:szCs w:val="24"/>
        </w:rPr>
        <w:t>tumor necrosis factor (</w:t>
      </w:r>
      <w:r w:rsidRPr="00494C33">
        <w:rPr>
          <w:rFonts w:cs="Times New Roman"/>
          <w:sz w:val="24"/>
          <w:szCs w:val="24"/>
        </w:rPr>
        <w:t>TNF</w:t>
      </w:r>
      <w:r>
        <w:rPr>
          <w:rFonts w:cs="Times New Roman"/>
          <w:sz w:val="24"/>
          <w:szCs w:val="24"/>
        </w:rPr>
        <w:t>)</w:t>
      </w:r>
      <w:r w:rsidRPr="00494C33">
        <w:rPr>
          <w:rFonts w:cs="Times New Roman"/>
          <w:sz w:val="24"/>
          <w:szCs w:val="24"/>
        </w:rPr>
        <w:t xml:space="preserve">-α 20 ng/ml (R&amp;D system) with or without </w:t>
      </w:r>
      <w:r>
        <w:rPr>
          <w:rFonts w:cs="Times New Roman"/>
          <w:sz w:val="24"/>
          <w:szCs w:val="24"/>
        </w:rPr>
        <w:t xml:space="preserve">ActD </w:t>
      </w:r>
      <w:r w:rsidRPr="00494C33">
        <w:rPr>
          <w:rFonts w:cs="Times New Roman"/>
          <w:sz w:val="24"/>
          <w:szCs w:val="24"/>
        </w:rPr>
        <w:t xml:space="preserve">(0.2 μg/ml, Sigma) </w:t>
      </w:r>
      <w:r>
        <w:rPr>
          <w:rFonts w:cs="Times New Roman"/>
          <w:sz w:val="24"/>
          <w:szCs w:val="24"/>
        </w:rPr>
        <w:t xml:space="preserve">or SC75741 (50μM) (Selleck) </w:t>
      </w:r>
      <w:r w:rsidRPr="00494C33">
        <w:rPr>
          <w:rFonts w:cs="Times New Roman"/>
          <w:sz w:val="24"/>
          <w:szCs w:val="24"/>
        </w:rPr>
        <w:t>after 12 hr serum starvation. Cell death in hepatocytes was measured by LDH release into the culture medium according to the instruction provided by the manufacturer (Thermoscientific). Caspase 3- and PARP cleavage were determined by western blot analysis.</w:t>
      </w:r>
      <w:r>
        <w:rPr>
          <w:rFonts w:cs="Times New Roman"/>
          <w:sz w:val="24"/>
          <w:szCs w:val="24"/>
        </w:rPr>
        <w:t xml:space="preserve"> </w:t>
      </w:r>
      <w:r w:rsidRPr="006B738F">
        <w:rPr>
          <w:rFonts w:cs="Times New Roman"/>
          <w:sz w:val="24"/>
          <w:szCs w:val="24"/>
        </w:rPr>
        <w:t xml:space="preserve">Caspase-3 activity was </w:t>
      </w:r>
      <w:r>
        <w:rPr>
          <w:rFonts w:cs="Times New Roman"/>
          <w:sz w:val="24"/>
          <w:szCs w:val="24"/>
        </w:rPr>
        <w:t>measured</w:t>
      </w:r>
      <w:r w:rsidRPr="006B738F">
        <w:rPr>
          <w:rFonts w:cs="Times New Roman"/>
          <w:sz w:val="24"/>
          <w:szCs w:val="24"/>
        </w:rPr>
        <w:t xml:space="preserve"> using the Caspase-3 Fluorometric Assay Kit (Biovision, USA) </w:t>
      </w:r>
      <w:r>
        <w:rPr>
          <w:rFonts w:cs="Times New Roman"/>
          <w:sz w:val="24"/>
          <w:szCs w:val="24"/>
        </w:rPr>
        <w:t>according to</w:t>
      </w:r>
      <w:r w:rsidRPr="006B738F">
        <w:rPr>
          <w:rFonts w:cs="Times New Roman"/>
          <w:sz w:val="24"/>
          <w:szCs w:val="24"/>
        </w:rPr>
        <w:t xml:space="preserve"> instruction</w:t>
      </w:r>
      <w:r>
        <w:rPr>
          <w:rFonts w:cs="Times New Roman"/>
          <w:sz w:val="24"/>
          <w:szCs w:val="24"/>
        </w:rPr>
        <w:t xml:space="preserve"> provided by the manufacturer</w:t>
      </w:r>
      <w:r w:rsidRPr="006B738F">
        <w:rPr>
          <w:rFonts w:cs="Times New Roman"/>
          <w:sz w:val="24"/>
          <w:szCs w:val="24"/>
        </w:rPr>
        <w:t xml:space="preserve">. </w:t>
      </w:r>
    </w:p>
    <w:p w:rsidR="006E5C3E" w:rsidRPr="001B02AB" w:rsidRDefault="006E5C3E" w:rsidP="006E5C3E">
      <w:pPr>
        <w:spacing w:before="100" w:beforeAutospacing="1" w:after="100" w:afterAutospacing="1"/>
        <w:jc w:val="both"/>
        <w:rPr>
          <w:rFonts w:cs="Times New Roman"/>
          <w:b/>
          <w:sz w:val="24"/>
          <w:szCs w:val="24"/>
        </w:rPr>
      </w:pPr>
      <w:r w:rsidRPr="001B02AB">
        <w:rPr>
          <w:rFonts w:cs="Times New Roman"/>
          <w:b/>
          <w:sz w:val="24"/>
          <w:szCs w:val="24"/>
        </w:rPr>
        <w:t xml:space="preserve">Annexin V/propiduim iodide (PI) staining </w:t>
      </w:r>
    </w:p>
    <w:p w:rsidR="006E5C3E" w:rsidRPr="001B02AB" w:rsidRDefault="006E5C3E" w:rsidP="006E5C3E">
      <w:pPr>
        <w:spacing w:line="360" w:lineRule="auto"/>
        <w:jc w:val="both"/>
        <w:rPr>
          <w:rFonts w:cstheme="minorHAnsi"/>
          <w:sz w:val="24"/>
          <w:szCs w:val="24"/>
        </w:rPr>
      </w:pPr>
      <w:r w:rsidRPr="001B02AB">
        <w:rPr>
          <w:rFonts w:cstheme="minorHAnsi"/>
          <w:sz w:val="24"/>
          <w:szCs w:val="24"/>
        </w:rPr>
        <w:t xml:space="preserve">Cells were seeded into 6-well plates and cultured for 24 hr. Then Then, 0.25 % trypsin without EDTA was added to digest cells at 37 0C. the cell suspension was washed twice with clod phosphate buffered saline (PBS) and stained with 5 μL of Annexin V-fluorescein isothiocyanate (FITC)/Prodium Iodide (PI) Kit (BD Bioscience, USA) for 15 min and 5 mL of PI from 5 min at 25 </w:t>
      </w:r>
      <w:r w:rsidRPr="001B02AB">
        <w:rPr>
          <w:rFonts w:cstheme="minorHAnsi"/>
          <w:sz w:val="24"/>
          <w:szCs w:val="24"/>
          <w:vertAlign w:val="superscript"/>
        </w:rPr>
        <w:t>0</w:t>
      </w:r>
      <w:r w:rsidRPr="001B02AB">
        <w:rPr>
          <w:rFonts w:cstheme="minorHAnsi"/>
          <w:sz w:val="24"/>
          <w:szCs w:val="24"/>
        </w:rPr>
        <w:t xml:space="preserve">C. The cell apoptosis was assessed using </w:t>
      </w:r>
      <w:r>
        <w:rPr>
          <w:rFonts w:cstheme="minorHAnsi"/>
          <w:sz w:val="24"/>
          <w:szCs w:val="24"/>
        </w:rPr>
        <w:t>(C6 Plus, BD, USA)</w:t>
      </w:r>
      <w:r w:rsidRPr="001B02AB">
        <w:rPr>
          <w:rFonts w:cstheme="minorHAnsi"/>
          <w:sz w:val="24"/>
          <w:szCs w:val="24"/>
        </w:rPr>
        <w:t>.</w:t>
      </w:r>
    </w:p>
    <w:p w:rsidR="00FF7A40" w:rsidRPr="00494C33" w:rsidRDefault="00FF7A40" w:rsidP="00FF7A40">
      <w:pPr>
        <w:jc w:val="both"/>
        <w:rPr>
          <w:rFonts w:cs="Times New Roman"/>
          <w:b/>
          <w:sz w:val="24"/>
          <w:szCs w:val="24"/>
        </w:rPr>
      </w:pPr>
      <w:r w:rsidRPr="00494C33">
        <w:rPr>
          <w:rFonts w:cs="Times New Roman"/>
          <w:b/>
          <w:sz w:val="24"/>
          <w:szCs w:val="24"/>
        </w:rPr>
        <w:t>Luciferase reporter gene assay</w:t>
      </w:r>
    </w:p>
    <w:p w:rsidR="00FF7A40" w:rsidRPr="00494C33" w:rsidRDefault="00FF7A40" w:rsidP="00FF7A40">
      <w:pPr>
        <w:spacing w:line="360" w:lineRule="auto"/>
        <w:jc w:val="both"/>
        <w:rPr>
          <w:rFonts w:cs="Times New Roman"/>
          <w:sz w:val="24"/>
          <w:szCs w:val="24"/>
        </w:rPr>
      </w:pPr>
      <w:r w:rsidRPr="00494C33">
        <w:rPr>
          <w:rFonts w:cs="Times New Roman"/>
          <w:sz w:val="24"/>
          <w:szCs w:val="24"/>
        </w:rPr>
        <w:t>Primary human hepatocytes were transfected with 2 μg/well of reporter plasmid for nuclear factor pGL4.32[luc2P/NF-</w:t>
      </w:r>
      <w:r w:rsidRPr="00A04A87">
        <w:rPr>
          <w:rFonts w:ascii="Times New Roman" w:hAnsi="Times New Roman" w:cs="Times New Roman"/>
          <w:sz w:val="24"/>
          <w:szCs w:val="24"/>
        </w:rPr>
        <w:t>κ</w:t>
      </w:r>
      <w:r w:rsidRPr="00494C33">
        <w:rPr>
          <w:rFonts w:cs="Times New Roman"/>
          <w:sz w:val="24"/>
          <w:szCs w:val="24"/>
        </w:rPr>
        <w:t xml:space="preserve">B-RE/Hygro] Vector (Promega cat# E849A) using Lipofectamine 3000 (Invitrogen) according to the manufacturer instructions.  In all cases, 0.2 ng/well pRL wild-type </w:t>
      </w:r>
      <w:r w:rsidRPr="00494C33">
        <w:rPr>
          <w:rFonts w:cs="Times New Roman"/>
          <w:i/>
          <w:sz w:val="24"/>
          <w:szCs w:val="24"/>
        </w:rPr>
        <w:t>Renilla</w:t>
      </w:r>
      <w:r w:rsidRPr="00494C33">
        <w:rPr>
          <w:rFonts w:cs="Times New Roman"/>
          <w:sz w:val="24"/>
          <w:szCs w:val="24"/>
        </w:rPr>
        <w:t xml:space="preserve"> luciferase (Rluc) control reporter vector (pGL4.75 [hRluc/CMV] Renilla luciferasecat Promega #E2311) was used. After 24 hr of incubation, the cells were stimulated by rhSAA</w:t>
      </w:r>
      <w:r>
        <w:rPr>
          <w:rFonts w:cs="Times New Roman"/>
          <w:sz w:val="24"/>
          <w:szCs w:val="24"/>
        </w:rPr>
        <w:t>1</w:t>
      </w:r>
      <w:r w:rsidRPr="00494C33">
        <w:rPr>
          <w:rFonts w:cs="Times New Roman"/>
          <w:sz w:val="24"/>
          <w:szCs w:val="24"/>
        </w:rPr>
        <w:t xml:space="preserve"> (PeproTech (5 – 20 μg/ml) or rhTNF-α (20 ng) for 6 hr. Then, the reporter gene activity was </w:t>
      </w:r>
      <w:r w:rsidRPr="00494C33">
        <w:rPr>
          <w:rFonts w:cs="Times New Roman"/>
          <w:sz w:val="24"/>
          <w:szCs w:val="24"/>
        </w:rPr>
        <w:lastRenderedPageBreak/>
        <w:t>measured by using Dual Luciferase Assay System (Promega) based on instructions provided by manufacturer.</w:t>
      </w:r>
    </w:p>
    <w:p w:rsidR="00FF7A40" w:rsidRPr="00494C33" w:rsidRDefault="00FF7A40" w:rsidP="00FF7A40">
      <w:pPr>
        <w:spacing w:before="100" w:beforeAutospacing="1" w:after="100" w:afterAutospacing="1"/>
        <w:jc w:val="both"/>
        <w:rPr>
          <w:rFonts w:cs="Times New Roman"/>
          <w:b/>
          <w:sz w:val="24"/>
          <w:szCs w:val="24"/>
        </w:rPr>
      </w:pPr>
      <w:r w:rsidRPr="00494C33">
        <w:rPr>
          <w:rFonts w:cs="Times New Roman"/>
          <w:b/>
          <w:sz w:val="24"/>
          <w:szCs w:val="24"/>
        </w:rPr>
        <w:t>Quantitative RT-PCR</w:t>
      </w:r>
    </w:p>
    <w:p w:rsidR="00FF7A40" w:rsidRPr="00494C33" w:rsidRDefault="00FF7A40" w:rsidP="00FF7A40">
      <w:pPr>
        <w:spacing w:line="360" w:lineRule="auto"/>
        <w:jc w:val="both"/>
        <w:rPr>
          <w:rFonts w:cs="Times New Roman"/>
          <w:sz w:val="24"/>
          <w:szCs w:val="24"/>
        </w:rPr>
      </w:pPr>
      <w:r w:rsidRPr="00494C33">
        <w:rPr>
          <w:rFonts w:cs="Times New Roman"/>
          <w:sz w:val="24"/>
          <w:szCs w:val="24"/>
        </w:rPr>
        <w:t>Total RNA was extracted by using TRIzol reagent (Invitrogen) as described previously</w:t>
      </w:r>
      <w:r>
        <w:rPr>
          <w:rFonts w:cs="Times New Roman"/>
          <w:sz w:val="24"/>
          <w:szCs w:val="24"/>
        </w:rPr>
        <w:t xml:space="preserve"> </w:t>
      </w:r>
      <w:r>
        <w:rPr>
          <w:rFonts w:cs="Times New Roman"/>
          <w:sz w:val="24"/>
          <w:szCs w:val="24"/>
        </w:rPr>
        <w:fldChar w:fldCharType="begin"/>
      </w:r>
      <w:r>
        <w:rPr>
          <w:rFonts w:cs="Times New Roman"/>
          <w:sz w:val="24"/>
          <w:szCs w:val="24"/>
        </w:rPr>
        <w:instrText xml:space="preserve"> ADDIN EN.CITE &lt;EndNote&gt;&lt;Cite&gt;&lt;Author&gt;Rio&lt;/Author&gt;&lt;Year&gt;2010&lt;/Year&gt;&lt;RecNum&gt;218&lt;/RecNum&gt;&lt;DisplayText&gt;[20]&lt;/DisplayText&gt;&lt;record&gt;&lt;rec-number&gt;218&lt;/rec-number&gt;&lt;foreign-keys&gt;&lt;key app="EN" db-id="5wavpvz24xavvzexzelxdavldxv9rws2rerp"&gt;218&lt;/key&gt;&lt;/foreign-keys&gt;&lt;ref-type name="Journal Article"&gt;17&lt;/ref-type&gt;&lt;contributors&gt;&lt;authors&gt;&lt;author&gt;Rio, D. C.&lt;/author&gt;&lt;author&gt;Ares, M., Jr.&lt;/author&gt;&lt;author&gt;Hannon, G. J.&lt;/author&gt;&lt;author&gt;Nilsen, T. W.&lt;/author&gt;&lt;/authors&gt;&lt;/contributors&gt;&lt;titles&gt;&lt;title&gt;Purification of RNA using TRIzol (TRI reagent)&lt;/title&gt;&lt;secondary-title&gt;Cold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pages&gt;pdb.prot5439&lt;/pages&gt;&lt;volume&gt;2010&lt;/volume&gt;&lt;number&gt;6&lt;/number&gt;&lt;edition&gt;2010/06/03&lt;/edition&gt;&lt;keywords&gt;&lt;keyword&gt;Animals&lt;/keyword&gt;&lt;keyword&gt;Guanidines/*chemistry&lt;/keyword&gt;&lt;keyword&gt;Molecular Biology/*methods&lt;/keyword&gt;&lt;keyword&gt;Phenols/*chemistry&lt;/keyword&gt;&lt;keyword&gt;RNA/*isolation &amp;amp; purification&lt;/keyword&gt;&lt;/keywords&gt;&lt;dates&gt;&lt;year&gt;2010&lt;/year&gt;&lt;pub-dates&gt;&lt;date&gt;Jun&lt;/date&gt;&lt;/pub-dates&gt;&lt;/dates&gt;&lt;isbn&gt;1559-6095&lt;/isbn&gt;&lt;accession-num&gt;20516177&lt;/accession-num&gt;&lt;urls&gt;&lt;/urls&gt;&lt;electronic-resource-num&gt;10.1101/pdb.prot5439&lt;/electronic-resource-num&gt;&lt;remote-database-provider&gt;Nlm&lt;/remote-database-provider&gt;&lt;language&gt;eng&lt;/language&gt;&lt;/record&gt;&lt;/Cite&gt;&lt;/EndNote&gt;</w:instrText>
      </w:r>
      <w:r>
        <w:rPr>
          <w:rFonts w:cs="Times New Roman"/>
          <w:sz w:val="24"/>
          <w:szCs w:val="24"/>
        </w:rPr>
        <w:fldChar w:fldCharType="separate"/>
      </w:r>
      <w:r>
        <w:rPr>
          <w:rFonts w:cs="Times New Roman"/>
          <w:noProof/>
          <w:sz w:val="24"/>
          <w:szCs w:val="24"/>
        </w:rPr>
        <w:t>[</w:t>
      </w:r>
      <w:hyperlink w:anchor="_ENREF_20" w:tooltip="Rio, 2010 #218" w:history="1">
        <w:r>
          <w:rPr>
            <w:rFonts w:cs="Times New Roman"/>
            <w:noProof/>
            <w:sz w:val="24"/>
            <w:szCs w:val="24"/>
          </w:rPr>
          <w:t>20</w:t>
        </w:r>
      </w:hyperlink>
      <w:r>
        <w:rPr>
          <w:rFonts w:cs="Times New Roman"/>
          <w:noProof/>
          <w:sz w:val="24"/>
          <w:szCs w:val="24"/>
        </w:rPr>
        <w:t>]</w:t>
      </w:r>
      <w:r>
        <w:rPr>
          <w:rFonts w:cs="Times New Roman"/>
          <w:sz w:val="24"/>
          <w:szCs w:val="24"/>
        </w:rPr>
        <w:fldChar w:fldCharType="end"/>
      </w:r>
      <w:r w:rsidRPr="00494C33">
        <w:rPr>
          <w:rFonts w:cs="Times New Roman"/>
          <w:sz w:val="24"/>
          <w:szCs w:val="24"/>
        </w:rPr>
        <w:t xml:space="preserve"> and, cDNA synthesis was carried out by using a revers transcription kit (TOYOBO CO., LTD). Quantitative PCR was performed using SYBR green reagent (Therm</w:t>
      </w:r>
      <w:bookmarkStart w:id="0" w:name="_GoBack"/>
      <w:bookmarkEnd w:id="0"/>
      <w:r w:rsidRPr="00494C33">
        <w:rPr>
          <w:rFonts w:cs="Times New Roman"/>
          <w:sz w:val="24"/>
          <w:szCs w:val="24"/>
        </w:rPr>
        <w:t>o scientific) with GAPDH as internal control. The relative standard curve method was used for quantification of gene expression in each sample. All sequences o</w:t>
      </w:r>
      <w:r w:rsidR="007D3EAF">
        <w:rPr>
          <w:rFonts w:cs="Times New Roman"/>
          <w:sz w:val="24"/>
          <w:szCs w:val="24"/>
        </w:rPr>
        <w:t xml:space="preserve">f the primers are described in </w:t>
      </w:r>
      <w:r w:rsidRPr="00494C33">
        <w:rPr>
          <w:rFonts w:cs="Times New Roman"/>
          <w:sz w:val="24"/>
          <w:szCs w:val="24"/>
        </w:rPr>
        <w:t>Table 1.</w:t>
      </w:r>
    </w:p>
    <w:p w:rsidR="0045117B" w:rsidRPr="00EB6E07" w:rsidRDefault="0045117B" w:rsidP="0045117B">
      <w:pPr>
        <w:rPr>
          <w:b/>
          <w:sz w:val="24"/>
          <w:szCs w:val="24"/>
        </w:rPr>
      </w:pPr>
      <w:r>
        <w:rPr>
          <w:b/>
          <w:sz w:val="24"/>
          <w:szCs w:val="24"/>
        </w:rPr>
        <w:t xml:space="preserve">Table 1. </w:t>
      </w:r>
      <w:r w:rsidRPr="00EB6E07">
        <w:rPr>
          <w:b/>
          <w:sz w:val="24"/>
          <w:szCs w:val="24"/>
        </w:rPr>
        <w:t xml:space="preserve">Primers </w:t>
      </w:r>
    </w:p>
    <w:tbl>
      <w:tblPr>
        <w:tblStyle w:val="TableGrid"/>
        <w:tblW w:w="0" w:type="auto"/>
        <w:tblLook w:val="04A0" w:firstRow="1" w:lastRow="0" w:firstColumn="1" w:lastColumn="0" w:noHBand="0" w:noVBand="1"/>
      </w:tblPr>
      <w:tblGrid>
        <w:gridCol w:w="1455"/>
        <w:gridCol w:w="1497"/>
        <w:gridCol w:w="1206"/>
        <w:gridCol w:w="4698"/>
      </w:tblGrid>
      <w:tr w:rsidR="00D12B0C" w:rsidRPr="000700D7" w:rsidTr="00EE047B">
        <w:trPr>
          <w:trHeight w:val="684"/>
        </w:trPr>
        <w:tc>
          <w:tcPr>
            <w:tcW w:w="1455" w:type="dxa"/>
          </w:tcPr>
          <w:p w:rsidR="00D12B0C" w:rsidRDefault="00D12B0C" w:rsidP="00D12B0C">
            <w:pPr>
              <w:spacing w:after="0"/>
              <w:jc w:val="center"/>
              <w:rPr>
                <w:rFonts w:cstheme="minorHAnsi"/>
                <w:sz w:val="24"/>
                <w:szCs w:val="24"/>
              </w:rPr>
            </w:pPr>
          </w:p>
          <w:p w:rsidR="00D12B0C" w:rsidRPr="000700D7" w:rsidRDefault="00D12B0C" w:rsidP="00D12B0C">
            <w:pPr>
              <w:spacing w:after="0"/>
              <w:jc w:val="center"/>
              <w:rPr>
                <w:rFonts w:cstheme="minorHAnsi"/>
                <w:sz w:val="24"/>
                <w:szCs w:val="24"/>
              </w:rPr>
            </w:pPr>
            <w:r>
              <w:rPr>
                <w:rFonts w:cstheme="minorHAnsi"/>
                <w:sz w:val="24"/>
                <w:szCs w:val="24"/>
              </w:rPr>
              <w:t>Gene</w:t>
            </w:r>
          </w:p>
        </w:tc>
        <w:tc>
          <w:tcPr>
            <w:tcW w:w="2703" w:type="dxa"/>
            <w:gridSpan w:val="2"/>
          </w:tcPr>
          <w:p w:rsidR="00D12B0C" w:rsidRDefault="00D12B0C" w:rsidP="00D12B0C">
            <w:pPr>
              <w:spacing w:after="0"/>
              <w:jc w:val="center"/>
              <w:rPr>
                <w:rFonts w:cstheme="minorHAnsi"/>
                <w:sz w:val="24"/>
                <w:szCs w:val="24"/>
              </w:rPr>
            </w:pPr>
          </w:p>
          <w:p w:rsidR="00D12B0C" w:rsidRPr="000700D7" w:rsidRDefault="00D12B0C" w:rsidP="00D12B0C">
            <w:pPr>
              <w:spacing w:after="0"/>
              <w:jc w:val="center"/>
              <w:rPr>
                <w:rFonts w:cstheme="minorHAnsi"/>
                <w:sz w:val="24"/>
                <w:szCs w:val="24"/>
              </w:rPr>
            </w:pPr>
            <w:r>
              <w:rPr>
                <w:rFonts w:cstheme="minorHAnsi"/>
                <w:sz w:val="24"/>
                <w:szCs w:val="24"/>
              </w:rPr>
              <w:t>species</w:t>
            </w:r>
          </w:p>
        </w:tc>
        <w:tc>
          <w:tcPr>
            <w:tcW w:w="4698" w:type="dxa"/>
          </w:tcPr>
          <w:p w:rsidR="00D12B0C" w:rsidRDefault="00D12B0C" w:rsidP="00D12B0C">
            <w:pPr>
              <w:spacing w:after="0"/>
              <w:jc w:val="center"/>
              <w:rPr>
                <w:rFonts w:cstheme="minorHAnsi"/>
                <w:sz w:val="24"/>
                <w:szCs w:val="24"/>
              </w:rPr>
            </w:pPr>
          </w:p>
          <w:p w:rsidR="00D12B0C" w:rsidRPr="000700D7" w:rsidRDefault="00D12B0C" w:rsidP="00D12B0C">
            <w:pPr>
              <w:spacing w:after="0"/>
              <w:jc w:val="center"/>
              <w:rPr>
                <w:rFonts w:cstheme="minorHAnsi"/>
                <w:sz w:val="24"/>
                <w:szCs w:val="24"/>
              </w:rPr>
            </w:pPr>
            <w:r>
              <w:rPr>
                <w:rFonts w:cstheme="minorHAnsi"/>
                <w:sz w:val="24"/>
                <w:szCs w:val="24"/>
              </w:rPr>
              <w:t>Sequences</w:t>
            </w:r>
          </w:p>
        </w:tc>
      </w:tr>
      <w:tr w:rsidR="00D12B0C" w:rsidRPr="000700D7" w:rsidTr="004805DE">
        <w:tc>
          <w:tcPr>
            <w:tcW w:w="1455" w:type="dxa"/>
            <w:vMerge w:val="restart"/>
          </w:tcPr>
          <w:p w:rsidR="00D12B0C" w:rsidRPr="000700D7" w:rsidRDefault="00D12B0C" w:rsidP="00D12B0C">
            <w:pPr>
              <w:spacing w:after="0"/>
              <w:rPr>
                <w:rFonts w:cstheme="minorHAnsi"/>
                <w:sz w:val="24"/>
                <w:szCs w:val="24"/>
              </w:rPr>
            </w:pPr>
            <w:r w:rsidRPr="000700D7">
              <w:rPr>
                <w:rFonts w:cstheme="minorHAnsi"/>
                <w:sz w:val="24"/>
                <w:szCs w:val="24"/>
              </w:rPr>
              <w:t>CCL2</w:t>
            </w:r>
          </w:p>
        </w:tc>
        <w:tc>
          <w:tcPr>
            <w:tcW w:w="1497" w:type="dxa"/>
            <w:vMerge w:val="restart"/>
          </w:tcPr>
          <w:p w:rsidR="00D12B0C" w:rsidRPr="000700D7" w:rsidRDefault="00D12B0C" w:rsidP="00D12B0C">
            <w:pPr>
              <w:spacing w:after="0"/>
              <w:rPr>
                <w:rFonts w:cstheme="minorHAnsi"/>
                <w:sz w:val="24"/>
                <w:szCs w:val="24"/>
              </w:rPr>
            </w:pPr>
            <w:r w:rsidRPr="000700D7">
              <w:rPr>
                <w:rFonts w:cstheme="minorHAnsi"/>
                <w:sz w:val="24"/>
                <w:szCs w:val="24"/>
              </w:rPr>
              <w:t>Human</w:t>
            </w: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Forward</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CAGCCAGATGCAATCAATGCC</w:t>
            </w:r>
          </w:p>
        </w:tc>
      </w:tr>
      <w:tr w:rsidR="00D12B0C" w:rsidRPr="000700D7" w:rsidTr="004805DE">
        <w:tc>
          <w:tcPr>
            <w:tcW w:w="1455" w:type="dxa"/>
            <w:vMerge/>
          </w:tcPr>
          <w:p w:rsidR="00D12B0C" w:rsidRPr="000700D7" w:rsidRDefault="00D12B0C" w:rsidP="00D12B0C">
            <w:pPr>
              <w:spacing w:after="0"/>
              <w:rPr>
                <w:rFonts w:cstheme="minorHAnsi"/>
                <w:sz w:val="24"/>
                <w:szCs w:val="24"/>
              </w:rPr>
            </w:pPr>
          </w:p>
        </w:tc>
        <w:tc>
          <w:tcPr>
            <w:tcW w:w="1497" w:type="dxa"/>
            <w:vMerge/>
          </w:tcPr>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Revers</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TGGAATCCTGAACCCACTTCT</w:t>
            </w:r>
          </w:p>
        </w:tc>
      </w:tr>
      <w:tr w:rsidR="00D12B0C" w:rsidRPr="000700D7" w:rsidTr="004805DE">
        <w:tc>
          <w:tcPr>
            <w:tcW w:w="1455" w:type="dxa"/>
            <w:vMerge w:val="restart"/>
          </w:tcPr>
          <w:p w:rsidR="00D12B0C" w:rsidRPr="000700D7" w:rsidRDefault="00D12B0C" w:rsidP="00D12B0C">
            <w:pPr>
              <w:spacing w:after="0"/>
              <w:rPr>
                <w:rFonts w:cstheme="minorHAnsi"/>
                <w:sz w:val="24"/>
                <w:szCs w:val="24"/>
              </w:rPr>
            </w:pPr>
            <w:r w:rsidRPr="000700D7">
              <w:rPr>
                <w:rFonts w:cstheme="minorHAnsi"/>
                <w:sz w:val="24"/>
                <w:szCs w:val="24"/>
              </w:rPr>
              <w:t>CCL5</w:t>
            </w:r>
          </w:p>
        </w:tc>
        <w:tc>
          <w:tcPr>
            <w:tcW w:w="1497" w:type="dxa"/>
            <w:vMerge w:val="restart"/>
          </w:tcPr>
          <w:p w:rsidR="00D12B0C" w:rsidRPr="000700D7" w:rsidRDefault="00D12B0C" w:rsidP="00D12B0C">
            <w:pPr>
              <w:spacing w:after="0"/>
              <w:rPr>
                <w:rFonts w:cstheme="minorHAnsi"/>
                <w:sz w:val="24"/>
                <w:szCs w:val="24"/>
              </w:rPr>
            </w:pPr>
            <w:r w:rsidRPr="000700D7">
              <w:rPr>
                <w:rFonts w:cstheme="minorHAnsi"/>
                <w:sz w:val="24"/>
                <w:szCs w:val="24"/>
              </w:rPr>
              <w:t>Human</w:t>
            </w:r>
          </w:p>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Forward</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CCAGCAGTCGTCTTTGTCAC</w:t>
            </w:r>
            <w:r w:rsidRPr="000700D7">
              <w:rPr>
                <w:rFonts w:cstheme="minorHAnsi"/>
                <w:sz w:val="24"/>
                <w:szCs w:val="24"/>
              </w:rPr>
              <w:tab/>
            </w:r>
          </w:p>
        </w:tc>
      </w:tr>
      <w:tr w:rsidR="00D12B0C" w:rsidRPr="000700D7" w:rsidTr="004805DE">
        <w:tc>
          <w:tcPr>
            <w:tcW w:w="1455" w:type="dxa"/>
            <w:vMerge/>
          </w:tcPr>
          <w:p w:rsidR="00D12B0C" w:rsidRPr="000700D7" w:rsidRDefault="00D12B0C" w:rsidP="00D12B0C">
            <w:pPr>
              <w:spacing w:after="0"/>
              <w:rPr>
                <w:rFonts w:cstheme="minorHAnsi"/>
                <w:sz w:val="24"/>
                <w:szCs w:val="24"/>
              </w:rPr>
            </w:pPr>
          </w:p>
        </w:tc>
        <w:tc>
          <w:tcPr>
            <w:tcW w:w="1497" w:type="dxa"/>
            <w:vMerge/>
          </w:tcPr>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Revers</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CTCTGGGTTGGCACACACTT</w:t>
            </w:r>
            <w:r w:rsidRPr="000700D7">
              <w:rPr>
                <w:rFonts w:cstheme="minorHAnsi"/>
                <w:sz w:val="24"/>
                <w:szCs w:val="24"/>
              </w:rPr>
              <w:tab/>
            </w:r>
          </w:p>
        </w:tc>
      </w:tr>
      <w:tr w:rsidR="00D12B0C" w:rsidRPr="000700D7" w:rsidTr="004805DE">
        <w:tc>
          <w:tcPr>
            <w:tcW w:w="1455" w:type="dxa"/>
            <w:vMerge w:val="restart"/>
          </w:tcPr>
          <w:p w:rsidR="00D12B0C" w:rsidRPr="000700D7" w:rsidRDefault="00D12B0C" w:rsidP="00D12B0C">
            <w:pPr>
              <w:spacing w:after="0"/>
              <w:rPr>
                <w:rFonts w:cstheme="minorHAnsi"/>
                <w:sz w:val="24"/>
                <w:szCs w:val="24"/>
              </w:rPr>
            </w:pPr>
            <w:r w:rsidRPr="000700D7">
              <w:rPr>
                <w:rFonts w:cstheme="minorHAnsi"/>
                <w:sz w:val="24"/>
                <w:szCs w:val="24"/>
              </w:rPr>
              <w:t>Eotaxin</w:t>
            </w:r>
          </w:p>
        </w:tc>
        <w:tc>
          <w:tcPr>
            <w:tcW w:w="1497" w:type="dxa"/>
            <w:vMerge w:val="restart"/>
          </w:tcPr>
          <w:p w:rsidR="00D12B0C" w:rsidRPr="000700D7" w:rsidRDefault="00D12B0C" w:rsidP="00D12B0C">
            <w:pPr>
              <w:spacing w:after="0"/>
              <w:rPr>
                <w:rFonts w:cstheme="minorHAnsi"/>
                <w:sz w:val="24"/>
                <w:szCs w:val="24"/>
              </w:rPr>
            </w:pPr>
            <w:r w:rsidRPr="000700D7">
              <w:rPr>
                <w:rFonts w:cstheme="minorHAnsi"/>
                <w:sz w:val="24"/>
                <w:szCs w:val="24"/>
              </w:rPr>
              <w:t>Human</w:t>
            </w: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Forward</w:t>
            </w:r>
          </w:p>
        </w:tc>
        <w:tc>
          <w:tcPr>
            <w:tcW w:w="4698" w:type="dxa"/>
          </w:tcPr>
          <w:p w:rsidR="00D12B0C" w:rsidRPr="000700D7" w:rsidRDefault="00D12B0C" w:rsidP="00D12B0C">
            <w:pPr>
              <w:spacing w:after="0"/>
              <w:rPr>
                <w:rFonts w:cstheme="minorHAnsi"/>
                <w:sz w:val="24"/>
                <w:szCs w:val="24"/>
              </w:rPr>
            </w:pPr>
            <w:r w:rsidRPr="000700D7">
              <w:rPr>
                <w:rFonts w:cstheme="minorHAnsi"/>
                <w:color w:val="222222"/>
                <w:sz w:val="24"/>
                <w:szCs w:val="24"/>
                <w:shd w:val="clear" w:color="auto" w:fill="FFFFFF"/>
              </w:rPr>
              <w:t>AGGATGGGCACAGAACTTCG</w:t>
            </w:r>
          </w:p>
        </w:tc>
      </w:tr>
      <w:tr w:rsidR="00D12B0C" w:rsidRPr="000700D7" w:rsidTr="004805DE">
        <w:tc>
          <w:tcPr>
            <w:tcW w:w="1455" w:type="dxa"/>
            <w:vMerge/>
          </w:tcPr>
          <w:p w:rsidR="00D12B0C" w:rsidRPr="000700D7" w:rsidRDefault="00D12B0C" w:rsidP="00D12B0C">
            <w:pPr>
              <w:spacing w:after="0"/>
              <w:rPr>
                <w:rFonts w:cstheme="minorHAnsi"/>
                <w:sz w:val="24"/>
                <w:szCs w:val="24"/>
              </w:rPr>
            </w:pPr>
          </w:p>
        </w:tc>
        <w:tc>
          <w:tcPr>
            <w:tcW w:w="1497" w:type="dxa"/>
            <w:vMerge/>
          </w:tcPr>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Revers</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TCTTGCTTTTCAGCCCTCTTCA</w:t>
            </w:r>
          </w:p>
        </w:tc>
      </w:tr>
      <w:tr w:rsidR="00D12B0C" w:rsidRPr="000700D7" w:rsidTr="004805DE">
        <w:tc>
          <w:tcPr>
            <w:tcW w:w="1455" w:type="dxa"/>
            <w:vMerge w:val="restart"/>
          </w:tcPr>
          <w:p w:rsidR="00D12B0C" w:rsidRPr="000700D7" w:rsidRDefault="00D12B0C" w:rsidP="00D12B0C">
            <w:pPr>
              <w:spacing w:after="0"/>
              <w:rPr>
                <w:rFonts w:cstheme="minorHAnsi"/>
                <w:sz w:val="24"/>
                <w:szCs w:val="24"/>
              </w:rPr>
            </w:pPr>
            <w:r w:rsidRPr="000700D7">
              <w:rPr>
                <w:rFonts w:cstheme="minorHAnsi"/>
                <w:sz w:val="24"/>
                <w:szCs w:val="24"/>
              </w:rPr>
              <w:t>CXCL8</w:t>
            </w:r>
          </w:p>
        </w:tc>
        <w:tc>
          <w:tcPr>
            <w:tcW w:w="1497" w:type="dxa"/>
            <w:vMerge w:val="restart"/>
          </w:tcPr>
          <w:p w:rsidR="00D12B0C" w:rsidRPr="000700D7" w:rsidRDefault="00D12B0C" w:rsidP="00D12B0C">
            <w:pPr>
              <w:spacing w:after="0"/>
              <w:rPr>
                <w:rFonts w:cstheme="minorHAnsi"/>
                <w:sz w:val="24"/>
                <w:szCs w:val="24"/>
              </w:rPr>
            </w:pPr>
            <w:r w:rsidRPr="000700D7">
              <w:rPr>
                <w:rFonts w:cstheme="minorHAnsi"/>
                <w:sz w:val="24"/>
                <w:szCs w:val="24"/>
              </w:rPr>
              <w:t>Human</w:t>
            </w: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Forward</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CCCAGAAAGCTGTGATCTTCAA</w:t>
            </w:r>
          </w:p>
        </w:tc>
      </w:tr>
      <w:tr w:rsidR="00D12B0C" w:rsidRPr="000700D7" w:rsidTr="004805DE">
        <w:tc>
          <w:tcPr>
            <w:tcW w:w="1455" w:type="dxa"/>
            <w:vMerge/>
          </w:tcPr>
          <w:p w:rsidR="00D12B0C" w:rsidRPr="000700D7" w:rsidRDefault="00D12B0C" w:rsidP="00D12B0C">
            <w:pPr>
              <w:spacing w:after="0"/>
              <w:rPr>
                <w:rFonts w:cstheme="minorHAnsi"/>
                <w:sz w:val="24"/>
                <w:szCs w:val="24"/>
              </w:rPr>
            </w:pPr>
          </w:p>
        </w:tc>
        <w:tc>
          <w:tcPr>
            <w:tcW w:w="1497" w:type="dxa"/>
            <w:vMerge/>
          </w:tcPr>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Revers</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GAACATTGCCCACACGTGAC</w:t>
            </w:r>
          </w:p>
        </w:tc>
      </w:tr>
      <w:tr w:rsidR="00D12B0C" w:rsidRPr="000700D7" w:rsidTr="004805DE">
        <w:tc>
          <w:tcPr>
            <w:tcW w:w="1455" w:type="dxa"/>
            <w:vMerge w:val="restart"/>
          </w:tcPr>
          <w:p w:rsidR="00D12B0C" w:rsidRPr="000700D7" w:rsidRDefault="00D12B0C" w:rsidP="00D12B0C">
            <w:pPr>
              <w:spacing w:after="0"/>
              <w:rPr>
                <w:rFonts w:cstheme="minorHAnsi"/>
                <w:sz w:val="24"/>
                <w:szCs w:val="24"/>
              </w:rPr>
            </w:pPr>
            <w:r w:rsidRPr="000700D7">
              <w:rPr>
                <w:rFonts w:cstheme="minorHAnsi"/>
                <w:sz w:val="24"/>
                <w:szCs w:val="24"/>
              </w:rPr>
              <w:t>CXCL2</w:t>
            </w:r>
          </w:p>
        </w:tc>
        <w:tc>
          <w:tcPr>
            <w:tcW w:w="1497" w:type="dxa"/>
            <w:vMerge w:val="restart"/>
          </w:tcPr>
          <w:p w:rsidR="00D12B0C" w:rsidRPr="000700D7" w:rsidRDefault="00D12B0C" w:rsidP="00D12B0C">
            <w:pPr>
              <w:spacing w:after="0"/>
              <w:rPr>
                <w:rFonts w:cstheme="minorHAnsi"/>
                <w:sz w:val="24"/>
                <w:szCs w:val="24"/>
              </w:rPr>
            </w:pPr>
            <w:r>
              <w:rPr>
                <w:rFonts w:cstheme="minorHAnsi"/>
                <w:sz w:val="24"/>
                <w:szCs w:val="24"/>
              </w:rPr>
              <w:t>Human</w:t>
            </w:r>
          </w:p>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Forward</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CCAACCACCAGGCTACAGG</w:t>
            </w:r>
          </w:p>
        </w:tc>
      </w:tr>
      <w:tr w:rsidR="00D12B0C" w:rsidRPr="000700D7" w:rsidTr="004805DE">
        <w:tc>
          <w:tcPr>
            <w:tcW w:w="1455" w:type="dxa"/>
            <w:vMerge/>
          </w:tcPr>
          <w:p w:rsidR="00D12B0C" w:rsidRPr="000700D7" w:rsidRDefault="00D12B0C" w:rsidP="00D12B0C">
            <w:pPr>
              <w:spacing w:after="0"/>
              <w:rPr>
                <w:rFonts w:cstheme="minorHAnsi"/>
                <w:sz w:val="24"/>
                <w:szCs w:val="24"/>
              </w:rPr>
            </w:pPr>
          </w:p>
        </w:tc>
        <w:tc>
          <w:tcPr>
            <w:tcW w:w="1497" w:type="dxa"/>
            <w:vMerge/>
          </w:tcPr>
          <w:p w:rsidR="00D12B0C" w:rsidRPr="000700D7" w:rsidRDefault="00D12B0C" w:rsidP="00D12B0C">
            <w:pPr>
              <w:spacing w:after="0"/>
              <w:rPr>
                <w:rFonts w:cstheme="minorHAnsi"/>
                <w:sz w:val="24"/>
                <w:szCs w:val="24"/>
              </w:rPr>
            </w:pPr>
          </w:p>
        </w:tc>
        <w:tc>
          <w:tcPr>
            <w:tcW w:w="1206" w:type="dxa"/>
          </w:tcPr>
          <w:p w:rsidR="00D12B0C" w:rsidRPr="000700D7" w:rsidRDefault="00D12B0C" w:rsidP="00D12B0C">
            <w:pPr>
              <w:spacing w:after="0"/>
              <w:rPr>
                <w:rFonts w:cstheme="minorHAnsi"/>
                <w:sz w:val="24"/>
                <w:szCs w:val="24"/>
              </w:rPr>
            </w:pPr>
            <w:r w:rsidRPr="000700D7">
              <w:rPr>
                <w:rFonts w:cstheme="minorHAnsi"/>
                <w:sz w:val="24"/>
                <w:szCs w:val="24"/>
              </w:rPr>
              <w:t>Revers</w:t>
            </w:r>
          </w:p>
        </w:tc>
        <w:tc>
          <w:tcPr>
            <w:tcW w:w="4698" w:type="dxa"/>
          </w:tcPr>
          <w:p w:rsidR="00D12B0C" w:rsidRPr="000700D7" w:rsidRDefault="00D12B0C" w:rsidP="00D12B0C">
            <w:pPr>
              <w:spacing w:after="0"/>
              <w:rPr>
                <w:rFonts w:cstheme="minorHAnsi"/>
                <w:sz w:val="24"/>
                <w:szCs w:val="24"/>
              </w:rPr>
            </w:pPr>
            <w:r w:rsidRPr="000700D7">
              <w:rPr>
                <w:rFonts w:cstheme="minorHAnsi"/>
                <w:sz w:val="24"/>
                <w:szCs w:val="24"/>
              </w:rPr>
              <w:t>GCGTCACACTCAAGCTCTG</w:t>
            </w:r>
          </w:p>
        </w:tc>
      </w:tr>
    </w:tbl>
    <w:p w:rsidR="0045117B" w:rsidRDefault="0045117B" w:rsidP="00FF7A40">
      <w:pPr>
        <w:spacing w:line="360" w:lineRule="auto"/>
        <w:jc w:val="both"/>
        <w:rPr>
          <w:rFonts w:cs="Times New Roman"/>
          <w:b/>
          <w:sz w:val="24"/>
          <w:szCs w:val="24"/>
        </w:rPr>
      </w:pPr>
    </w:p>
    <w:p w:rsidR="00FF7A40" w:rsidRPr="00494C33" w:rsidRDefault="00FF7A40" w:rsidP="00FF7A40">
      <w:pPr>
        <w:spacing w:line="360" w:lineRule="auto"/>
        <w:jc w:val="both"/>
        <w:rPr>
          <w:rFonts w:cs="Times New Roman"/>
          <w:b/>
          <w:sz w:val="24"/>
          <w:szCs w:val="24"/>
        </w:rPr>
      </w:pPr>
      <w:r w:rsidRPr="00494C33">
        <w:rPr>
          <w:rFonts w:cs="Times New Roman"/>
          <w:b/>
          <w:sz w:val="24"/>
          <w:szCs w:val="24"/>
        </w:rPr>
        <w:t>Western blot analysis</w:t>
      </w:r>
    </w:p>
    <w:p w:rsidR="00FF7A40" w:rsidRDefault="00FF7A40" w:rsidP="00FF7A40">
      <w:pPr>
        <w:spacing w:line="360" w:lineRule="auto"/>
        <w:jc w:val="both"/>
        <w:rPr>
          <w:rFonts w:cs="Times New Roman"/>
          <w:sz w:val="24"/>
          <w:szCs w:val="24"/>
        </w:rPr>
      </w:pPr>
      <w:r w:rsidRPr="00494C33">
        <w:rPr>
          <w:rFonts w:cs="Times New Roman"/>
          <w:sz w:val="24"/>
          <w:szCs w:val="24"/>
        </w:rPr>
        <w:t xml:space="preserve">Protein extracted from primary human hepatocyte was run on 10 % SDS acrylamide gel and the gels were transferred on to the PVDF membrane </w:t>
      </w:r>
      <w:r>
        <w:rPr>
          <w:rFonts w:cs="Times New Roman"/>
          <w:sz w:val="24"/>
          <w:szCs w:val="24"/>
        </w:rPr>
        <w:t xml:space="preserve">(Millipore, USA) </w:t>
      </w:r>
      <w:r w:rsidRPr="00494C33">
        <w:rPr>
          <w:rFonts w:cs="Times New Roman"/>
          <w:sz w:val="24"/>
          <w:szCs w:val="24"/>
        </w:rPr>
        <w:t xml:space="preserve">and subjected to blocking with </w:t>
      </w:r>
      <w:r>
        <w:rPr>
          <w:rFonts w:cs="Times New Roman"/>
          <w:sz w:val="24"/>
          <w:szCs w:val="24"/>
        </w:rPr>
        <w:t xml:space="preserve">5% </w:t>
      </w:r>
      <w:r w:rsidRPr="00494C33">
        <w:rPr>
          <w:rFonts w:cs="Times New Roman"/>
          <w:sz w:val="24"/>
          <w:szCs w:val="24"/>
        </w:rPr>
        <w:t>d</w:t>
      </w:r>
      <w:r>
        <w:rPr>
          <w:rFonts w:cs="Times New Roman"/>
          <w:sz w:val="24"/>
          <w:szCs w:val="24"/>
        </w:rPr>
        <w:t>ry milk or bovine serum albumin</w:t>
      </w:r>
      <w:r w:rsidRPr="00494C33">
        <w:rPr>
          <w:rFonts w:cs="Times New Roman"/>
          <w:sz w:val="24"/>
          <w:szCs w:val="24"/>
        </w:rPr>
        <w:t>. Blots were incubated with antibodies such as anti-caspase-3 (Cell Signaling Technology), anti-PARP (abcam), anti-GAPDH</w:t>
      </w:r>
      <w:r w:rsidRPr="00494C33">
        <w:t xml:space="preserve"> </w:t>
      </w:r>
      <w:r w:rsidRPr="00494C33">
        <w:rPr>
          <w:rFonts w:cs="Times New Roman"/>
          <w:sz w:val="24"/>
          <w:szCs w:val="24"/>
        </w:rPr>
        <w:t>(</w:t>
      </w:r>
      <w:r w:rsidR="000700D7" w:rsidRPr="00494C33">
        <w:rPr>
          <w:rFonts w:cs="Times New Roman"/>
          <w:sz w:val="24"/>
          <w:szCs w:val="24"/>
        </w:rPr>
        <w:t>Proteintech</w:t>
      </w:r>
      <w:r w:rsidRPr="00494C33">
        <w:rPr>
          <w:rFonts w:cs="Times New Roman"/>
          <w:sz w:val="24"/>
          <w:szCs w:val="24"/>
        </w:rPr>
        <w:t>), MCP-1 (R&amp;D system), Phospho-Akt and Akt (Cell signaling),</w:t>
      </w:r>
      <w:r w:rsidRPr="00595AD1">
        <w:rPr>
          <w:rFonts w:cs="Times New Roman"/>
          <w:sz w:val="24"/>
          <w:szCs w:val="24"/>
        </w:rPr>
        <w:t xml:space="preserve"> </w:t>
      </w:r>
      <w:r w:rsidRPr="00494C33">
        <w:rPr>
          <w:rFonts w:cs="Times New Roman"/>
          <w:sz w:val="24"/>
          <w:szCs w:val="24"/>
        </w:rPr>
        <w:t>Phospho-</w:t>
      </w:r>
      <w:r>
        <w:rPr>
          <w:rFonts w:cs="Times New Roman"/>
          <w:sz w:val="24"/>
          <w:szCs w:val="24"/>
        </w:rPr>
        <w:t>PI3K</w:t>
      </w:r>
      <w:r w:rsidRPr="00494C33">
        <w:rPr>
          <w:rFonts w:cs="Times New Roman"/>
          <w:sz w:val="24"/>
          <w:szCs w:val="24"/>
        </w:rPr>
        <w:t xml:space="preserve"> and </w:t>
      </w:r>
      <w:r>
        <w:rPr>
          <w:rFonts w:cs="Times New Roman"/>
          <w:sz w:val="24"/>
          <w:szCs w:val="24"/>
        </w:rPr>
        <w:t>PI3K</w:t>
      </w:r>
      <w:r w:rsidRPr="00494C33">
        <w:rPr>
          <w:rFonts w:cs="Times New Roman"/>
          <w:sz w:val="24"/>
          <w:szCs w:val="24"/>
        </w:rPr>
        <w:t xml:space="preserve"> (Cell signaling)</w:t>
      </w:r>
      <w:r>
        <w:rPr>
          <w:rFonts w:cs="Times New Roman"/>
          <w:sz w:val="24"/>
          <w:szCs w:val="24"/>
        </w:rPr>
        <w:t xml:space="preserve">, </w:t>
      </w:r>
      <w:r w:rsidRPr="00494C33">
        <w:rPr>
          <w:rFonts w:cs="Times New Roman"/>
          <w:sz w:val="24"/>
          <w:szCs w:val="24"/>
        </w:rPr>
        <w:t xml:space="preserve">RANTES (R&amp;D system), Phospho-p65 (Cell signaling) </w:t>
      </w:r>
      <w:r>
        <w:rPr>
          <w:rFonts w:cs="Times New Roman"/>
          <w:sz w:val="24"/>
          <w:szCs w:val="24"/>
        </w:rPr>
        <w:t>anti-SAA1 (</w:t>
      </w:r>
      <w:r w:rsidRPr="00494C33">
        <w:rPr>
          <w:rFonts w:cs="Times New Roman"/>
          <w:sz w:val="24"/>
          <w:szCs w:val="24"/>
        </w:rPr>
        <w:t>abcam</w:t>
      </w:r>
      <w:r>
        <w:rPr>
          <w:rFonts w:cs="Times New Roman"/>
          <w:sz w:val="24"/>
          <w:szCs w:val="24"/>
        </w:rPr>
        <w:t xml:space="preserve">) &amp; (R&amp;D system), </w:t>
      </w:r>
      <w:r w:rsidRPr="00494C33">
        <w:rPr>
          <w:rFonts w:cs="Times New Roman"/>
          <w:sz w:val="24"/>
          <w:szCs w:val="24"/>
        </w:rPr>
        <w:t xml:space="preserve">2 hr RT or </w:t>
      </w:r>
      <w:r w:rsidRPr="00494C33">
        <w:rPr>
          <w:rFonts w:cs="Times New Roman"/>
          <w:sz w:val="24"/>
          <w:szCs w:val="24"/>
        </w:rPr>
        <w:lastRenderedPageBreak/>
        <w:t xml:space="preserve">overnight at 4 </w:t>
      </w:r>
      <w:r w:rsidRPr="00494C33">
        <w:rPr>
          <w:rFonts w:cs="Times New Roman"/>
          <w:sz w:val="24"/>
          <w:szCs w:val="24"/>
          <w:vertAlign w:val="superscript"/>
        </w:rPr>
        <w:t>0</w:t>
      </w:r>
      <w:r w:rsidRPr="00494C33">
        <w:rPr>
          <w:rFonts w:cs="Times New Roman"/>
          <w:sz w:val="24"/>
          <w:szCs w:val="24"/>
        </w:rPr>
        <w:t xml:space="preserve">C. After incubation with secondary horse anti-Rabbit or Goat anti-Mouse antibodies (abcam), the bands were </w:t>
      </w:r>
      <w:r>
        <w:rPr>
          <w:rFonts w:cs="Times New Roman"/>
          <w:sz w:val="24"/>
          <w:szCs w:val="24"/>
        </w:rPr>
        <w:t>developed using substrate (Thermo Scientific). The signal was detected using immobilon</w:t>
      </w:r>
      <w:r w:rsidRPr="00922B28">
        <w:rPr>
          <w:rFonts w:cs="Times New Roman"/>
          <w:sz w:val="24"/>
          <w:szCs w:val="24"/>
          <w:vertAlign w:val="superscript"/>
        </w:rPr>
        <w:t>TM</w:t>
      </w:r>
      <w:r>
        <w:rPr>
          <w:rFonts w:cs="Times New Roman"/>
          <w:sz w:val="24"/>
          <w:szCs w:val="24"/>
        </w:rPr>
        <w:t xml:space="preserve"> </w:t>
      </w:r>
      <w:r w:rsidRPr="00183669">
        <w:rPr>
          <w:rFonts w:cs="Times New Roman"/>
          <w:sz w:val="24"/>
          <w:szCs w:val="24"/>
        </w:rPr>
        <w:t>Western Chemiluminescent HRP Substrate</w:t>
      </w:r>
      <w:r>
        <w:rPr>
          <w:rFonts w:cs="Times New Roman"/>
          <w:sz w:val="24"/>
          <w:szCs w:val="24"/>
        </w:rPr>
        <w:t xml:space="preserve"> (Millipore) and </w:t>
      </w:r>
      <w:r w:rsidRPr="00494C33">
        <w:rPr>
          <w:rFonts w:cs="Times New Roman"/>
          <w:sz w:val="24"/>
          <w:szCs w:val="24"/>
        </w:rPr>
        <w:t xml:space="preserve">visualized by the enhanced chemiluminescence light method </w:t>
      </w:r>
      <w:r w:rsidRPr="00183669">
        <w:rPr>
          <w:rFonts w:cs="Times New Roman"/>
          <w:sz w:val="24"/>
          <w:szCs w:val="24"/>
        </w:rPr>
        <w:t>Tanon image system (Shanghai, China).</w:t>
      </w:r>
      <w:r w:rsidRPr="00494C33">
        <w:rPr>
          <w:rFonts w:cs="Times New Roman"/>
          <w:sz w:val="24"/>
          <w:szCs w:val="24"/>
        </w:rPr>
        <w:t xml:space="preserve"> </w:t>
      </w:r>
    </w:p>
    <w:p w:rsidR="00BD3854" w:rsidRDefault="00BD3854" w:rsidP="00BD3854">
      <w:pPr>
        <w:spacing w:line="360" w:lineRule="auto"/>
        <w:jc w:val="both"/>
        <w:rPr>
          <w:rFonts w:cs="Times New Roman"/>
          <w:sz w:val="24"/>
          <w:szCs w:val="24"/>
        </w:rPr>
      </w:pPr>
    </w:p>
    <w:p w:rsidR="00BD3854" w:rsidRDefault="00BD3854" w:rsidP="00BD3854">
      <w:pPr>
        <w:spacing w:line="360" w:lineRule="auto"/>
        <w:jc w:val="both"/>
        <w:rPr>
          <w:rFonts w:cs="Times New Roman"/>
          <w:sz w:val="24"/>
          <w:szCs w:val="24"/>
        </w:rPr>
      </w:pPr>
    </w:p>
    <w:p w:rsidR="00BD3854" w:rsidRDefault="00BD3854" w:rsidP="00BD3854">
      <w:pPr>
        <w:spacing w:line="360" w:lineRule="auto"/>
        <w:jc w:val="both"/>
        <w:rPr>
          <w:rFonts w:cs="Times New Roman"/>
          <w:sz w:val="24"/>
          <w:szCs w:val="24"/>
        </w:rPr>
      </w:pPr>
    </w:p>
    <w:sectPr w:rsidR="00BD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40"/>
    <w:rsid w:val="00042AE0"/>
    <w:rsid w:val="000700D7"/>
    <w:rsid w:val="000A611E"/>
    <w:rsid w:val="000B249F"/>
    <w:rsid w:val="000B7AD8"/>
    <w:rsid w:val="001A10E0"/>
    <w:rsid w:val="001F090C"/>
    <w:rsid w:val="003A25AB"/>
    <w:rsid w:val="0045117B"/>
    <w:rsid w:val="006B080F"/>
    <w:rsid w:val="006E5C3E"/>
    <w:rsid w:val="007D3EAF"/>
    <w:rsid w:val="00803956"/>
    <w:rsid w:val="009739F4"/>
    <w:rsid w:val="00A86DDD"/>
    <w:rsid w:val="00B03DE2"/>
    <w:rsid w:val="00BD3854"/>
    <w:rsid w:val="00C520F2"/>
    <w:rsid w:val="00D12B0C"/>
    <w:rsid w:val="00E36F88"/>
    <w:rsid w:val="00EE132B"/>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31ABE-A2BB-455A-B1F3-CC59875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4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17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D4AE-4D9A-4B78-883F-1A00B78B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2021-02-08T02:39:00Z</dcterms:created>
  <dcterms:modified xsi:type="dcterms:W3CDTF">2021-04-18T09:37:00Z</dcterms:modified>
</cp:coreProperties>
</file>