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4E" w:rsidRPr="00895FC0" w:rsidRDefault="004A494E" w:rsidP="004A494E">
      <w:pPr>
        <w:pStyle w:val="ST1-paper"/>
      </w:pPr>
      <w:r>
        <w:t xml:space="preserve">Additional file </w:t>
      </w:r>
      <w:r w:rsidR="0075422F">
        <w:t>10</w:t>
      </w:r>
      <w:bookmarkStart w:id="0" w:name="_GoBack"/>
      <w:bookmarkEnd w:id="0"/>
      <w:r>
        <w:t xml:space="preserve">. </w:t>
      </w:r>
      <w:r w:rsidRPr="00895FC0">
        <w:t>Achievement of learning objectives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785"/>
        <w:gridCol w:w="787"/>
        <w:gridCol w:w="1409"/>
        <w:gridCol w:w="1409"/>
        <w:gridCol w:w="1270"/>
        <w:gridCol w:w="1194"/>
        <w:gridCol w:w="764"/>
      </w:tblGrid>
      <w:tr w:rsidR="004A494E" w:rsidRPr="00A212FF" w:rsidTr="00E7178C">
        <w:trPr>
          <w:trHeight w:val="264"/>
        </w:trPr>
        <w:tc>
          <w:tcPr>
            <w:tcW w:w="5332" w:type="dxa"/>
            <w:noWrap/>
            <w:hideMark/>
          </w:tcPr>
          <w:p w:rsidR="004A494E" w:rsidRPr="00A212FF" w:rsidRDefault="004A494E" w:rsidP="00E7178C">
            <w:pPr>
              <w:keepNext/>
              <w:keepLines/>
              <w:spacing w:before="40"/>
              <w:outlineLvl w:val="3"/>
              <w:rPr>
                <w:i/>
                <w:iCs/>
                <w:color w:val="2E74B5" w:themeColor="accent1" w:themeShade="BF"/>
                <w:lang w:val="en-CA"/>
              </w:rPr>
            </w:pPr>
            <w:r w:rsidRPr="00A212FF">
              <w:rPr>
                <w:lang w:val="en-CA"/>
              </w:rPr>
              <w:t>Items</w:t>
            </w:r>
            <w:r w:rsidRPr="00A212FF">
              <w:rPr>
                <w:i/>
                <w:iCs/>
                <w:color w:val="2E74B5" w:themeColor="accent1" w:themeShade="BF"/>
                <w:lang w:val="en-CA"/>
              </w:rPr>
              <w:t xml:space="preserve"> </w:t>
            </w:r>
          </w:p>
          <w:p w:rsidR="004A494E" w:rsidRPr="00A212FF" w:rsidRDefault="004A494E" w:rsidP="00E7178C">
            <w:pPr>
              <w:rPr>
                <w:rFonts w:eastAsiaTheme="majorEastAsia"/>
                <w:lang w:val="en-CA"/>
              </w:rPr>
            </w:pPr>
            <w:r w:rsidRPr="00A212FF">
              <w:rPr>
                <w:lang w:val="en-CA"/>
              </w:rPr>
              <w:t xml:space="preserve">(The virtual simulation make it possible to…) 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</w:p>
        </w:tc>
        <w:tc>
          <w:tcPr>
            <w:tcW w:w="785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m (SD)</w:t>
            </w:r>
          </w:p>
        </w:tc>
        <w:tc>
          <w:tcPr>
            <w:tcW w:w="787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Med (IQR)</w:t>
            </w:r>
          </w:p>
        </w:tc>
        <w:tc>
          <w:tcPr>
            <w:tcW w:w="1409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 xml:space="preserve">1 – 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Strongly disagree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  <w:proofErr w:type="gramStart"/>
            <w:r w:rsidRPr="00A212FF">
              <w:rPr>
                <w:lang w:val="en-CA"/>
              </w:rPr>
              <w:t>n</w:t>
            </w:r>
            <w:proofErr w:type="gramEnd"/>
            <w:r w:rsidRPr="00A212FF">
              <w:rPr>
                <w:lang w:val="en-CA"/>
              </w:rPr>
              <w:t xml:space="preserve"> (%)</w:t>
            </w:r>
          </w:p>
        </w:tc>
        <w:tc>
          <w:tcPr>
            <w:tcW w:w="1409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 xml:space="preserve">2 – 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Disagree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</w:p>
          <w:p w:rsidR="004A494E" w:rsidRPr="00A212FF" w:rsidRDefault="004A494E" w:rsidP="00E7178C">
            <w:pPr>
              <w:rPr>
                <w:lang w:val="en-CA"/>
              </w:rPr>
            </w:pPr>
            <w:proofErr w:type="gramStart"/>
            <w:r w:rsidRPr="00A212FF">
              <w:rPr>
                <w:lang w:val="en-CA"/>
              </w:rPr>
              <w:t>n(</w:t>
            </w:r>
            <w:proofErr w:type="gramEnd"/>
            <w:r w:rsidRPr="00A212FF">
              <w:rPr>
                <w:lang w:val="en-CA"/>
              </w:rPr>
              <w:t>%)</w:t>
            </w:r>
          </w:p>
        </w:tc>
        <w:tc>
          <w:tcPr>
            <w:tcW w:w="1270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 xml:space="preserve">3 – 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Agree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</w:p>
          <w:p w:rsidR="004A494E" w:rsidRPr="00A212FF" w:rsidRDefault="004A494E" w:rsidP="00E7178C">
            <w:pPr>
              <w:rPr>
                <w:lang w:val="en-CA"/>
              </w:rPr>
            </w:pPr>
            <w:proofErr w:type="gramStart"/>
            <w:r w:rsidRPr="00A212FF">
              <w:rPr>
                <w:lang w:val="en-CA"/>
              </w:rPr>
              <w:t>n(</w:t>
            </w:r>
            <w:proofErr w:type="gramEnd"/>
            <w:r w:rsidRPr="00A212FF">
              <w:rPr>
                <w:lang w:val="en-CA"/>
              </w:rPr>
              <w:t>%)</w:t>
            </w:r>
          </w:p>
        </w:tc>
        <w:tc>
          <w:tcPr>
            <w:tcW w:w="1194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 xml:space="preserve">4 – 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Strongly agree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 xml:space="preserve"> </w:t>
            </w:r>
            <w:proofErr w:type="gramStart"/>
            <w:r w:rsidRPr="00A212FF">
              <w:rPr>
                <w:lang w:val="en-CA"/>
              </w:rPr>
              <w:t>n(</w:t>
            </w:r>
            <w:proofErr w:type="gramEnd"/>
            <w:r w:rsidRPr="00A212FF">
              <w:rPr>
                <w:lang w:val="en-CA"/>
              </w:rPr>
              <w:t>%)</w:t>
            </w:r>
          </w:p>
        </w:tc>
        <w:tc>
          <w:tcPr>
            <w:tcW w:w="764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N/A</w:t>
            </w:r>
            <w:r w:rsidRPr="00A212FF">
              <w:rPr>
                <w:vertAlign w:val="superscript"/>
                <w:lang w:val="en-CA"/>
              </w:rPr>
              <w:t>a</w:t>
            </w:r>
          </w:p>
          <w:p w:rsidR="004A494E" w:rsidRPr="00A212FF" w:rsidRDefault="004A494E" w:rsidP="00E7178C">
            <w:pPr>
              <w:rPr>
                <w:lang w:val="en-CA"/>
              </w:rPr>
            </w:pPr>
          </w:p>
          <w:p w:rsidR="004A494E" w:rsidRPr="00A212FF" w:rsidRDefault="004A494E" w:rsidP="00E7178C">
            <w:pPr>
              <w:rPr>
                <w:lang w:val="en-CA"/>
              </w:rPr>
            </w:pPr>
          </w:p>
          <w:p w:rsidR="004A494E" w:rsidRPr="00A212FF" w:rsidRDefault="004A494E" w:rsidP="00E7178C">
            <w:pPr>
              <w:rPr>
                <w:lang w:val="en-CA"/>
              </w:rPr>
            </w:pPr>
            <w:proofErr w:type="gramStart"/>
            <w:r w:rsidRPr="00A212FF">
              <w:rPr>
                <w:lang w:val="en-CA"/>
              </w:rPr>
              <w:t>n(</w:t>
            </w:r>
            <w:proofErr w:type="gramEnd"/>
            <w:r w:rsidRPr="00A212FF">
              <w:rPr>
                <w:lang w:val="en-CA"/>
              </w:rPr>
              <w:t>%)</w:t>
            </w:r>
          </w:p>
        </w:tc>
      </w:tr>
      <w:tr w:rsidR="004A494E" w:rsidRPr="00A212FF" w:rsidTr="00E7178C">
        <w:trPr>
          <w:trHeight w:val="264"/>
        </w:trPr>
        <w:tc>
          <w:tcPr>
            <w:tcW w:w="5332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Spot traps in nursing interventions that can shut down communication with the patient.</w:t>
            </w:r>
          </w:p>
        </w:tc>
        <w:tc>
          <w:tcPr>
            <w:tcW w:w="785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3.58 (0.5)</w:t>
            </w:r>
          </w:p>
        </w:tc>
        <w:tc>
          <w:tcPr>
            <w:tcW w:w="787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4 (1)</w:t>
            </w:r>
          </w:p>
        </w:tc>
        <w:tc>
          <w:tcPr>
            <w:tcW w:w="1409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409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270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11 (41)</w:t>
            </w:r>
          </w:p>
        </w:tc>
        <w:tc>
          <w:tcPr>
            <w:tcW w:w="1194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15 (56)</w:t>
            </w:r>
          </w:p>
        </w:tc>
        <w:tc>
          <w:tcPr>
            <w:tcW w:w="764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 (4)</w:t>
            </w:r>
          </w:p>
        </w:tc>
      </w:tr>
      <w:tr w:rsidR="004A494E" w:rsidRPr="00A212FF" w:rsidTr="00E7178C">
        <w:trPr>
          <w:trHeight w:val="264"/>
        </w:trPr>
        <w:tc>
          <w:tcPr>
            <w:tcW w:w="5332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Identify nursing interventions that optimize openness to the patient’s experience.</w:t>
            </w:r>
          </w:p>
        </w:tc>
        <w:tc>
          <w:tcPr>
            <w:tcW w:w="785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3.54 (0.51)</w:t>
            </w:r>
          </w:p>
        </w:tc>
        <w:tc>
          <w:tcPr>
            <w:tcW w:w="787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4 (1)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270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12 (44)</w:t>
            </w:r>
          </w:p>
        </w:tc>
        <w:tc>
          <w:tcPr>
            <w:tcW w:w="119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14 (52)</w:t>
            </w:r>
          </w:p>
        </w:tc>
        <w:tc>
          <w:tcPr>
            <w:tcW w:w="76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 (4)</w:t>
            </w:r>
          </w:p>
        </w:tc>
      </w:tr>
      <w:tr w:rsidR="004A494E" w:rsidRPr="00A212FF" w:rsidTr="00E7178C">
        <w:trPr>
          <w:trHeight w:val="264"/>
        </w:trPr>
        <w:tc>
          <w:tcPr>
            <w:tcW w:w="5332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Apply nursing interventions that elicit change talk.</w:t>
            </w:r>
          </w:p>
        </w:tc>
        <w:tc>
          <w:tcPr>
            <w:tcW w:w="785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3.48 (0.51)</w:t>
            </w:r>
          </w:p>
        </w:tc>
        <w:tc>
          <w:tcPr>
            <w:tcW w:w="787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 (1)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270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14 (52)</w:t>
            </w:r>
          </w:p>
        </w:tc>
        <w:tc>
          <w:tcPr>
            <w:tcW w:w="119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13 (48)</w:t>
            </w:r>
          </w:p>
        </w:tc>
        <w:tc>
          <w:tcPr>
            <w:tcW w:w="76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</w:tr>
      <w:tr w:rsidR="004A494E" w:rsidRPr="00A212FF" w:rsidTr="00E7178C">
        <w:trPr>
          <w:trHeight w:val="264"/>
        </w:trPr>
        <w:tc>
          <w:tcPr>
            <w:tcW w:w="5332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Spot traps in nursing inte</w:t>
            </w:r>
            <w:r>
              <w:rPr>
                <w:lang w:val="en-CA"/>
              </w:rPr>
              <w:t xml:space="preserve">rventions that enable the </w:t>
            </w:r>
            <w:proofErr w:type="spellStart"/>
            <w:r>
              <w:rPr>
                <w:lang w:val="en-CA"/>
              </w:rPr>
              <w:t>statu</w:t>
            </w:r>
            <w:proofErr w:type="spellEnd"/>
            <w:r w:rsidRPr="00A212FF">
              <w:rPr>
                <w:lang w:val="en-CA"/>
              </w:rPr>
              <w:t xml:space="preserve"> quo (sustain talk).</w:t>
            </w:r>
          </w:p>
        </w:tc>
        <w:tc>
          <w:tcPr>
            <w:tcW w:w="785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3.41 (0.5)</w:t>
            </w:r>
          </w:p>
        </w:tc>
        <w:tc>
          <w:tcPr>
            <w:tcW w:w="787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 (1)</w:t>
            </w:r>
          </w:p>
        </w:tc>
        <w:tc>
          <w:tcPr>
            <w:tcW w:w="1409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409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270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16 (59)</w:t>
            </w:r>
          </w:p>
        </w:tc>
        <w:tc>
          <w:tcPr>
            <w:tcW w:w="1194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11 (41)</w:t>
            </w:r>
          </w:p>
        </w:tc>
        <w:tc>
          <w:tcPr>
            <w:tcW w:w="764" w:type="dxa"/>
            <w:noWrap/>
            <w:hideMark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</w:tr>
      <w:tr w:rsidR="004A494E" w:rsidRPr="00A212FF" w:rsidTr="00E7178C">
        <w:trPr>
          <w:trHeight w:val="264"/>
        </w:trPr>
        <w:tc>
          <w:tcPr>
            <w:tcW w:w="5332" w:type="dxa"/>
            <w:noWrap/>
          </w:tcPr>
          <w:p w:rsidR="004A494E" w:rsidRPr="00A212FF" w:rsidRDefault="004A494E" w:rsidP="00E7178C">
            <w:pPr>
              <w:contextualSpacing/>
              <w:rPr>
                <w:lang w:val="en-CA"/>
              </w:rPr>
            </w:pPr>
            <w:r w:rsidRPr="00A212FF">
              <w:rPr>
                <w:lang w:val="en-CA"/>
              </w:rPr>
              <w:t>Identify cues in the patient’s speech that reflect change talk.</w:t>
            </w:r>
          </w:p>
        </w:tc>
        <w:tc>
          <w:tcPr>
            <w:tcW w:w="785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3.42 (0.5)</w:t>
            </w:r>
          </w:p>
        </w:tc>
        <w:tc>
          <w:tcPr>
            <w:tcW w:w="787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 (1)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270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15 (56)</w:t>
            </w:r>
          </w:p>
        </w:tc>
        <w:tc>
          <w:tcPr>
            <w:tcW w:w="119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11 (41)</w:t>
            </w:r>
          </w:p>
        </w:tc>
        <w:tc>
          <w:tcPr>
            <w:tcW w:w="76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 (4)</w:t>
            </w:r>
          </w:p>
        </w:tc>
      </w:tr>
      <w:tr w:rsidR="004A494E" w:rsidRPr="00A212FF" w:rsidTr="00E7178C">
        <w:trPr>
          <w:trHeight w:val="264"/>
        </w:trPr>
        <w:tc>
          <w:tcPr>
            <w:tcW w:w="5332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Target the key elements that are important to include in providing information to the patient.</w:t>
            </w:r>
          </w:p>
        </w:tc>
        <w:tc>
          <w:tcPr>
            <w:tcW w:w="785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3.37 (0.56)</w:t>
            </w:r>
          </w:p>
        </w:tc>
        <w:tc>
          <w:tcPr>
            <w:tcW w:w="787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 (1)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 (4)</w:t>
            </w:r>
          </w:p>
        </w:tc>
        <w:tc>
          <w:tcPr>
            <w:tcW w:w="1270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15 (56)</w:t>
            </w:r>
          </w:p>
        </w:tc>
        <w:tc>
          <w:tcPr>
            <w:tcW w:w="119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11 (41)</w:t>
            </w:r>
          </w:p>
        </w:tc>
        <w:tc>
          <w:tcPr>
            <w:tcW w:w="76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</w:tr>
      <w:tr w:rsidR="004A494E" w:rsidRPr="00A212FF" w:rsidTr="00E7178C">
        <w:trPr>
          <w:trHeight w:val="264"/>
        </w:trPr>
        <w:tc>
          <w:tcPr>
            <w:tcW w:w="5332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 xml:space="preserve">Identify principles to build an action plan with the patient. </w:t>
            </w:r>
          </w:p>
        </w:tc>
        <w:tc>
          <w:tcPr>
            <w:tcW w:w="785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3.38 (0.5)</w:t>
            </w:r>
          </w:p>
        </w:tc>
        <w:tc>
          <w:tcPr>
            <w:tcW w:w="787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 (1)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270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16 (59)</w:t>
            </w:r>
          </w:p>
        </w:tc>
        <w:tc>
          <w:tcPr>
            <w:tcW w:w="119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10 (37)</w:t>
            </w:r>
          </w:p>
        </w:tc>
        <w:tc>
          <w:tcPr>
            <w:tcW w:w="76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 (4)</w:t>
            </w:r>
          </w:p>
        </w:tc>
      </w:tr>
      <w:tr w:rsidR="004A494E" w:rsidRPr="00A212FF" w:rsidTr="00E7178C">
        <w:trPr>
          <w:trHeight w:val="264"/>
        </w:trPr>
        <w:tc>
          <w:tcPr>
            <w:tcW w:w="5332" w:type="dxa"/>
            <w:noWrap/>
          </w:tcPr>
          <w:p w:rsidR="004A494E" w:rsidRPr="00A212FF" w:rsidRDefault="004A494E" w:rsidP="00E7178C">
            <w:pPr>
              <w:contextualSpacing/>
              <w:rPr>
                <w:lang w:val="en-CA"/>
              </w:rPr>
            </w:pPr>
            <w:r w:rsidRPr="00A212FF">
              <w:rPr>
                <w:lang w:val="en-CA"/>
              </w:rPr>
              <w:t>Describe the principles consistent with MI that structure information sharing with the patient.</w:t>
            </w:r>
          </w:p>
        </w:tc>
        <w:tc>
          <w:tcPr>
            <w:tcW w:w="785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3.35 (0.49)</w:t>
            </w:r>
          </w:p>
        </w:tc>
        <w:tc>
          <w:tcPr>
            <w:tcW w:w="787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3 (1)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409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0 (0)</w:t>
            </w:r>
          </w:p>
        </w:tc>
        <w:tc>
          <w:tcPr>
            <w:tcW w:w="1270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17 (63)</w:t>
            </w:r>
          </w:p>
        </w:tc>
        <w:tc>
          <w:tcPr>
            <w:tcW w:w="119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9 (33)</w:t>
            </w:r>
          </w:p>
        </w:tc>
        <w:tc>
          <w:tcPr>
            <w:tcW w:w="764" w:type="dxa"/>
            <w:noWrap/>
          </w:tcPr>
          <w:p w:rsidR="004A494E" w:rsidRPr="00A212FF" w:rsidRDefault="004A494E" w:rsidP="00E7178C">
            <w:pPr>
              <w:rPr>
                <w:lang w:val="en-CA"/>
              </w:rPr>
            </w:pPr>
            <w:r w:rsidRPr="00A212FF">
              <w:rPr>
                <w:lang w:val="en-CA"/>
              </w:rPr>
              <w:t>1 (4)</w:t>
            </w:r>
          </w:p>
        </w:tc>
      </w:tr>
    </w:tbl>
    <w:p w:rsidR="004A494E" w:rsidRPr="00426408" w:rsidRDefault="004A494E" w:rsidP="004A494E">
      <w:pPr>
        <w:rPr>
          <w:rFonts w:cs="Times New Roman"/>
          <w:lang w:val="en-CA"/>
        </w:rPr>
      </w:pPr>
      <w:proofErr w:type="gramStart"/>
      <w:r w:rsidRPr="00426408">
        <w:rPr>
          <w:vertAlign w:val="superscript"/>
          <w:lang w:val="en-CA"/>
        </w:rPr>
        <w:t>a</w:t>
      </w:r>
      <w:proofErr w:type="gramEnd"/>
      <w:r w:rsidRPr="00426408">
        <w:rPr>
          <w:lang w:val="en-CA"/>
        </w:rPr>
        <w:t xml:space="preserve"> N/A: Not applicable means, “I already mastered the topic.”.</w:t>
      </w:r>
    </w:p>
    <w:p w:rsidR="004A494E" w:rsidRPr="00A212FF" w:rsidRDefault="004A494E" w:rsidP="004A494E">
      <w:pPr>
        <w:pStyle w:val="Texte"/>
        <w:rPr>
          <w:lang w:val="en-CA"/>
        </w:rPr>
      </w:pPr>
    </w:p>
    <w:p w:rsidR="001C4AB7" w:rsidRPr="001C4AB7" w:rsidRDefault="001C4AB7">
      <w:pPr>
        <w:rPr>
          <w:lang w:val="en-CA"/>
        </w:rPr>
      </w:pPr>
    </w:p>
    <w:sectPr w:rsidR="001C4AB7" w:rsidRPr="001C4AB7" w:rsidSect="001C4AB7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B7"/>
    <w:rsid w:val="00092795"/>
    <w:rsid w:val="001C4AB7"/>
    <w:rsid w:val="004A494E"/>
    <w:rsid w:val="0075422F"/>
    <w:rsid w:val="00F6157F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9609-9475-45C7-9F8D-76268AD5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4E"/>
    <w:pPr>
      <w:spacing w:after="0" w:line="276" w:lineRule="auto"/>
      <w:jc w:val="both"/>
    </w:pPr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qFormat/>
    <w:rsid w:val="004A494E"/>
    <w:pPr>
      <w:spacing w:after="240" w:line="360" w:lineRule="auto"/>
      <w:jc w:val="both"/>
    </w:pPr>
    <w:rPr>
      <w:rFonts w:ascii="Arial Narrow" w:hAnsi="Arial Narrow"/>
      <w:sz w:val="24"/>
    </w:rPr>
  </w:style>
  <w:style w:type="paragraph" w:customStyle="1" w:styleId="ST1-paper">
    <w:name w:val="ST1-paper"/>
    <w:basedOn w:val="Normal"/>
    <w:next w:val="Normal"/>
    <w:link w:val="ST1-paperChar"/>
    <w:qFormat/>
    <w:rsid w:val="004A494E"/>
    <w:pPr>
      <w:spacing w:before="200" w:after="120"/>
      <w:outlineLvl w:val="3"/>
    </w:pPr>
    <w:rPr>
      <w:rFonts w:ascii="Arial" w:hAnsi="Arial"/>
      <w:b/>
      <w:sz w:val="28"/>
      <w:lang w:val="en-US"/>
    </w:rPr>
  </w:style>
  <w:style w:type="character" w:customStyle="1" w:styleId="ST1-paperChar">
    <w:name w:val="ST1-paper Char"/>
    <w:basedOn w:val="Policepardfaut"/>
    <w:link w:val="ST1-paper"/>
    <w:rsid w:val="004A494E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Rouleau</dc:creator>
  <cp:keywords/>
  <dc:description/>
  <cp:lastModifiedBy>Geneviève Rouleau</cp:lastModifiedBy>
  <cp:revision>4</cp:revision>
  <dcterms:created xsi:type="dcterms:W3CDTF">2020-05-17T16:46:00Z</dcterms:created>
  <dcterms:modified xsi:type="dcterms:W3CDTF">2020-07-01T18:21:00Z</dcterms:modified>
</cp:coreProperties>
</file>