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4CBA0" w14:textId="77777777" w:rsidR="000963A6" w:rsidRPr="000963A6" w:rsidRDefault="000963A6" w:rsidP="000963A6">
      <w:pPr>
        <w:spacing w:beforeLines="100" w:before="312" w:afterLines="100" w:after="312"/>
        <w:rPr>
          <w:rFonts w:ascii="Times New Roman" w:hAnsi="Times New Roman" w:cs="Times New Roman"/>
          <w:b/>
          <w:sz w:val="20"/>
          <w:szCs w:val="20"/>
        </w:rPr>
      </w:pPr>
      <w:r w:rsidRPr="000963A6">
        <w:rPr>
          <w:rFonts w:ascii="Times New Roman" w:hAnsi="Times New Roman" w:cs="Times New Roman"/>
          <w:b/>
          <w:sz w:val="20"/>
          <w:szCs w:val="20"/>
          <w:lang w:val="es-ES"/>
        </w:rPr>
        <w:t>SUPPLEMENT</w:t>
      </w:r>
      <w:r w:rsidRPr="000963A6">
        <w:rPr>
          <w:rFonts w:ascii="Times New Roman" w:hAnsi="Times New Roman" w:cs="Times New Roman"/>
          <w:b/>
          <w:sz w:val="20"/>
          <w:szCs w:val="20"/>
        </w:rPr>
        <w:t>ARY FILE</w:t>
      </w:r>
    </w:p>
    <w:p w14:paraId="231587F2" w14:textId="1F924AF3" w:rsidR="00CA0CC7" w:rsidRDefault="00DA057D" w:rsidP="000963A6">
      <w:pPr>
        <w:spacing w:beforeLines="50" w:before="156" w:afterLines="50" w:after="156" w:line="360" w:lineRule="auto"/>
        <w:jc w:val="left"/>
        <w:rPr>
          <w:rFonts w:ascii="Times New Roman" w:hAnsi="Times New Roman" w:cs="Times New Roman"/>
          <w:b/>
          <w:bCs/>
          <w:sz w:val="20"/>
          <w:szCs w:val="20"/>
        </w:rPr>
      </w:pPr>
      <w:r w:rsidRPr="00DA057D">
        <w:rPr>
          <w:rFonts w:ascii="Times New Roman" w:hAnsi="Times New Roman" w:cs="Times New Roman"/>
          <w:b/>
          <w:bCs/>
          <w:sz w:val="20"/>
          <w:szCs w:val="20"/>
        </w:rPr>
        <w:t>A randomized, double-blind, phase III study to compare the efficacy and safety of GB242 and infliximab when administered with methotrexate in patients with active moderate to severe rheumatoid arthritis</w:t>
      </w:r>
    </w:p>
    <w:p w14:paraId="54A9B4BC" w14:textId="0910D62C" w:rsidR="00A14873" w:rsidRDefault="00A14873" w:rsidP="000963A6">
      <w:pPr>
        <w:spacing w:beforeLines="50" w:before="156" w:afterLines="50" w:after="156" w:line="360" w:lineRule="auto"/>
        <w:jc w:val="left"/>
        <w:rPr>
          <w:rFonts w:ascii="Times New Roman" w:hAnsi="Times New Roman" w:cs="Times New Roman"/>
          <w:b/>
          <w:bCs/>
          <w:sz w:val="20"/>
          <w:szCs w:val="20"/>
        </w:rPr>
      </w:pPr>
    </w:p>
    <w:p w14:paraId="65F50231" w14:textId="0361F216" w:rsidR="00A14873" w:rsidRDefault="00A14873" w:rsidP="000963A6">
      <w:pPr>
        <w:spacing w:beforeLines="50" w:before="156" w:afterLines="50" w:after="156" w:line="360" w:lineRule="auto"/>
        <w:jc w:val="left"/>
        <w:rPr>
          <w:rFonts w:ascii="Times New Roman" w:hAnsi="Times New Roman" w:cs="Times New Roman"/>
          <w:b/>
          <w:bCs/>
          <w:sz w:val="20"/>
          <w:szCs w:val="20"/>
        </w:rPr>
      </w:pPr>
    </w:p>
    <w:p w14:paraId="5F90F920" w14:textId="77777777" w:rsidR="00A14873" w:rsidRDefault="00A14873" w:rsidP="000963A6">
      <w:pPr>
        <w:spacing w:beforeLines="50" w:before="156" w:afterLines="50" w:after="156" w:line="360" w:lineRule="auto"/>
        <w:jc w:val="left"/>
        <w:rPr>
          <w:rFonts w:ascii="Times New Roman" w:hAnsi="Times New Roman" w:cs="Times New Roman"/>
          <w:b/>
          <w:bCs/>
          <w:sz w:val="20"/>
          <w:szCs w:val="20"/>
        </w:rPr>
      </w:pPr>
    </w:p>
    <w:p w14:paraId="3E1483DD" w14:textId="4A55A932" w:rsidR="00743A98" w:rsidRDefault="00CA0CC7">
      <w:pPr>
        <w:pStyle w:val="TOC1"/>
        <w:tabs>
          <w:tab w:val="right" w:leader="dot" w:pos="10456"/>
        </w:tabs>
        <w:rPr>
          <w:rFonts w:eastAsiaTheme="minorEastAsia"/>
          <w:b w:val="0"/>
          <w:bCs w:val="0"/>
          <w:caps w:val="0"/>
          <w:noProof/>
          <w:sz w:val="21"/>
          <w:szCs w:val="24"/>
          <w:lang w:val="en-US"/>
        </w:rPr>
      </w:pPr>
      <w:r>
        <w:rPr>
          <w:rFonts w:ascii="Times New Roman" w:hAnsi="Times New Roman" w:cs="Times New Roman"/>
          <w:b w:val="0"/>
          <w:bCs w:val="0"/>
        </w:rPr>
        <w:fldChar w:fldCharType="begin"/>
      </w:r>
      <w:r>
        <w:rPr>
          <w:rFonts w:ascii="Times New Roman" w:hAnsi="Times New Roman" w:cs="Times New Roman"/>
          <w:b w:val="0"/>
          <w:bCs w:val="0"/>
        </w:rPr>
        <w:instrText xml:space="preserve"> TOC \o "1-3" \h \z \u </w:instrText>
      </w:r>
      <w:r>
        <w:rPr>
          <w:rFonts w:ascii="Times New Roman" w:hAnsi="Times New Roman" w:cs="Times New Roman"/>
          <w:b w:val="0"/>
          <w:bCs w:val="0"/>
        </w:rPr>
        <w:fldChar w:fldCharType="separate"/>
      </w:r>
      <w:hyperlink w:anchor="_Toc65376352" w:history="1">
        <w:r w:rsidR="00743A98" w:rsidRPr="00930BC5">
          <w:rPr>
            <w:rStyle w:val="ac"/>
            <w:rFonts w:ascii="Times New Roman" w:hAnsi="Times New Roman" w:cs="Times New Roman"/>
            <w:noProof/>
          </w:rPr>
          <w:t>Inclusion and exclusion criteria</w:t>
        </w:r>
        <w:r w:rsidR="00743A98">
          <w:rPr>
            <w:noProof/>
            <w:webHidden/>
          </w:rPr>
          <w:tab/>
        </w:r>
        <w:r w:rsidR="00743A98">
          <w:rPr>
            <w:noProof/>
            <w:webHidden/>
          </w:rPr>
          <w:fldChar w:fldCharType="begin"/>
        </w:r>
        <w:r w:rsidR="00743A98">
          <w:rPr>
            <w:noProof/>
            <w:webHidden/>
          </w:rPr>
          <w:instrText xml:space="preserve"> PAGEREF _Toc65376352 \h </w:instrText>
        </w:r>
        <w:r w:rsidR="00743A98">
          <w:rPr>
            <w:noProof/>
            <w:webHidden/>
          </w:rPr>
        </w:r>
        <w:r w:rsidR="00743A98">
          <w:rPr>
            <w:noProof/>
            <w:webHidden/>
          </w:rPr>
          <w:fldChar w:fldCharType="separate"/>
        </w:r>
        <w:r w:rsidR="00743A98">
          <w:rPr>
            <w:noProof/>
            <w:webHidden/>
          </w:rPr>
          <w:t>2</w:t>
        </w:r>
        <w:r w:rsidR="00743A98">
          <w:rPr>
            <w:noProof/>
            <w:webHidden/>
          </w:rPr>
          <w:fldChar w:fldCharType="end"/>
        </w:r>
      </w:hyperlink>
    </w:p>
    <w:p w14:paraId="34138695" w14:textId="30E3C236" w:rsidR="00743A98" w:rsidRDefault="009A48E1">
      <w:pPr>
        <w:pStyle w:val="TOC1"/>
        <w:tabs>
          <w:tab w:val="right" w:leader="dot" w:pos="10456"/>
        </w:tabs>
        <w:rPr>
          <w:rFonts w:eastAsiaTheme="minorEastAsia"/>
          <w:b w:val="0"/>
          <w:bCs w:val="0"/>
          <w:caps w:val="0"/>
          <w:noProof/>
          <w:sz w:val="21"/>
          <w:szCs w:val="24"/>
          <w:lang w:val="en-US"/>
        </w:rPr>
      </w:pPr>
      <w:hyperlink w:anchor="_Toc65376353" w:history="1">
        <w:r w:rsidR="00743A98" w:rsidRPr="00930BC5">
          <w:rPr>
            <w:rStyle w:val="ac"/>
            <w:rFonts w:ascii="Times New Roman" w:hAnsi="Times New Roman" w:cs="Times New Roman"/>
            <w:noProof/>
          </w:rPr>
          <w:t xml:space="preserve">Appendix S1. </w:t>
        </w:r>
        <w:r w:rsidR="00743A98" w:rsidRPr="00930BC5">
          <w:rPr>
            <w:rStyle w:val="ac"/>
            <w:rFonts w:ascii="Times New Roman" w:eastAsia="宋体" w:hAnsi="Times New Roman" w:cs="Times New Roman"/>
            <w:noProof/>
            <w:kern w:val="0"/>
            <w:lang w:val="en-US"/>
          </w:rPr>
          <w:t>Change of Efficacy Components at Week 30 from Baseline (FAS)</w:t>
        </w:r>
        <w:r w:rsidR="00743A98">
          <w:rPr>
            <w:noProof/>
            <w:webHidden/>
          </w:rPr>
          <w:tab/>
        </w:r>
        <w:r w:rsidR="00743A98">
          <w:rPr>
            <w:noProof/>
            <w:webHidden/>
          </w:rPr>
          <w:fldChar w:fldCharType="begin"/>
        </w:r>
        <w:r w:rsidR="00743A98">
          <w:rPr>
            <w:noProof/>
            <w:webHidden/>
          </w:rPr>
          <w:instrText xml:space="preserve"> PAGEREF _Toc65376353 \h </w:instrText>
        </w:r>
        <w:r w:rsidR="00743A98">
          <w:rPr>
            <w:noProof/>
            <w:webHidden/>
          </w:rPr>
        </w:r>
        <w:r w:rsidR="00743A98">
          <w:rPr>
            <w:noProof/>
            <w:webHidden/>
          </w:rPr>
          <w:fldChar w:fldCharType="separate"/>
        </w:r>
        <w:r w:rsidR="00743A98">
          <w:rPr>
            <w:noProof/>
            <w:webHidden/>
          </w:rPr>
          <w:t>5</w:t>
        </w:r>
        <w:r w:rsidR="00743A98">
          <w:rPr>
            <w:noProof/>
            <w:webHidden/>
          </w:rPr>
          <w:fldChar w:fldCharType="end"/>
        </w:r>
      </w:hyperlink>
    </w:p>
    <w:p w14:paraId="6C1EDF0A" w14:textId="441D1AFC" w:rsidR="00743A98" w:rsidRDefault="009A48E1">
      <w:pPr>
        <w:pStyle w:val="TOC1"/>
        <w:tabs>
          <w:tab w:val="right" w:leader="dot" w:pos="10456"/>
        </w:tabs>
        <w:rPr>
          <w:rFonts w:eastAsiaTheme="minorEastAsia"/>
          <w:b w:val="0"/>
          <w:bCs w:val="0"/>
          <w:caps w:val="0"/>
          <w:noProof/>
          <w:sz w:val="21"/>
          <w:szCs w:val="24"/>
          <w:lang w:val="en-US"/>
        </w:rPr>
      </w:pPr>
      <w:hyperlink w:anchor="_Toc65376354" w:history="1">
        <w:r w:rsidR="00743A98" w:rsidRPr="00930BC5">
          <w:rPr>
            <w:rStyle w:val="ac"/>
            <w:rFonts w:ascii="Times New Roman" w:hAnsi="Times New Roman" w:cs="Times New Roman"/>
            <w:noProof/>
          </w:rPr>
          <w:t xml:space="preserve">Appendix S2. ACR20 Response Rate by ADA </w:t>
        </w:r>
        <w:r w:rsidR="00743A98" w:rsidRPr="00930BC5">
          <w:rPr>
            <w:rStyle w:val="ac"/>
            <w:rFonts w:ascii="Times New Roman" w:eastAsia="宋体" w:hAnsi="Times New Roman" w:cs="Times New Roman"/>
            <w:noProof/>
            <w:kern w:val="0"/>
            <w:lang w:val="en-US"/>
          </w:rPr>
          <w:t>subgroups at Week 30 (SS)</w:t>
        </w:r>
        <w:r w:rsidR="00743A98">
          <w:rPr>
            <w:noProof/>
            <w:webHidden/>
          </w:rPr>
          <w:tab/>
        </w:r>
        <w:r w:rsidR="00743A98">
          <w:rPr>
            <w:noProof/>
            <w:webHidden/>
          </w:rPr>
          <w:fldChar w:fldCharType="begin"/>
        </w:r>
        <w:r w:rsidR="00743A98">
          <w:rPr>
            <w:noProof/>
            <w:webHidden/>
          </w:rPr>
          <w:instrText xml:space="preserve"> PAGEREF _Toc65376354 \h </w:instrText>
        </w:r>
        <w:r w:rsidR="00743A98">
          <w:rPr>
            <w:noProof/>
            <w:webHidden/>
          </w:rPr>
        </w:r>
        <w:r w:rsidR="00743A98">
          <w:rPr>
            <w:noProof/>
            <w:webHidden/>
          </w:rPr>
          <w:fldChar w:fldCharType="separate"/>
        </w:r>
        <w:r w:rsidR="00743A98">
          <w:rPr>
            <w:noProof/>
            <w:webHidden/>
          </w:rPr>
          <w:t>5</w:t>
        </w:r>
        <w:r w:rsidR="00743A98">
          <w:rPr>
            <w:noProof/>
            <w:webHidden/>
          </w:rPr>
          <w:fldChar w:fldCharType="end"/>
        </w:r>
      </w:hyperlink>
    </w:p>
    <w:p w14:paraId="775F6576" w14:textId="2A98AB0E" w:rsidR="00743A98" w:rsidRDefault="009A48E1">
      <w:pPr>
        <w:pStyle w:val="TOC1"/>
        <w:tabs>
          <w:tab w:val="right" w:leader="dot" w:pos="10456"/>
        </w:tabs>
        <w:rPr>
          <w:rFonts w:eastAsiaTheme="minorEastAsia"/>
          <w:b w:val="0"/>
          <w:bCs w:val="0"/>
          <w:caps w:val="0"/>
          <w:noProof/>
          <w:sz w:val="21"/>
          <w:szCs w:val="24"/>
          <w:lang w:val="en-US"/>
        </w:rPr>
      </w:pPr>
      <w:hyperlink w:anchor="_Toc65376355" w:history="1">
        <w:r w:rsidR="00743A98" w:rsidRPr="00930BC5">
          <w:rPr>
            <w:rStyle w:val="ac"/>
            <w:rFonts w:ascii="Times New Roman" w:hAnsi="Times New Roman" w:cs="Times New Roman"/>
            <w:noProof/>
          </w:rPr>
          <w:t>Appendix S3. ADA and NAb incidence by study visit (safety population</w:t>
        </w:r>
        <w:r w:rsidR="00743A98" w:rsidRPr="00930BC5">
          <w:rPr>
            <w:rStyle w:val="ac"/>
            <w:rFonts w:ascii="Times New Roman" w:eastAsia="宋体" w:hAnsi="Times New Roman" w:cs="Times New Roman"/>
            <w:noProof/>
            <w:kern w:val="0"/>
            <w:lang w:val="en-US"/>
          </w:rPr>
          <w:t>)</w:t>
        </w:r>
        <w:r w:rsidR="00743A98">
          <w:rPr>
            <w:noProof/>
            <w:webHidden/>
          </w:rPr>
          <w:tab/>
        </w:r>
        <w:r w:rsidR="00743A98">
          <w:rPr>
            <w:noProof/>
            <w:webHidden/>
          </w:rPr>
          <w:fldChar w:fldCharType="begin"/>
        </w:r>
        <w:r w:rsidR="00743A98">
          <w:rPr>
            <w:noProof/>
            <w:webHidden/>
          </w:rPr>
          <w:instrText xml:space="preserve"> PAGEREF _Toc65376355 \h </w:instrText>
        </w:r>
        <w:r w:rsidR="00743A98">
          <w:rPr>
            <w:noProof/>
            <w:webHidden/>
          </w:rPr>
        </w:r>
        <w:r w:rsidR="00743A98">
          <w:rPr>
            <w:noProof/>
            <w:webHidden/>
          </w:rPr>
          <w:fldChar w:fldCharType="separate"/>
        </w:r>
        <w:r w:rsidR="00743A98">
          <w:rPr>
            <w:noProof/>
            <w:webHidden/>
          </w:rPr>
          <w:t>5</w:t>
        </w:r>
        <w:r w:rsidR="00743A98">
          <w:rPr>
            <w:noProof/>
            <w:webHidden/>
          </w:rPr>
          <w:fldChar w:fldCharType="end"/>
        </w:r>
      </w:hyperlink>
    </w:p>
    <w:p w14:paraId="1F1D11BC" w14:textId="21C45030" w:rsidR="00A14873" w:rsidRDefault="00CA0CC7" w:rsidP="000963A6">
      <w:pPr>
        <w:spacing w:beforeLines="50" w:before="156" w:afterLines="50" w:after="156" w:line="360" w:lineRule="auto"/>
        <w:jc w:val="left"/>
        <w:rPr>
          <w:rFonts w:ascii="Times New Roman" w:hAnsi="Times New Roman" w:cs="Times New Roman"/>
          <w:b/>
          <w:bCs/>
          <w:sz w:val="20"/>
          <w:szCs w:val="20"/>
        </w:rPr>
      </w:pPr>
      <w:r>
        <w:rPr>
          <w:rFonts w:ascii="Times New Roman" w:hAnsi="Times New Roman" w:cs="Times New Roman"/>
          <w:b/>
          <w:bCs/>
          <w:sz w:val="20"/>
          <w:szCs w:val="20"/>
        </w:rPr>
        <w:fldChar w:fldCharType="end"/>
      </w:r>
    </w:p>
    <w:p w14:paraId="50DAEDFE" w14:textId="77777777" w:rsidR="00A14873" w:rsidRDefault="00A14873">
      <w:pPr>
        <w:widowControl/>
        <w:jc w:val="left"/>
        <w:rPr>
          <w:rFonts w:ascii="Times New Roman" w:hAnsi="Times New Roman" w:cs="Times New Roman"/>
          <w:b/>
          <w:bCs/>
          <w:sz w:val="20"/>
          <w:szCs w:val="20"/>
        </w:rPr>
      </w:pPr>
      <w:r>
        <w:rPr>
          <w:rFonts w:ascii="Times New Roman" w:hAnsi="Times New Roman" w:cs="Times New Roman"/>
          <w:b/>
          <w:bCs/>
          <w:sz w:val="20"/>
          <w:szCs w:val="20"/>
        </w:rPr>
        <w:br w:type="page"/>
      </w:r>
    </w:p>
    <w:p w14:paraId="5ED6A6DA" w14:textId="77777777" w:rsidR="000963A6" w:rsidRPr="000963A6" w:rsidRDefault="000963A6" w:rsidP="00CA0CC7">
      <w:pPr>
        <w:pStyle w:val="1"/>
        <w:rPr>
          <w:rFonts w:ascii="Times New Roman" w:hAnsi="Times New Roman" w:cs="Times New Roman"/>
          <w:sz w:val="20"/>
          <w:szCs w:val="20"/>
        </w:rPr>
      </w:pPr>
      <w:bookmarkStart w:id="0" w:name="_Toc11080"/>
      <w:bookmarkStart w:id="1" w:name="_Toc65376352"/>
      <w:r w:rsidRPr="000963A6">
        <w:rPr>
          <w:rFonts w:ascii="Times New Roman" w:hAnsi="Times New Roman" w:cs="Times New Roman"/>
          <w:sz w:val="20"/>
          <w:szCs w:val="20"/>
        </w:rPr>
        <w:lastRenderedPageBreak/>
        <w:t>Inclusion and exclusion criteria</w:t>
      </w:r>
      <w:bookmarkEnd w:id="0"/>
      <w:bookmarkEnd w:id="1"/>
    </w:p>
    <w:p w14:paraId="063508E4" w14:textId="77777777" w:rsidR="000963A6" w:rsidRPr="000963A6" w:rsidRDefault="000963A6" w:rsidP="000963A6">
      <w:pPr>
        <w:spacing w:after="120"/>
        <w:rPr>
          <w:rFonts w:ascii="Times New Roman" w:hAnsi="Times New Roman" w:cs="Times New Roman"/>
          <w:i/>
          <w:iCs/>
          <w:sz w:val="20"/>
          <w:szCs w:val="20"/>
        </w:rPr>
      </w:pPr>
      <w:r w:rsidRPr="000963A6">
        <w:rPr>
          <w:rFonts w:ascii="Times New Roman" w:hAnsi="Times New Roman" w:cs="Times New Roman"/>
          <w:b/>
          <w:i/>
          <w:iCs/>
          <w:kern w:val="0"/>
          <w:sz w:val="20"/>
          <w:szCs w:val="20"/>
        </w:rPr>
        <w:t>Inclusion Criteria</w:t>
      </w:r>
    </w:p>
    <w:p w14:paraId="79FDE512" w14:textId="2FA61404" w:rsidR="00520277" w:rsidRPr="00CA0CC7" w:rsidRDefault="00520277" w:rsidP="00CA0CC7">
      <w:pPr>
        <w:pStyle w:val="ab"/>
        <w:widowControl/>
        <w:numPr>
          <w:ilvl w:val="0"/>
          <w:numId w:val="1"/>
        </w:numPr>
        <w:ind w:firstLineChars="0"/>
        <w:rPr>
          <w:rFonts w:ascii="Times New Roman" w:eastAsia="宋体" w:hAnsi="Times New Roman" w:cs="Times New Roman"/>
          <w:kern w:val="0"/>
          <w:sz w:val="20"/>
          <w:szCs w:val="20"/>
          <w:lang w:val="en-US"/>
        </w:rPr>
      </w:pPr>
      <w:r w:rsidRPr="00CA0CC7">
        <w:rPr>
          <w:rFonts w:ascii="Times New Roman" w:eastAsia="宋体" w:hAnsi="Times New Roman" w:cs="Times New Roman"/>
          <w:kern w:val="0"/>
          <w:sz w:val="20"/>
          <w:szCs w:val="20"/>
          <w:lang w:val="en-US"/>
        </w:rPr>
        <w:t>aged 18–75 years, male or female.</w:t>
      </w:r>
    </w:p>
    <w:p w14:paraId="72D85776" w14:textId="6E5897D2" w:rsidR="00520277" w:rsidRPr="00CA0CC7" w:rsidRDefault="00520277" w:rsidP="00CA0CC7">
      <w:pPr>
        <w:pStyle w:val="ab"/>
        <w:widowControl/>
        <w:numPr>
          <w:ilvl w:val="0"/>
          <w:numId w:val="1"/>
        </w:numPr>
        <w:ind w:firstLineChars="0"/>
        <w:rPr>
          <w:rFonts w:ascii="Times New Roman" w:eastAsia="宋体" w:hAnsi="Times New Roman" w:cs="Times New Roman"/>
          <w:kern w:val="0"/>
          <w:sz w:val="20"/>
          <w:szCs w:val="20"/>
          <w:lang w:val="en-US"/>
        </w:rPr>
      </w:pPr>
      <w:r w:rsidRPr="00CA0CC7">
        <w:rPr>
          <w:rFonts w:ascii="Times New Roman" w:eastAsia="宋体" w:hAnsi="Times New Roman" w:cs="Times New Roman"/>
          <w:kern w:val="0"/>
          <w:sz w:val="20"/>
          <w:szCs w:val="20"/>
          <w:lang w:val="en-US"/>
        </w:rPr>
        <w:t>Had been diagnosed as having RA according to the revised 2010 ACR criteria for at least 3 months prior to Screening.</w:t>
      </w:r>
    </w:p>
    <w:p w14:paraId="115AB3D9" w14:textId="30B5080F" w:rsidR="00520277" w:rsidRPr="00CA0CC7" w:rsidRDefault="00520277" w:rsidP="00CA0CC7">
      <w:pPr>
        <w:pStyle w:val="ab"/>
        <w:widowControl/>
        <w:numPr>
          <w:ilvl w:val="0"/>
          <w:numId w:val="1"/>
        </w:numPr>
        <w:ind w:firstLineChars="0"/>
        <w:rPr>
          <w:rFonts w:ascii="Times New Roman" w:eastAsia="宋体" w:hAnsi="Times New Roman" w:cs="Times New Roman"/>
          <w:kern w:val="0"/>
          <w:sz w:val="20"/>
          <w:szCs w:val="20"/>
          <w:lang w:val="en-US"/>
        </w:rPr>
      </w:pPr>
      <w:r w:rsidRPr="00CA0CC7">
        <w:rPr>
          <w:rFonts w:ascii="Times New Roman" w:hAnsi="Times New Roman" w:cs="Times New Roman"/>
          <w:color w:val="000000"/>
          <w:sz w:val="20"/>
          <w:szCs w:val="20"/>
          <w14:textFill>
            <w14:solidFill>
              <w14:srgbClr w14:val="000000">
                <w14:lumMod w14:val="75000"/>
              </w14:srgbClr>
            </w14:solidFill>
          </w14:textFill>
        </w:rPr>
        <w:t>Patients had to have ≥4 swollen and ≥6 tender joints and at least two of the following: erythrocyte sedimentation rate (ESR) &gt;28 mm/h or serum C reactive protein (CRP) concentration &gt;1.0 mg/dl.</w:t>
      </w:r>
    </w:p>
    <w:p w14:paraId="2C0302DD" w14:textId="3739CD4D" w:rsidR="00520277" w:rsidRPr="00CA0CC7" w:rsidRDefault="00520277" w:rsidP="00CA0CC7">
      <w:pPr>
        <w:pStyle w:val="ab"/>
        <w:widowControl/>
        <w:numPr>
          <w:ilvl w:val="0"/>
          <w:numId w:val="1"/>
        </w:numPr>
        <w:ind w:firstLineChars="0"/>
        <w:rPr>
          <w:rFonts w:ascii="Times New Roman" w:eastAsia="宋体" w:hAnsi="Times New Roman" w:cs="Times New Roman"/>
          <w:kern w:val="0"/>
          <w:sz w:val="20"/>
          <w:szCs w:val="20"/>
          <w:lang w:val="en-US"/>
        </w:rPr>
      </w:pPr>
      <w:r w:rsidRPr="00CA0CC7">
        <w:rPr>
          <w:rFonts w:ascii="Times New Roman" w:hAnsi="Times New Roman" w:cs="Times New Roman"/>
          <w:color w:val="000000"/>
          <w:sz w:val="20"/>
          <w:szCs w:val="20"/>
          <w14:textFill>
            <w14:solidFill>
              <w14:srgbClr w14:val="000000">
                <w14:lumMod w14:val="75000"/>
              </w14:srgbClr>
            </w14:solidFill>
          </w14:textFill>
        </w:rPr>
        <w:t>Patients had to have been receiving methotrexate (MTX) therapy for ≥3 months (stable dose of 10–15 mg/week for ≥4 weeks prior to screening).</w:t>
      </w:r>
    </w:p>
    <w:p w14:paraId="30D70AF8" w14:textId="77777777" w:rsidR="00306D75" w:rsidRPr="00CA0CC7" w:rsidRDefault="00520277" w:rsidP="00CA0CC7">
      <w:pPr>
        <w:pStyle w:val="ab"/>
        <w:widowControl/>
        <w:numPr>
          <w:ilvl w:val="0"/>
          <w:numId w:val="1"/>
        </w:numPr>
        <w:ind w:firstLineChars="0"/>
        <w:rPr>
          <w:rFonts w:ascii="Times New Roman" w:eastAsia="宋体" w:hAnsi="Times New Roman" w:cs="Times New Roman"/>
          <w:kern w:val="0"/>
          <w:sz w:val="20"/>
          <w:szCs w:val="20"/>
          <w:lang w:val="en-US"/>
        </w:rPr>
      </w:pPr>
      <w:r w:rsidRPr="00CA0CC7">
        <w:rPr>
          <w:rFonts w:ascii="Times New Roman" w:hAnsi="Times New Roman" w:cs="Times New Roman"/>
          <w:color w:val="000000"/>
          <w:sz w:val="20"/>
          <w:szCs w:val="20"/>
          <w14:textFill>
            <w14:solidFill>
              <w14:srgbClr w14:val="000000">
                <w14:lumMod w14:val="75000"/>
              </w14:srgbClr>
            </w14:solidFill>
          </w14:textFill>
        </w:rPr>
        <w:t xml:space="preserve">patients have discontinued Other disease-modifying antirheumatic drugs (DMARDs) (including but not limited to chloroquine, hydroxychloroquine, gold preparation, penicillamine, </w:t>
      </w:r>
      <w:proofErr w:type="spellStart"/>
      <w:r w:rsidRPr="00CA0CC7">
        <w:rPr>
          <w:rFonts w:ascii="Times New Roman" w:hAnsi="Times New Roman" w:cs="Times New Roman"/>
          <w:color w:val="000000"/>
          <w:sz w:val="20"/>
          <w:szCs w:val="20"/>
          <w14:textFill>
            <w14:solidFill>
              <w14:srgbClr w14:val="000000">
                <w14:lumMod w14:val="75000"/>
              </w14:srgbClr>
            </w14:solidFill>
          </w14:textFill>
        </w:rPr>
        <w:t>salazosulfapyridine</w:t>
      </w:r>
      <w:proofErr w:type="spellEnd"/>
      <w:r w:rsidRPr="00CA0CC7">
        <w:rPr>
          <w:rFonts w:ascii="Times New Roman" w:hAnsi="Times New Roman" w:cs="Times New Roman"/>
          <w:color w:val="000000"/>
          <w:sz w:val="20"/>
          <w:szCs w:val="20"/>
          <w14:textFill>
            <w14:solidFill>
              <w14:srgbClr w14:val="000000">
                <w14:lumMod w14:val="75000"/>
              </w14:srgbClr>
            </w14:solidFill>
          </w14:textFill>
        </w:rPr>
        <w:t xml:space="preserve">, azathioprine, cyclophosphamide, cyclosporin A, gold </w:t>
      </w:r>
      <w:proofErr w:type="spellStart"/>
      <w:r w:rsidRPr="00CA0CC7">
        <w:rPr>
          <w:rFonts w:ascii="Times New Roman" w:hAnsi="Times New Roman" w:cs="Times New Roman"/>
          <w:color w:val="000000"/>
          <w:sz w:val="20"/>
          <w:szCs w:val="20"/>
          <w14:textFill>
            <w14:solidFill>
              <w14:srgbClr w14:val="000000">
                <w14:lumMod w14:val="75000"/>
              </w14:srgbClr>
            </w14:solidFill>
          </w14:textFill>
        </w:rPr>
        <w:t>thiosaccharide</w:t>
      </w:r>
      <w:proofErr w:type="spellEnd"/>
      <w:r w:rsidRPr="00CA0CC7">
        <w:rPr>
          <w:rFonts w:ascii="Times New Roman" w:hAnsi="Times New Roman" w:cs="Times New Roman"/>
          <w:color w:val="000000"/>
          <w:sz w:val="20"/>
          <w:szCs w:val="20"/>
          <w14:textFill>
            <w14:solidFill>
              <w14:srgbClr w14:val="000000">
                <w14:lumMod w14:val="75000"/>
              </w14:srgbClr>
            </w14:solidFill>
          </w14:textFill>
        </w:rPr>
        <w:t xml:space="preserve">, </w:t>
      </w:r>
      <w:proofErr w:type="spellStart"/>
      <w:r w:rsidRPr="00CA0CC7">
        <w:rPr>
          <w:rFonts w:ascii="Times New Roman" w:hAnsi="Times New Roman" w:cs="Times New Roman"/>
          <w:color w:val="000000"/>
          <w:sz w:val="20"/>
          <w:szCs w:val="20"/>
          <w14:textFill>
            <w14:solidFill>
              <w14:srgbClr w14:val="000000">
                <w14:lumMod w14:val="75000"/>
              </w14:srgbClr>
            </w14:solidFill>
          </w14:textFill>
        </w:rPr>
        <w:t>kinofin</w:t>
      </w:r>
      <w:proofErr w:type="spellEnd"/>
      <w:r w:rsidRPr="00CA0CC7">
        <w:rPr>
          <w:rFonts w:ascii="Times New Roman" w:hAnsi="Times New Roman" w:cs="Times New Roman"/>
          <w:color w:val="000000"/>
          <w:sz w:val="20"/>
          <w:szCs w:val="20"/>
          <w14:textFill>
            <w14:solidFill>
              <w14:srgbClr w14:val="000000">
                <w14:lumMod w14:val="75000"/>
              </w14:srgbClr>
            </w14:solidFill>
          </w14:textFill>
        </w:rPr>
        <w:t xml:space="preserve">, etc.) for at least 4 weeks except for MTX before entry. If </w:t>
      </w:r>
      <w:proofErr w:type="spellStart"/>
      <w:r w:rsidRPr="00CA0CC7">
        <w:rPr>
          <w:rFonts w:ascii="Times New Roman" w:hAnsi="Times New Roman" w:cs="Times New Roman"/>
          <w:color w:val="000000"/>
          <w:sz w:val="20"/>
          <w:szCs w:val="20"/>
          <w14:textFill>
            <w14:solidFill>
              <w14:srgbClr w14:val="000000">
                <w14:lumMod w14:val="75000"/>
              </w14:srgbClr>
            </w14:solidFill>
          </w14:textFill>
        </w:rPr>
        <w:t>leflumide</w:t>
      </w:r>
      <w:proofErr w:type="spellEnd"/>
      <w:r w:rsidRPr="00CA0CC7">
        <w:rPr>
          <w:rFonts w:ascii="Times New Roman" w:hAnsi="Times New Roman" w:cs="Times New Roman"/>
          <w:color w:val="000000"/>
          <w:sz w:val="20"/>
          <w:szCs w:val="20"/>
          <w14:textFill>
            <w14:solidFill>
              <w14:srgbClr w14:val="000000">
                <w14:lumMod w14:val="75000"/>
              </w14:srgbClr>
            </w14:solidFill>
          </w14:textFill>
        </w:rPr>
        <w:t xml:space="preserve"> was administered before, it should be eluted with cholestyramine (8g, 3 times per day) for 11 days, and wait for 4 weeks before enrolling.</w:t>
      </w:r>
    </w:p>
    <w:p w14:paraId="5980384E" w14:textId="78E909DD" w:rsidR="00520277" w:rsidRPr="00CA0CC7" w:rsidRDefault="00306D75" w:rsidP="00CA0CC7">
      <w:pPr>
        <w:pStyle w:val="ab"/>
        <w:widowControl/>
        <w:numPr>
          <w:ilvl w:val="0"/>
          <w:numId w:val="1"/>
        </w:numPr>
        <w:ind w:firstLineChars="0"/>
        <w:rPr>
          <w:rFonts w:ascii="Times New Roman" w:eastAsia="宋体" w:hAnsi="Times New Roman" w:cs="Times New Roman"/>
          <w:kern w:val="0"/>
          <w:sz w:val="20"/>
          <w:szCs w:val="20"/>
          <w:lang w:val="en-US"/>
        </w:rPr>
      </w:pPr>
      <w:r w:rsidRPr="00CA0CC7">
        <w:rPr>
          <w:rFonts w:ascii="Times New Roman" w:eastAsia="宋体" w:hAnsi="Times New Roman" w:cs="Times New Roman"/>
          <w:kern w:val="0"/>
          <w:sz w:val="20"/>
          <w:szCs w:val="20"/>
          <w:lang w:val="en-US"/>
        </w:rPr>
        <w:t>Before the drug administration, if the patient is taking glucocorticoids, the dose must be stabilized at ≤10 mg/d (equivalent to the dose of prednisone) for at least 4 weeks; if no glucocorticoid is used, no oral administration for at least 4 or no local injection for weeks or 12 weeks.</w:t>
      </w:r>
    </w:p>
    <w:p w14:paraId="2B1D885B" w14:textId="1B6DF9CD" w:rsidR="00306D75" w:rsidRDefault="00306D75" w:rsidP="00CA0CC7">
      <w:pPr>
        <w:pStyle w:val="ab"/>
        <w:widowControl/>
        <w:numPr>
          <w:ilvl w:val="0"/>
          <w:numId w:val="1"/>
        </w:numPr>
        <w:ind w:firstLineChars="0"/>
        <w:rPr>
          <w:rFonts w:ascii="Times New Roman" w:eastAsia="宋体" w:hAnsi="Times New Roman" w:cs="Times New Roman"/>
          <w:kern w:val="0"/>
          <w:sz w:val="20"/>
          <w:szCs w:val="20"/>
          <w:lang w:val="en-US"/>
        </w:rPr>
      </w:pPr>
      <w:r w:rsidRPr="00306D75">
        <w:rPr>
          <w:rFonts w:ascii="Times New Roman" w:eastAsia="宋体" w:hAnsi="Times New Roman" w:cs="Times New Roman"/>
          <w:kern w:val="0"/>
          <w:sz w:val="20"/>
          <w:szCs w:val="20"/>
          <w:lang w:val="en-US"/>
        </w:rPr>
        <w:t xml:space="preserve">If you have used proprietary Chinese medicines or herbal medicines for the treatment of rheumatoid arthritis (RA) before the </w:t>
      </w:r>
      <w:r>
        <w:rPr>
          <w:rFonts w:ascii="Times New Roman" w:eastAsia="宋体" w:hAnsi="Times New Roman" w:cs="Times New Roman" w:hint="eastAsia"/>
          <w:kern w:val="0"/>
          <w:sz w:val="20"/>
          <w:szCs w:val="20"/>
          <w:lang w:val="en-US"/>
        </w:rPr>
        <w:t>study</w:t>
      </w:r>
      <w:r w:rsidRPr="00306D75">
        <w:rPr>
          <w:rFonts w:ascii="Times New Roman" w:eastAsia="宋体" w:hAnsi="Times New Roman" w:cs="Times New Roman"/>
          <w:kern w:val="0"/>
          <w:sz w:val="20"/>
          <w:szCs w:val="20"/>
          <w:lang w:val="en-US"/>
        </w:rPr>
        <w:t>, or received physical therapy, or received live (attenuated) virus/bacterial vaccine, or intravenous injection of immunoglobulin IgG, these treatments Need to stop for at least 4 weeks.</w:t>
      </w:r>
    </w:p>
    <w:p w14:paraId="6514EA64" w14:textId="4A8056B8" w:rsidR="00306D75" w:rsidRDefault="00306D75" w:rsidP="00CA0CC7">
      <w:pPr>
        <w:pStyle w:val="ab"/>
        <w:widowControl/>
        <w:numPr>
          <w:ilvl w:val="0"/>
          <w:numId w:val="1"/>
        </w:numPr>
        <w:ind w:firstLineChars="0"/>
        <w:rPr>
          <w:rFonts w:ascii="Times New Roman" w:eastAsia="宋体" w:hAnsi="Times New Roman" w:cs="Times New Roman"/>
          <w:kern w:val="0"/>
          <w:sz w:val="20"/>
          <w:szCs w:val="20"/>
          <w:lang w:val="en-US"/>
        </w:rPr>
      </w:pPr>
      <w:r w:rsidRPr="00306D75">
        <w:rPr>
          <w:rFonts w:ascii="Times New Roman" w:eastAsia="宋体" w:hAnsi="Times New Roman" w:cs="Times New Roman"/>
          <w:kern w:val="0"/>
          <w:sz w:val="20"/>
          <w:szCs w:val="20"/>
          <w:lang w:val="en-US"/>
        </w:rPr>
        <w:t>if</w:t>
      </w:r>
      <w:r>
        <w:rPr>
          <w:rFonts w:ascii="Times New Roman" w:eastAsia="宋体" w:hAnsi="Times New Roman" w:cs="Times New Roman"/>
          <w:kern w:val="0"/>
          <w:sz w:val="20"/>
          <w:szCs w:val="20"/>
          <w:lang w:val="en-US"/>
        </w:rPr>
        <w:t xml:space="preserve"> patient</w:t>
      </w:r>
      <w:r w:rsidRPr="00306D75">
        <w:rPr>
          <w:rFonts w:ascii="Times New Roman" w:eastAsia="宋体" w:hAnsi="Times New Roman" w:cs="Times New Roman"/>
          <w:kern w:val="0"/>
          <w:sz w:val="20"/>
          <w:szCs w:val="20"/>
          <w:lang w:val="en-US"/>
        </w:rPr>
        <w:t xml:space="preserve"> have used other biological agents or participated in the clinical trials of other research drugs or marketed drugs</w:t>
      </w:r>
      <w:r w:rsidR="0062659D">
        <w:rPr>
          <w:rFonts w:ascii="Times New Roman" w:eastAsia="宋体" w:hAnsi="Times New Roman" w:cs="Times New Roman"/>
          <w:kern w:val="0"/>
          <w:sz w:val="20"/>
          <w:szCs w:val="20"/>
          <w:lang w:val="en-US"/>
        </w:rPr>
        <w:t xml:space="preserve"> before the study drug administration</w:t>
      </w:r>
      <w:r w:rsidRPr="00306D75">
        <w:rPr>
          <w:rFonts w:ascii="Times New Roman" w:eastAsia="宋体" w:hAnsi="Times New Roman" w:cs="Times New Roman"/>
          <w:kern w:val="0"/>
          <w:sz w:val="20"/>
          <w:szCs w:val="20"/>
          <w:lang w:val="en-US"/>
        </w:rPr>
        <w:t>, the patient needs to stop using it for at least 3 months.</w:t>
      </w:r>
    </w:p>
    <w:p w14:paraId="0E36420B" w14:textId="77777777" w:rsidR="0062659D" w:rsidRPr="0062659D" w:rsidRDefault="0062659D" w:rsidP="00CA0CC7">
      <w:pPr>
        <w:pStyle w:val="ab"/>
        <w:widowControl/>
        <w:numPr>
          <w:ilvl w:val="0"/>
          <w:numId w:val="1"/>
        </w:numPr>
        <w:ind w:firstLineChars="0"/>
        <w:rPr>
          <w:rFonts w:ascii="Times New Roman" w:eastAsia="宋体" w:hAnsi="Times New Roman" w:cs="Times New Roman"/>
          <w:kern w:val="0"/>
          <w:sz w:val="20"/>
          <w:szCs w:val="20"/>
          <w:lang w:val="en-US"/>
        </w:rPr>
      </w:pPr>
      <w:r w:rsidRPr="0062659D">
        <w:rPr>
          <w:rFonts w:ascii="Times New Roman" w:eastAsia="宋体" w:hAnsi="Times New Roman" w:cs="Times New Roman"/>
          <w:kern w:val="0"/>
          <w:sz w:val="20"/>
          <w:szCs w:val="20"/>
          <w:lang w:val="en-US"/>
        </w:rPr>
        <w:t>Female subjects who were not pregnant or nursing at Screening and who were not planning to become pregnant from Screening until 6 months after the last dose of investigational product (IP).</w:t>
      </w:r>
    </w:p>
    <w:p w14:paraId="77D27F46" w14:textId="77777777" w:rsidR="0062659D" w:rsidRPr="0062659D" w:rsidRDefault="0062659D" w:rsidP="00CA0CC7">
      <w:pPr>
        <w:pStyle w:val="ab"/>
        <w:widowControl/>
        <w:numPr>
          <w:ilvl w:val="0"/>
          <w:numId w:val="1"/>
        </w:numPr>
        <w:ind w:firstLineChars="0"/>
        <w:rPr>
          <w:rFonts w:ascii="Times New Roman" w:eastAsia="宋体" w:hAnsi="Times New Roman" w:cs="Times New Roman"/>
          <w:kern w:val="0"/>
          <w:sz w:val="20"/>
          <w:szCs w:val="20"/>
          <w:lang w:val="en-US"/>
        </w:rPr>
      </w:pPr>
      <w:r w:rsidRPr="0062659D">
        <w:rPr>
          <w:rFonts w:ascii="Times New Roman" w:eastAsia="宋体" w:hAnsi="Times New Roman" w:cs="Times New Roman"/>
          <w:kern w:val="0"/>
          <w:sz w:val="20"/>
          <w:szCs w:val="20"/>
          <w:lang w:val="en-US"/>
        </w:rPr>
        <w:t>Were able to provide informed consent, which had to be obtained prior to any study related procedures.</w:t>
      </w:r>
    </w:p>
    <w:p w14:paraId="388BA8A9" w14:textId="193C2CDF" w:rsidR="0062659D" w:rsidRDefault="0062659D" w:rsidP="00CA0CC7">
      <w:pPr>
        <w:pStyle w:val="ab"/>
        <w:widowControl/>
        <w:numPr>
          <w:ilvl w:val="0"/>
          <w:numId w:val="1"/>
        </w:numPr>
        <w:ind w:firstLineChars="0"/>
        <w:rPr>
          <w:rFonts w:ascii="Times New Roman" w:eastAsia="宋体" w:hAnsi="Times New Roman" w:cs="Times New Roman"/>
          <w:kern w:val="0"/>
          <w:sz w:val="20"/>
          <w:szCs w:val="20"/>
          <w:lang w:val="en-US"/>
        </w:rPr>
      </w:pPr>
      <w:r>
        <w:rPr>
          <w:rFonts w:ascii="Times New Roman" w:eastAsia="宋体" w:hAnsi="Times New Roman" w:cs="Times New Roman"/>
          <w:kern w:val="0"/>
          <w:sz w:val="20"/>
          <w:szCs w:val="20"/>
          <w:lang w:val="en-US"/>
        </w:rPr>
        <w:t>Were a</w:t>
      </w:r>
      <w:r w:rsidRPr="0062659D">
        <w:rPr>
          <w:rFonts w:ascii="Times New Roman" w:eastAsia="宋体" w:hAnsi="Times New Roman" w:cs="Times New Roman"/>
          <w:kern w:val="0"/>
          <w:sz w:val="20"/>
          <w:szCs w:val="20"/>
          <w:lang w:val="en-US"/>
        </w:rPr>
        <w:t>ble to understand and correctly complete the evaluation form</w:t>
      </w:r>
    </w:p>
    <w:p w14:paraId="0CFC905C" w14:textId="13523E86" w:rsidR="0062659D" w:rsidRPr="0062659D" w:rsidRDefault="0062659D" w:rsidP="00CA0CC7">
      <w:pPr>
        <w:pStyle w:val="ab"/>
        <w:widowControl/>
        <w:numPr>
          <w:ilvl w:val="0"/>
          <w:numId w:val="1"/>
        </w:numPr>
        <w:ind w:firstLineChars="0"/>
        <w:rPr>
          <w:rFonts w:ascii="Times New Roman" w:eastAsia="宋体" w:hAnsi="Times New Roman" w:cs="Times New Roman"/>
          <w:kern w:val="0"/>
          <w:sz w:val="20"/>
          <w:szCs w:val="20"/>
          <w:lang w:val="en-US"/>
        </w:rPr>
      </w:pPr>
      <w:r w:rsidRPr="0062659D">
        <w:rPr>
          <w:rFonts w:ascii="Times New Roman" w:eastAsia="宋体" w:hAnsi="Times New Roman" w:cs="Times New Roman"/>
          <w:kern w:val="0"/>
          <w:sz w:val="20"/>
          <w:szCs w:val="20"/>
          <w:lang w:val="en-US"/>
        </w:rPr>
        <w:t>Were able to</w:t>
      </w:r>
      <w:r>
        <w:rPr>
          <w:rFonts w:ascii="Times New Roman" w:eastAsia="宋体" w:hAnsi="Times New Roman" w:cs="Times New Roman"/>
          <w:kern w:val="0"/>
          <w:sz w:val="20"/>
          <w:szCs w:val="20"/>
          <w:lang w:val="en-US"/>
        </w:rPr>
        <w:t xml:space="preserve"> communicate with</w:t>
      </w:r>
      <w:r w:rsidRPr="0062659D">
        <w:rPr>
          <w:rFonts w:ascii="Times New Roman" w:eastAsia="宋体" w:hAnsi="Times New Roman" w:cs="Times New Roman"/>
          <w:kern w:val="0"/>
          <w:sz w:val="20"/>
          <w:szCs w:val="20"/>
          <w:lang w:val="en-US"/>
        </w:rPr>
        <w:t xml:space="preserve"> the Investigator, understand the implications of taking part in the study and were willing to follow the study requirements.</w:t>
      </w:r>
    </w:p>
    <w:p w14:paraId="01D7F6A8" w14:textId="551E3B22" w:rsidR="000963A6" w:rsidRPr="000963A6" w:rsidRDefault="000963A6" w:rsidP="00584EFD">
      <w:pPr>
        <w:widowControl/>
        <w:jc w:val="left"/>
        <w:rPr>
          <w:rFonts w:ascii="Times New Roman" w:hAnsi="Times New Roman" w:cs="Times New Roman"/>
          <w:sz w:val="20"/>
          <w:szCs w:val="20"/>
        </w:rPr>
      </w:pPr>
    </w:p>
    <w:p w14:paraId="2CC86350" w14:textId="77777777" w:rsidR="000963A6" w:rsidRPr="000963A6" w:rsidRDefault="000963A6" w:rsidP="000963A6">
      <w:pPr>
        <w:spacing w:after="120"/>
        <w:rPr>
          <w:rFonts w:ascii="Times New Roman" w:hAnsi="Times New Roman" w:cs="Times New Roman"/>
          <w:b/>
          <w:i/>
          <w:iCs/>
          <w:kern w:val="0"/>
          <w:sz w:val="20"/>
          <w:szCs w:val="20"/>
        </w:rPr>
      </w:pPr>
      <w:r w:rsidRPr="000963A6">
        <w:rPr>
          <w:rFonts w:ascii="Times New Roman" w:hAnsi="Times New Roman" w:cs="Times New Roman"/>
          <w:b/>
          <w:i/>
          <w:iCs/>
          <w:kern w:val="0"/>
          <w:sz w:val="20"/>
          <w:szCs w:val="20"/>
        </w:rPr>
        <w:t>Exclusion Criteria</w:t>
      </w:r>
    </w:p>
    <w:p w14:paraId="4A01F92C" w14:textId="5CC39415" w:rsidR="00AD4270" w:rsidRDefault="00AD4270" w:rsidP="00860913">
      <w:pPr>
        <w:pStyle w:val="ab"/>
        <w:widowControl/>
        <w:numPr>
          <w:ilvl w:val="0"/>
          <w:numId w:val="2"/>
        </w:numPr>
        <w:ind w:firstLineChars="0"/>
        <w:jc w:val="left"/>
        <w:rPr>
          <w:rFonts w:ascii="Times New Roman" w:eastAsia="宋体" w:hAnsi="Times New Roman" w:cs="Times New Roman"/>
          <w:kern w:val="0"/>
          <w:sz w:val="20"/>
          <w:szCs w:val="20"/>
          <w:lang w:val="en-US"/>
        </w:rPr>
      </w:pPr>
      <w:r w:rsidRPr="00860913">
        <w:rPr>
          <w:rFonts w:ascii="Times New Roman" w:eastAsia="宋体" w:hAnsi="Times New Roman" w:cs="Times New Roman"/>
          <w:kern w:val="0"/>
          <w:sz w:val="20"/>
          <w:szCs w:val="20"/>
          <w:lang w:val="en-US"/>
        </w:rPr>
        <w:t xml:space="preserve">Had been treated previously with any biological agents </w:t>
      </w:r>
      <w:r w:rsidR="00860913" w:rsidRPr="00860913">
        <w:rPr>
          <w:rFonts w:ascii="Times New Roman" w:eastAsia="宋体" w:hAnsi="Times New Roman" w:cs="Times New Roman"/>
          <w:kern w:val="0"/>
          <w:sz w:val="20"/>
          <w:szCs w:val="20"/>
          <w:lang w:val="en-US"/>
        </w:rPr>
        <w:t>to treat RA within 3 months before randomization</w:t>
      </w:r>
      <w:r w:rsidR="00860913" w:rsidRPr="00860913">
        <w:rPr>
          <w:rFonts w:ascii="Times New Roman" w:eastAsia="宋体" w:hAnsi="Times New Roman" w:cs="Times New Roman" w:hint="eastAsia"/>
          <w:kern w:val="0"/>
          <w:sz w:val="20"/>
          <w:szCs w:val="20"/>
          <w:lang w:val="en-US"/>
        </w:rPr>
        <w:t xml:space="preserve"> </w:t>
      </w:r>
      <w:r w:rsidRPr="00860913">
        <w:rPr>
          <w:rFonts w:ascii="Times New Roman" w:eastAsia="宋体" w:hAnsi="Times New Roman" w:cs="Times New Roman"/>
          <w:kern w:val="0"/>
          <w:sz w:val="20"/>
          <w:szCs w:val="20"/>
          <w:lang w:val="en-US"/>
        </w:rPr>
        <w:t xml:space="preserve">including any </w:t>
      </w:r>
      <w:r w:rsidR="00CA0CC7" w:rsidRPr="00860913">
        <w:rPr>
          <w:rFonts w:ascii="Times New Roman" w:eastAsia="宋体" w:hAnsi="Times New Roman" w:cs="Times New Roman"/>
          <w:kern w:val="0"/>
          <w:sz w:val="20"/>
          <w:szCs w:val="20"/>
          <w:lang w:val="en-US"/>
        </w:rPr>
        <w:t>tumor</w:t>
      </w:r>
      <w:r w:rsidRPr="00860913">
        <w:rPr>
          <w:rFonts w:ascii="Times New Roman" w:eastAsia="宋体" w:hAnsi="Times New Roman" w:cs="Times New Roman"/>
          <w:kern w:val="0"/>
          <w:sz w:val="20"/>
          <w:szCs w:val="20"/>
          <w:lang w:val="en-US"/>
        </w:rPr>
        <w:t xml:space="preserve"> necrosis factor inhibitor.</w:t>
      </w:r>
    </w:p>
    <w:p w14:paraId="3542DA2D" w14:textId="265CD4D5" w:rsidR="00860913" w:rsidRDefault="00860913" w:rsidP="00860913">
      <w:pPr>
        <w:pStyle w:val="ab"/>
        <w:widowControl/>
        <w:numPr>
          <w:ilvl w:val="0"/>
          <w:numId w:val="2"/>
        </w:numPr>
        <w:ind w:firstLineChars="0"/>
        <w:jc w:val="left"/>
        <w:rPr>
          <w:rFonts w:ascii="Times New Roman" w:eastAsia="宋体" w:hAnsi="Times New Roman" w:cs="Times New Roman"/>
          <w:kern w:val="0"/>
          <w:sz w:val="20"/>
          <w:szCs w:val="20"/>
          <w:lang w:val="en-US"/>
        </w:rPr>
      </w:pPr>
      <w:r>
        <w:rPr>
          <w:rFonts w:ascii="Times New Roman" w:eastAsia="宋体" w:hAnsi="Times New Roman" w:cs="Times New Roman"/>
          <w:kern w:val="0"/>
          <w:sz w:val="20"/>
          <w:szCs w:val="20"/>
          <w:lang w:val="en-US"/>
        </w:rPr>
        <w:t>were</w:t>
      </w:r>
      <w:r w:rsidRPr="00860913">
        <w:rPr>
          <w:rFonts w:ascii="Times New Roman" w:eastAsia="宋体" w:hAnsi="Times New Roman" w:cs="Times New Roman"/>
          <w:kern w:val="0"/>
          <w:sz w:val="20"/>
          <w:szCs w:val="20"/>
          <w:lang w:val="en-US"/>
        </w:rPr>
        <w:t xml:space="preserve"> allergic to any auxiliary materials of the </w:t>
      </w:r>
      <w:r>
        <w:rPr>
          <w:rFonts w:ascii="Times New Roman" w:eastAsia="宋体" w:hAnsi="Times New Roman" w:cs="Times New Roman"/>
          <w:kern w:val="0"/>
          <w:sz w:val="20"/>
          <w:szCs w:val="20"/>
          <w:lang w:val="en-US"/>
        </w:rPr>
        <w:t>study</w:t>
      </w:r>
      <w:r w:rsidRPr="00860913">
        <w:rPr>
          <w:rFonts w:ascii="Times New Roman" w:eastAsia="宋体" w:hAnsi="Times New Roman" w:cs="Times New Roman"/>
          <w:kern w:val="0"/>
          <w:sz w:val="20"/>
          <w:szCs w:val="20"/>
          <w:lang w:val="en-US"/>
        </w:rPr>
        <w:t xml:space="preserve"> drug or any other mouse or human protein, or have hypersensitivity to immunoglobulin products, have a known history of allergic diseases or are allergic.</w:t>
      </w:r>
    </w:p>
    <w:p w14:paraId="525DC0C0" w14:textId="018F88C3" w:rsidR="00860913" w:rsidRDefault="00677ECD" w:rsidP="00860913">
      <w:pPr>
        <w:pStyle w:val="ab"/>
        <w:widowControl/>
        <w:numPr>
          <w:ilvl w:val="0"/>
          <w:numId w:val="2"/>
        </w:numPr>
        <w:ind w:firstLineChars="0"/>
        <w:jc w:val="left"/>
        <w:rPr>
          <w:rFonts w:ascii="Times New Roman" w:eastAsia="宋体" w:hAnsi="Times New Roman" w:cs="Times New Roman"/>
          <w:kern w:val="0"/>
          <w:sz w:val="20"/>
          <w:szCs w:val="20"/>
          <w:lang w:val="en-US"/>
        </w:rPr>
      </w:pPr>
      <w:r w:rsidRPr="00677ECD">
        <w:rPr>
          <w:rFonts w:ascii="Times New Roman" w:eastAsia="宋体" w:hAnsi="Times New Roman" w:cs="Times New Roman"/>
          <w:kern w:val="0"/>
          <w:sz w:val="20"/>
          <w:szCs w:val="20"/>
          <w:lang w:val="en-US"/>
        </w:rPr>
        <w:t>weigh more than 100 kg</w:t>
      </w:r>
    </w:p>
    <w:p w14:paraId="7A7E52F7" w14:textId="388297EB" w:rsidR="00677ECD" w:rsidRDefault="00677ECD" w:rsidP="008502A7">
      <w:pPr>
        <w:pStyle w:val="ab"/>
        <w:widowControl/>
        <w:numPr>
          <w:ilvl w:val="0"/>
          <w:numId w:val="2"/>
        </w:numPr>
        <w:ind w:firstLineChars="0"/>
        <w:jc w:val="left"/>
        <w:rPr>
          <w:rFonts w:ascii="Times New Roman" w:eastAsia="宋体" w:hAnsi="Times New Roman" w:cs="Times New Roman"/>
          <w:kern w:val="0"/>
          <w:sz w:val="20"/>
          <w:szCs w:val="20"/>
          <w:lang w:val="en-US"/>
        </w:rPr>
      </w:pPr>
      <w:r w:rsidRPr="00677ECD">
        <w:rPr>
          <w:rFonts w:ascii="Times New Roman" w:eastAsia="宋体" w:hAnsi="Times New Roman" w:cs="Times New Roman"/>
          <w:kern w:val="0"/>
          <w:sz w:val="20"/>
          <w:szCs w:val="20"/>
          <w:lang w:val="en-US"/>
        </w:rPr>
        <w:t>Rheumatoid arthritis joint function activity classification is Ⅳ or need to be wheelchair or bedridden.</w:t>
      </w:r>
    </w:p>
    <w:p w14:paraId="050AE313" w14:textId="21D7B0F0" w:rsidR="00677ECD" w:rsidRDefault="00677ECD" w:rsidP="008502A7">
      <w:pPr>
        <w:pStyle w:val="ab"/>
        <w:widowControl/>
        <w:numPr>
          <w:ilvl w:val="0"/>
          <w:numId w:val="2"/>
        </w:numPr>
        <w:ind w:firstLineChars="0"/>
        <w:jc w:val="left"/>
        <w:rPr>
          <w:rFonts w:ascii="Times New Roman" w:eastAsia="宋体" w:hAnsi="Times New Roman" w:cs="Times New Roman"/>
          <w:kern w:val="0"/>
          <w:sz w:val="20"/>
          <w:szCs w:val="20"/>
          <w:lang w:val="en-US"/>
        </w:rPr>
      </w:pPr>
      <w:r w:rsidRPr="00677ECD">
        <w:rPr>
          <w:rFonts w:ascii="Times New Roman" w:eastAsia="宋体" w:hAnsi="Times New Roman" w:cs="Times New Roman"/>
          <w:kern w:val="0"/>
          <w:sz w:val="20"/>
          <w:szCs w:val="20"/>
          <w:lang w:val="en-US"/>
        </w:rPr>
        <w:t xml:space="preserve">Received interferon treatment within 4 weeks before the </w:t>
      </w:r>
      <w:r>
        <w:rPr>
          <w:rFonts w:ascii="Times New Roman" w:eastAsia="宋体" w:hAnsi="Times New Roman" w:cs="Times New Roman"/>
          <w:kern w:val="0"/>
          <w:sz w:val="20"/>
          <w:szCs w:val="20"/>
          <w:lang w:val="en-US"/>
        </w:rPr>
        <w:t>study drug</w:t>
      </w:r>
      <w:r w:rsidRPr="00677ECD">
        <w:rPr>
          <w:rFonts w:ascii="Times New Roman" w:eastAsia="宋体" w:hAnsi="Times New Roman" w:cs="Times New Roman"/>
          <w:kern w:val="0"/>
          <w:sz w:val="20"/>
          <w:szCs w:val="20"/>
          <w:lang w:val="en-US"/>
        </w:rPr>
        <w:t xml:space="preserve"> administration.</w:t>
      </w:r>
    </w:p>
    <w:p w14:paraId="5BAB93F7" w14:textId="15247125" w:rsidR="00677ECD" w:rsidRDefault="00677ECD" w:rsidP="008502A7">
      <w:pPr>
        <w:pStyle w:val="ab"/>
        <w:widowControl/>
        <w:numPr>
          <w:ilvl w:val="0"/>
          <w:numId w:val="2"/>
        </w:numPr>
        <w:ind w:firstLineChars="0"/>
        <w:jc w:val="left"/>
        <w:rPr>
          <w:rFonts w:ascii="Times New Roman" w:eastAsia="宋体" w:hAnsi="Times New Roman" w:cs="Times New Roman"/>
          <w:kern w:val="0"/>
          <w:sz w:val="20"/>
          <w:szCs w:val="20"/>
          <w:lang w:val="en-US"/>
        </w:rPr>
      </w:pPr>
      <w:r w:rsidRPr="001201C4">
        <w:rPr>
          <w:rFonts w:ascii="Times New Roman" w:eastAsia="宋体" w:hAnsi="Times New Roman" w:cs="Times New Roman"/>
          <w:kern w:val="0"/>
          <w:sz w:val="20"/>
          <w:szCs w:val="20"/>
          <w:lang w:val="en-US"/>
        </w:rPr>
        <w:t xml:space="preserve">Had a positive serological test for Anti-HIV, TP-Ab, hepatitis B (HBV) and hepatitis C (HCV) </w:t>
      </w:r>
    </w:p>
    <w:p w14:paraId="3215683E" w14:textId="3B7D8623" w:rsidR="004505F1" w:rsidRDefault="004505F1" w:rsidP="00CA0CC7">
      <w:pPr>
        <w:pStyle w:val="ab"/>
        <w:widowControl/>
        <w:numPr>
          <w:ilvl w:val="0"/>
          <w:numId w:val="2"/>
        </w:numPr>
        <w:ind w:firstLineChars="0"/>
        <w:rPr>
          <w:rFonts w:ascii="Times New Roman" w:eastAsia="宋体" w:hAnsi="Times New Roman" w:cs="Times New Roman"/>
          <w:kern w:val="0"/>
          <w:sz w:val="20"/>
          <w:szCs w:val="20"/>
          <w:lang w:val="en-US"/>
        </w:rPr>
      </w:pPr>
      <w:r w:rsidRPr="004505F1">
        <w:rPr>
          <w:rFonts w:ascii="Times New Roman" w:eastAsia="宋体" w:hAnsi="Times New Roman" w:cs="Times New Roman"/>
          <w:kern w:val="0"/>
          <w:sz w:val="20"/>
          <w:szCs w:val="20"/>
          <w:lang w:val="en-US"/>
        </w:rPr>
        <w:t>Patients with known tuberculosis infection and high risk of tuberculosis infection should be excluded. Patients with latent tuberculosis infection (LTBI) who agree to receive preventive anti-tuberculosis drug treatment during the trial period can be selected for this trial, otherwise they should be excluded.</w:t>
      </w:r>
    </w:p>
    <w:p w14:paraId="1419FB97" w14:textId="396D804B" w:rsidR="004505F1" w:rsidRPr="000D7873" w:rsidRDefault="000D7873" w:rsidP="00CA0CC7">
      <w:pPr>
        <w:widowControl/>
        <w:ind w:firstLineChars="410" w:firstLine="820"/>
        <w:rPr>
          <w:rFonts w:ascii="Times New Roman" w:eastAsia="宋体" w:hAnsi="Times New Roman" w:cs="Times New Roman"/>
          <w:kern w:val="0"/>
          <w:sz w:val="20"/>
          <w:szCs w:val="20"/>
          <w:lang w:val="en-US"/>
        </w:rPr>
      </w:pPr>
      <w:r>
        <w:rPr>
          <w:rFonts w:ascii="Times New Roman" w:eastAsia="宋体" w:hAnsi="Times New Roman" w:cs="Times New Roman"/>
          <w:kern w:val="0"/>
          <w:sz w:val="20"/>
          <w:szCs w:val="20"/>
          <w:lang w:val="en-US"/>
        </w:rPr>
        <w:t>(</w:t>
      </w:r>
      <w:r w:rsidR="004505F1" w:rsidRPr="000D7873">
        <w:rPr>
          <w:rFonts w:ascii="Times New Roman" w:eastAsia="宋体" w:hAnsi="Times New Roman" w:cs="Times New Roman"/>
          <w:kern w:val="0"/>
          <w:sz w:val="20"/>
          <w:szCs w:val="20"/>
          <w:lang w:val="en-US"/>
        </w:rPr>
        <w:t>1) Known tuberculosis infection</w:t>
      </w:r>
      <w:r w:rsidRPr="000D7873">
        <w:rPr>
          <w:rFonts w:ascii="Times New Roman" w:eastAsia="宋体" w:hAnsi="Times New Roman" w:cs="Times New Roman"/>
          <w:kern w:val="0"/>
          <w:sz w:val="20"/>
          <w:szCs w:val="20"/>
          <w:lang w:val="en-US"/>
        </w:rPr>
        <w:t xml:space="preserve"> (any of the following)</w:t>
      </w:r>
    </w:p>
    <w:p w14:paraId="43D57EFC" w14:textId="77777777" w:rsidR="004505F1" w:rsidRPr="004505F1" w:rsidRDefault="004505F1" w:rsidP="00CA0CC7">
      <w:pPr>
        <w:pStyle w:val="ab"/>
        <w:widowControl/>
        <w:ind w:left="840" w:firstLine="400"/>
        <w:rPr>
          <w:rFonts w:ascii="Times New Roman" w:eastAsia="宋体" w:hAnsi="Times New Roman" w:cs="Times New Roman"/>
          <w:kern w:val="0"/>
          <w:sz w:val="20"/>
          <w:szCs w:val="20"/>
          <w:lang w:val="en-US"/>
        </w:rPr>
      </w:pPr>
      <w:r w:rsidRPr="004505F1">
        <w:rPr>
          <w:rFonts w:ascii="Times New Roman" w:eastAsia="宋体" w:hAnsi="Times New Roman" w:cs="Times New Roman"/>
          <w:kern w:val="0"/>
          <w:sz w:val="20"/>
          <w:szCs w:val="20"/>
          <w:lang w:val="en-US"/>
        </w:rPr>
        <w:t>A. Active tuberculosis infection or clinical signs and symptoms of suspected tuberculosis (in the lung or outside the lung);</w:t>
      </w:r>
    </w:p>
    <w:p w14:paraId="598FAFA0" w14:textId="565A3829" w:rsidR="004505F1" w:rsidRDefault="004505F1" w:rsidP="008502A7">
      <w:pPr>
        <w:pStyle w:val="ab"/>
        <w:widowControl/>
        <w:ind w:left="840" w:firstLine="400"/>
        <w:rPr>
          <w:rFonts w:ascii="Times New Roman" w:eastAsia="宋体" w:hAnsi="Times New Roman" w:cs="Times New Roman"/>
          <w:kern w:val="0"/>
          <w:sz w:val="20"/>
          <w:szCs w:val="20"/>
          <w:lang w:val="en-US"/>
        </w:rPr>
      </w:pPr>
      <w:r w:rsidRPr="004505F1">
        <w:rPr>
          <w:rFonts w:ascii="Times New Roman" w:eastAsia="宋体" w:hAnsi="Times New Roman" w:cs="Times New Roman"/>
          <w:kern w:val="0"/>
          <w:sz w:val="20"/>
          <w:szCs w:val="20"/>
          <w:lang w:val="en-US"/>
        </w:rPr>
        <w:t>B. Active tuberculosis infection involving any organ system has occurred, or other organ systems have symptoms consistent with tuberculosis infection;</w:t>
      </w:r>
    </w:p>
    <w:p w14:paraId="5E29729B" w14:textId="37FAF424" w:rsidR="004505F1" w:rsidRDefault="004505F1" w:rsidP="008502A7">
      <w:pPr>
        <w:pStyle w:val="ab"/>
        <w:widowControl/>
        <w:ind w:left="840" w:firstLine="400"/>
        <w:rPr>
          <w:rFonts w:ascii="Times New Roman" w:eastAsia="宋体" w:hAnsi="Times New Roman" w:cs="Times New Roman"/>
          <w:kern w:val="0"/>
          <w:sz w:val="20"/>
          <w:szCs w:val="20"/>
          <w:lang w:val="en-US"/>
        </w:rPr>
      </w:pPr>
      <w:r w:rsidRPr="004505F1">
        <w:rPr>
          <w:rFonts w:ascii="Times New Roman" w:eastAsia="宋体" w:hAnsi="Times New Roman" w:cs="Times New Roman"/>
          <w:kern w:val="0"/>
          <w:sz w:val="20"/>
          <w:szCs w:val="20"/>
          <w:lang w:val="en-US"/>
        </w:rPr>
        <w:t>C. Evidence of previous infection found in radiology or other imaging examinations at the time of screening or within 3 months before (old tuberculosis evidence: lung and/or pleural fibrous scars; calcifications in the apex of the lung; hilar and/or mediastinum Lymph node disease; decrease in the volume of the upper lobe of the lung; cavities in the lung).</w:t>
      </w:r>
    </w:p>
    <w:p w14:paraId="303F69F5" w14:textId="51C80081" w:rsidR="000D7873" w:rsidRPr="000D7873" w:rsidRDefault="000D7873" w:rsidP="008502A7">
      <w:pPr>
        <w:widowControl/>
        <w:ind w:firstLineChars="410" w:firstLine="820"/>
        <w:rPr>
          <w:rFonts w:ascii="Times New Roman" w:eastAsia="宋体" w:hAnsi="Times New Roman" w:cs="Times New Roman"/>
          <w:kern w:val="0"/>
          <w:sz w:val="20"/>
          <w:szCs w:val="20"/>
          <w:lang w:val="en-US"/>
        </w:rPr>
      </w:pPr>
      <w:r>
        <w:rPr>
          <w:rFonts w:ascii="Times New Roman" w:eastAsia="宋体" w:hAnsi="Times New Roman" w:cs="Times New Roman"/>
          <w:kern w:val="0"/>
          <w:sz w:val="20"/>
          <w:szCs w:val="20"/>
        </w:rPr>
        <w:t>(</w:t>
      </w:r>
      <w:r w:rsidRPr="000D7873">
        <w:rPr>
          <w:rFonts w:ascii="Times New Roman" w:eastAsia="宋体" w:hAnsi="Times New Roman" w:cs="Times New Roman"/>
          <w:kern w:val="0"/>
          <w:sz w:val="20"/>
          <w:szCs w:val="20"/>
          <w:lang w:val="en-US"/>
        </w:rPr>
        <w:t>2) High risk of tuberculosis infection (any of the following)</w:t>
      </w:r>
    </w:p>
    <w:p w14:paraId="0BD0B7AF" w14:textId="77777777" w:rsidR="000D7873" w:rsidRPr="000D7873" w:rsidRDefault="000D7873" w:rsidP="008502A7">
      <w:pPr>
        <w:pStyle w:val="ab"/>
        <w:widowControl/>
        <w:ind w:left="840" w:firstLine="400"/>
        <w:rPr>
          <w:rFonts w:ascii="Times New Roman" w:eastAsia="宋体" w:hAnsi="Times New Roman" w:cs="Times New Roman"/>
          <w:kern w:val="0"/>
          <w:sz w:val="20"/>
          <w:szCs w:val="20"/>
          <w:lang w:val="en-US"/>
        </w:rPr>
      </w:pPr>
      <w:r w:rsidRPr="000D7873">
        <w:rPr>
          <w:rFonts w:ascii="Times New Roman" w:eastAsia="宋体" w:hAnsi="Times New Roman" w:cs="Times New Roman"/>
          <w:kern w:val="0"/>
          <w:sz w:val="20"/>
          <w:szCs w:val="20"/>
          <w:lang w:val="en-US"/>
        </w:rPr>
        <w:t>A. Known to have been in close contact with patients with active tuberculosis within 3 months before screening;</w:t>
      </w:r>
    </w:p>
    <w:p w14:paraId="61235DF8" w14:textId="77777777" w:rsidR="000D7873" w:rsidRPr="000D7873" w:rsidRDefault="000D7873" w:rsidP="008502A7">
      <w:pPr>
        <w:pStyle w:val="ab"/>
        <w:widowControl/>
        <w:ind w:left="840" w:firstLine="400"/>
        <w:rPr>
          <w:rFonts w:ascii="Times New Roman" w:eastAsia="宋体" w:hAnsi="Times New Roman" w:cs="Times New Roman"/>
          <w:kern w:val="0"/>
          <w:sz w:val="20"/>
          <w:szCs w:val="20"/>
          <w:lang w:val="en-US"/>
        </w:rPr>
      </w:pPr>
      <w:r w:rsidRPr="000D7873">
        <w:rPr>
          <w:rFonts w:ascii="Times New Roman" w:eastAsia="宋体" w:hAnsi="Times New Roman" w:cs="Times New Roman"/>
          <w:kern w:val="0"/>
          <w:sz w:val="20"/>
          <w:szCs w:val="20"/>
          <w:lang w:val="en-US"/>
        </w:rPr>
        <w:t>B. People with low immune function and any signs of latent tuberculosis infection;</w:t>
      </w:r>
    </w:p>
    <w:p w14:paraId="6AABB735" w14:textId="0034319F" w:rsidR="00677ECD" w:rsidRDefault="000D7873" w:rsidP="008502A7">
      <w:pPr>
        <w:pStyle w:val="ab"/>
        <w:widowControl/>
        <w:ind w:left="840" w:firstLine="400"/>
        <w:rPr>
          <w:rFonts w:ascii="Times New Roman" w:eastAsia="宋体" w:hAnsi="Times New Roman" w:cs="Times New Roman"/>
          <w:kern w:val="0"/>
          <w:sz w:val="20"/>
          <w:szCs w:val="20"/>
          <w:lang w:val="en-US"/>
        </w:rPr>
      </w:pPr>
      <w:r w:rsidRPr="000D7873">
        <w:rPr>
          <w:rFonts w:ascii="Times New Roman" w:eastAsia="宋体" w:hAnsi="Times New Roman" w:cs="Times New Roman"/>
          <w:kern w:val="0"/>
          <w:sz w:val="20"/>
          <w:szCs w:val="20"/>
          <w:lang w:val="en-US"/>
        </w:rPr>
        <w:t>C. Stay in a medical service environment or institution with a high risk of tuberculosis infection or tuberculosis infection</w:t>
      </w:r>
    </w:p>
    <w:p w14:paraId="319443CA" w14:textId="19DFCAA3" w:rsidR="000D7873" w:rsidRPr="000D7873" w:rsidRDefault="000D7873" w:rsidP="008502A7">
      <w:pPr>
        <w:pStyle w:val="ab"/>
        <w:widowControl/>
        <w:ind w:left="840" w:firstLineChars="0" w:firstLine="0"/>
        <w:rPr>
          <w:rFonts w:ascii="Times New Roman" w:eastAsia="宋体" w:hAnsi="Times New Roman" w:cs="Times New Roman"/>
          <w:kern w:val="0"/>
          <w:sz w:val="20"/>
          <w:szCs w:val="20"/>
          <w:lang w:val="en-US"/>
        </w:rPr>
      </w:pPr>
      <w:r>
        <w:rPr>
          <w:rFonts w:ascii="Times New Roman" w:eastAsia="宋体" w:hAnsi="Times New Roman" w:cs="Times New Roman" w:hint="eastAsia"/>
          <w:kern w:val="0"/>
          <w:sz w:val="20"/>
          <w:szCs w:val="20"/>
          <w:lang w:val="en-US"/>
        </w:rPr>
        <w:t>(</w:t>
      </w:r>
      <w:r w:rsidRPr="000D7873">
        <w:rPr>
          <w:rFonts w:ascii="Times New Roman" w:eastAsia="宋体" w:hAnsi="Times New Roman" w:cs="Times New Roman"/>
          <w:kern w:val="0"/>
          <w:sz w:val="20"/>
          <w:szCs w:val="20"/>
          <w:lang w:val="en-US"/>
        </w:rPr>
        <w:t>3) Patients with latent tuberculosis infection (LTBI) who agree to be treated with preventive anti-tuberculosis drugs during the trial period can be selected for this trial, otherwise they should be excluded.</w:t>
      </w:r>
    </w:p>
    <w:p w14:paraId="6D605728" w14:textId="38DFA19D" w:rsidR="000D7873" w:rsidRDefault="000D7873" w:rsidP="008502A7">
      <w:pPr>
        <w:pStyle w:val="ab"/>
        <w:widowControl/>
        <w:ind w:left="840" w:firstLine="400"/>
        <w:rPr>
          <w:rFonts w:ascii="Times New Roman" w:eastAsia="宋体" w:hAnsi="Times New Roman" w:cs="Times New Roman"/>
          <w:kern w:val="0"/>
          <w:sz w:val="20"/>
          <w:szCs w:val="20"/>
          <w:lang w:val="en-US"/>
        </w:rPr>
      </w:pPr>
      <w:r w:rsidRPr="000D7873">
        <w:rPr>
          <w:rFonts w:ascii="Times New Roman" w:eastAsia="宋体" w:hAnsi="Times New Roman" w:cs="Times New Roman"/>
          <w:kern w:val="0"/>
          <w:sz w:val="20"/>
          <w:szCs w:val="20"/>
          <w:lang w:val="en-US"/>
        </w:rPr>
        <w:t>LTBI is defined as: there is no sign, symptom or abnormal physical examination suggesting tuberculosis infection, and there is no evidence of tuberculosis infection in the chest radiograph (or other imaging examination), but the gamma interferon test (IGRA) is positive or the results of the 2 IGRA tests are both unclear.</w:t>
      </w:r>
    </w:p>
    <w:p w14:paraId="7647D674" w14:textId="1AD614B9" w:rsidR="000D7873" w:rsidRDefault="000D7873" w:rsidP="008502A7">
      <w:pPr>
        <w:pStyle w:val="ab"/>
        <w:widowControl/>
        <w:numPr>
          <w:ilvl w:val="0"/>
          <w:numId w:val="2"/>
        </w:numPr>
        <w:ind w:firstLineChars="0"/>
        <w:rPr>
          <w:rFonts w:ascii="Times New Roman" w:eastAsia="宋体" w:hAnsi="Times New Roman" w:cs="Times New Roman"/>
          <w:kern w:val="0"/>
          <w:sz w:val="20"/>
          <w:szCs w:val="20"/>
          <w:lang w:val="en-US"/>
        </w:rPr>
      </w:pPr>
      <w:r w:rsidRPr="000D7873">
        <w:rPr>
          <w:rFonts w:ascii="Times New Roman" w:eastAsia="宋体" w:hAnsi="Times New Roman" w:cs="Times New Roman"/>
          <w:kern w:val="0"/>
          <w:sz w:val="20"/>
          <w:szCs w:val="20"/>
          <w:lang w:val="en-US"/>
        </w:rPr>
        <w:t>Opportunistic infections (herpes zoster, cytomegalovirus, mycoplasma, pneumocystis carinii, histoplasmosis, Candida, Aspergillus, mycobacteria other than Mycobacterium tuberculosis) occurred in the 6 months before screening).</w:t>
      </w:r>
    </w:p>
    <w:p w14:paraId="21E5C67D" w14:textId="3A4998F8" w:rsidR="000D7873" w:rsidRDefault="000D7873" w:rsidP="008502A7">
      <w:pPr>
        <w:pStyle w:val="ab"/>
        <w:widowControl/>
        <w:numPr>
          <w:ilvl w:val="0"/>
          <w:numId w:val="2"/>
        </w:numPr>
        <w:ind w:firstLineChars="0"/>
        <w:rPr>
          <w:rFonts w:ascii="Times New Roman" w:eastAsia="宋体" w:hAnsi="Times New Roman" w:cs="Times New Roman"/>
          <w:kern w:val="0"/>
          <w:sz w:val="20"/>
          <w:szCs w:val="20"/>
          <w:lang w:val="en-US"/>
        </w:rPr>
      </w:pPr>
      <w:r w:rsidRPr="000D7873">
        <w:rPr>
          <w:rFonts w:ascii="Times New Roman" w:eastAsia="宋体" w:hAnsi="Times New Roman" w:cs="Times New Roman"/>
          <w:kern w:val="0"/>
          <w:sz w:val="20"/>
          <w:szCs w:val="20"/>
          <w:lang w:val="en-US"/>
        </w:rPr>
        <w:t>A history of chronic infections (such as chronic hepatitis, chronic kidney infection, etc.), recent (within 6 months) serious or life-threatening infections (such as hepatitis, pneumonia, pyelonephritis, etc.), or any current symptoms or Signs suggest that there may be an infection (such as fever, cough, urgency, dysuria, abdominal pain, diarrhea, infected skin wounds, etc.).</w:t>
      </w:r>
    </w:p>
    <w:p w14:paraId="347E3BDC" w14:textId="22BA3803" w:rsidR="000D7873" w:rsidRPr="000D7873" w:rsidRDefault="000D7873" w:rsidP="008502A7">
      <w:pPr>
        <w:pStyle w:val="ab"/>
        <w:widowControl/>
        <w:numPr>
          <w:ilvl w:val="0"/>
          <w:numId w:val="2"/>
        </w:numPr>
        <w:ind w:firstLineChars="0"/>
        <w:rPr>
          <w:rFonts w:ascii="Times New Roman" w:eastAsia="宋体" w:hAnsi="Times New Roman" w:cs="Times New Roman"/>
          <w:kern w:val="0"/>
          <w:sz w:val="20"/>
          <w:szCs w:val="20"/>
          <w:lang w:val="en-US"/>
        </w:rPr>
      </w:pPr>
      <w:r w:rsidRPr="000D7873">
        <w:rPr>
          <w:rFonts w:ascii="Times New Roman" w:eastAsia="宋体" w:hAnsi="Times New Roman" w:cs="Times New Roman"/>
          <w:kern w:val="0"/>
          <w:sz w:val="20"/>
          <w:szCs w:val="20"/>
          <w:lang w:val="en-US"/>
        </w:rPr>
        <w:t>Patients at high risk of infection (such as leg ulcers, indwelling catheters, persistent or recurrent chest infections, and long-term bedridden or sedentary wheelchair users).</w:t>
      </w:r>
    </w:p>
    <w:p w14:paraId="24FFA5D1" w14:textId="235EF51A" w:rsidR="000D7873" w:rsidRPr="000D7873" w:rsidRDefault="008502A7" w:rsidP="008502A7">
      <w:pPr>
        <w:pStyle w:val="ab"/>
        <w:widowControl/>
        <w:numPr>
          <w:ilvl w:val="0"/>
          <w:numId w:val="2"/>
        </w:numPr>
        <w:ind w:firstLineChars="0"/>
        <w:rPr>
          <w:rFonts w:ascii="Times New Roman" w:eastAsia="宋体" w:hAnsi="Times New Roman" w:cs="Times New Roman"/>
          <w:kern w:val="0"/>
          <w:sz w:val="20"/>
          <w:szCs w:val="20"/>
          <w:lang w:val="en-US"/>
        </w:rPr>
      </w:pPr>
      <w:r>
        <w:rPr>
          <w:rFonts w:ascii="Times New Roman" w:eastAsia="宋体" w:hAnsi="Times New Roman" w:cs="Times New Roman"/>
          <w:kern w:val="0"/>
          <w:sz w:val="20"/>
          <w:szCs w:val="20"/>
          <w:lang w:val="en-US"/>
        </w:rPr>
        <w:t>Patients</w:t>
      </w:r>
      <w:r w:rsidR="000D7873" w:rsidRPr="000D7873">
        <w:rPr>
          <w:rFonts w:ascii="Times New Roman" w:eastAsia="宋体" w:hAnsi="Times New Roman" w:cs="Times New Roman"/>
          <w:kern w:val="0"/>
          <w:sz w:val="20"/>
          <w:szCs w:val="20"/>
          <w:lang w:val="en-US"/>
        </w:rPr>
        <w:t xml:space="preserve"> with a history of lymphoproliferative disease (including lymphoma or signs or symptoms of lymphoproliferative disease at any time); or splenomegaly.</w:t>
      </w:r>
    </w:p>
    <w:p w14:paraId="5D0393C5" w14:textId="0CED9EDF" w:rsidR="000D7873" w:rsidRDefault="000D7873" w:rsidP="008502A7">
      <w:pPr>
        <w:pStyle w:val="ab"/>
        <w:widowControl/>
        <w:numPr>
          <w:ilvl w:val="0"/>
          <w:numId w:val="2"/>
        </w:numPr>
        <w:ind w:firstLineChars="0"/>
        <w:rPr>
          <w:rFonts w:ascii="Times New Roman" w:eastAsia="宋体" w:hAnsi="Times New Roman" w:cs="Times New Roman"/>
          <w:kern w:val="0"/>
          <w:sz w:val="20"/>
          <w:szCs w:val="20"/>
          <w:lang w:val="en-US"/>
        </w:rPr>
      </w:pPr>
      <w:r w:rsidRPr="000D7873">
        <w:rPr>
          <w:rFonts w:ascii="Times New Roman" w:eastAsia="宋体" w:hAnsi="Times New Roman" w:cs="Times New Roman"/>
          <w:kern w:val="0"/>
          <w:sz w:val="20"/>
          <w:szCs w:val="20"/>
          <w:lang w:val="en-US"/>
        </w:rPr>
        <w:t>Those who have had or are suffering from malignant tumors within 5 years before screening (except for basal cell carcinoma or squamous cell carcinoma of the skin, and carcinoma in situ of the cervix that have been fully treated and completely cured).</w:t>
      </w:r>
    </w:p>
    <w:p w14:paraId="07220465" w14:textId="3095A5A3" w:rsidR="008502A7" w:rsidRPr="008502A7" w:rsidRDefault="008502A7" w:rsidP="008502A7">
      <w:pPr>
        <w:pStyle w:val="ab"/>
        <w:widowControl/>
        <w:numPr>
          <w:ilvl w:val="0"/>
          <w:numId w:val="2"/>
        </w:numPr>
        <w:ind w:firstLineChars="0"/>
        <w:rPr>
          <w:rFonts w:ascii="Times New Roman" w:eastAsia="宋体" w:hAnsi="Times New Roman" w:cs="Times New Roman"/>
          <w:kern w:val="0"/>
          <w:sz w:val="20"/>
          <w:szCs w:val="20"/>
          <w:lang w:val="en-US"/>
        </w:rPr>
      </w:pPr>
      <w:r w:rsidRPr="008502A7">
        <w:rPr>
          <w:rFonts w:ascii="Times New Roman" w:eastAsia="宋体" w:hAnsi="Times New Roman" w:cs="Times New Roman"/>
          <w:kern w:val="0"/>
          <w:sz w:val="20"/>
          <w:szCs w:val="20"/>
          <w:lang w:val="en-US"/>
        </w:rPr>
        <w:t>P</w:t>
      </w:r>
      <w:r>
        <w:rPr>
          <w:rFonts w:ascii="Times New Roman" w:eastAsia="宋体" w:hAnsi="Times New Roman" w:cs="Times New Roman"/>
          <w:kern w:val="0"/>
          <w:sz w:val="20"/>
          <w:szCs w:val="20"/>
          <w:lang w:val="en-US"/>
        </w:rPr>
        <w:t xml:space="preserve">atients </w:t>
      </w:r>
      <w:r w:rsidRPr="008502A7">
        <w:rPr>
          <w:rFonts w:ascii="Times New Roman" w:eastAsia="宋体" w:hAnsi="Times New Roman" w:cs="Times New Roman"/>
          <w:kern w:val="0"/>
          <w:sz w:val="20"/>
          <w:szCs w:val="20"/>
          <w:lang w:val="en-US"/>
        </w:rPr>
        <w:t>who currently have or have had congestive heart failure disease or medical history.</w:t>
      </w:r>
    </w:p>
    <w:p w14:paraId="12F47BE0" w14:textId="6A4B488D" w:rsidR="008502A7" w:rsidRDefault="008502A7" w:rsidP="008502A7">
      <w:pPr>
        <w:pStyle w:val="ab"/>
        <w:widowControl/>
        <w:numPr>
          <w:ilvl w:val="0"/>
          <w:numId w:val="2"/>
        </w:numPr>
        <w:ind w:firstLineChars="0"/>
        <w:rPr>
          <w:rFonts w:ascii="Times New Roman" w:eastAsia="宋体" w:hAnsi="Times New Roman" w:cs="Times New Roman"/>
          <w:kern w:val="0"/>
          <w:sz w:val="20"/>
          <w:szCs w:val="20"/>
          <w:lang w:val="en-US"/>
        </w:rPr>
      </w:pPr>
      <w:r w:rsidRPr="008502A7">
        <w:rPr>
          <w:rFonts w:ascii="Times New Roman" w:eastAsia="宋体" w:hAnsi="Times New Roman" w:cs="Times New Roman"/>
          <w:kern w:val="0"/>
          <w:sz w:val="20"/>
          <w:szCs w:val="20"/>
          <w:lang w:val="en-US"/>
        </w:rPr>
        <w:t>P</w:t>
      </w:r>
      <w:r>
        <w:rPr>
          <w:rFonts w:ascii="Times New Roman" w:eastAsia="宋体" w:hAnsi="Times New Roman" w:cs="Times New Roman"/>
          <w:kern w:val="0"/>
          <w:sz w:val="20"/>
          <w:szCs w:val="20"/>
          <w:lang w:val="en-US"/>
        </w:rPr>
        <w:t>atients</w:t>
      </w:r>
      <w:r w:rsidRPr="008502A7">
        <w:rPr>
          <w:rFonts w:ascii="Times New Roman" w:eastAsia="宋体" w:hAnsi="Times New Roman" w:cs="Times New Roman"/>
          <w:kern w:val="0"/>
          <w:sz w:val="20"/>
          <w:szCs w:val="20"/>
          <w:lang w:val="en-US"/>
        </w:rPr>
        <w:t xml:space="preserve"> who currently have or have had a history of interstitial lung disease.</w:t>
      </w:r>
    </w:p>
    <w:p w14:paraId="54766AA6" w14:textId="79BC1A7C" w:rsidR="008502A7" w:rsidRPr="008502A7" w:rsidRDefault="008502A7" w:rsidP="008502A7">
      <w:pPr>
        <w:pStyle w:val="ab"/>
        <w:widowControl/>
        <w:numPr>
          <w:ilvl w:val="0"/>
          <w:numId w:val="2"/>
        </w:numPr>
        <w:ind w:firstLineChars="0"/>
        <w:rPr>
          <w:rFonts w:ascii="Times New Roman" w:eastAsia="宋体" w:hAnsi="Times New Roman" w:cs="Times New Roman"/>
          <w:kern w:val="0"/>
          <w:sz w:val="20"/>
          <w:szCs w:val="20"/>
          <w:lang w:val="en-US"/>
        </w:rPr>
      </w:pPr>
      <w:r w:rsidRPr="008502A7">
        <w:rPr>
          <w:rFonts w:ascii="Times New Roman" w:eastAsia="宋体" w:hAnsi="Times New Roman" w:cs="Times New Roman"/>
          <w:kern w:val="0"/>
          <w:sz w:val="20"/>
          <w:szCs w:val="20"/>
          <w:lang w:val="en-US"/>
        </w:rPr>
        <w:t>P</w:t>
      </w:r>
      <w:r>
        <w:rPr>
          <w:rFonts w:ascii="Times New Roman" w:eastAsia="宋体" w:hAnsi="Times New Roman" w:cs="Times New Roman"/>
          <w:kern w:val="0"/>
          <w:sz w:val="20"/>
          <w:szCs w:val="20"/>
          <w:lang w:val="en-US"/>
        </w:rPr>
        <w:t>atients</w:t>
      </w:r>
      <w:r w:rsidRPr="008502A7">
        <w:rPr>
          <w:rFonts w:ascii="Times New Roman" w:eastAsia="宋体" w:hAnsi="Times New Roman" w:cs="Times New Roman"/>
          <w:kern w:val="0"/>
          <w:sz w:val="20"/>
          <w:szCs w:val="20"/>
          <w:lang w:val="en-US"/>
        </w:rPr>
        <w:t xml:space="preserve"> who have or have multiple sclerosis or other central nervous system demyelinating diseases or medical history.</w:t>
      </w:r>
    </w:p>
    <w:p w14:paraId="652B3A83" w14:textId="4C575BCC" w:rsidR="008502A7" w:rsidRDefault="008502A7" w:rsidP="008502A7">
      <w:pPr>
        <w:pStyle w:val="ab"/>
        <w:widowControl/>
        <w:numPr>
          <w:ilvl w:val="0"/>
          <w:numId w:val="2"/>
        </w:numPr>
        <w:ind w:firstLineChars="0"/>
        <w:rPr>
          <w:rFonts w:ascii="Times New Roman" w:eastAsia="宋体" w:hAnsi="Times New Roman" w:cs="Times New Roman"/>
          <w:kern w:val="0"/>
          <w:sz w:val="20"/>
          <w:szCs w:val="20"/>
          <w:lang w:val="en-US"/>
        </w:rPr>
      </w:pPr>
      <w:r w:rsidRPr="008502A7">
        <w:rPr>
          <w:rFonts w:ascii="Times New Roman" w:eastAsia="宋体" w:hAnsi="Times New Roman" w:cs="Times New Roman"/>
          <w:kern w:val="0"/>
          <w:sz w:val="20"/>
          <w:szCs w:val="20"/>
          <w:lang w:val="en-US"/>
        </w:rPr>
        <w:t xml:space="preserve">There is evidence that the patient has a history of severe, progressive, uncontrolled cardiovascular, cerebrovascular, kidney, liver, hematopoietic system, gastrointestinal tract, endocrine, lung, and neurological diseases, as well as other </w:t>
      </w:r>
      <w:r>
        <w:rPr>
          <w:rFonts w:ascii="Times New Roman" w:eastAsia="宋体" w:hAnsi="Times New Roman" w:cs="Times New Roman"/>
          <w:kern w:val="0"/>
          <w:sz w:val="20"/>
          <w:szCs w:val="20"/>
          <w:lang w:val="en-US"/>
        </w:rPr>
        <w:t>investigators</w:t>
      </w:r>
      <w:r w:rsidRPr="008502A7">
        <w:rPr>
          <w:rFonts w:ascii="Times New Roman" w:eastAsia="宋体" w:hAnsi="Times New Roman" w:cs="Times New Roman"/>
          <w:kern w:val="0"/>
          <w:sz w:val="20"/>
          <w:szCs w:val="20"/>
          <w:lang w:val="en-US"/>
        </w:rPr>
        <w:t xml:space="preserve"> </w:t>
      </w:r>
      <w:r>
        <w:rPr>
          <w:rFonts w:ascii="Times New Roman" w:eastAsia="宋体" w:hAnsi="Times New Roman" w:cs="Times New Roman"/>
          <w:kern w:val="0"/>
          <w:sz w:val="20"/>
          <w:szCs w:val="20"/>
          <w:lang w:val="en-US"/>
        </w:rPr>
        <w:t>judge that</w:t>
      </w:r>
      <w:r w:rsidRPr="008502A7">
        <w:rPr>
          <w:rFonts w:ascii="Times New Roman" w:eastAsia="宋体" w:hAnsi="Times New Roman" w:cs="Times New Roman"/>
          <w:kern w:val="0"/>
          <w:sz w:val="20"/>
          <w:szCs w:val="20"/>
          <w:lang w:val="en-US"/>
        </w:rPr>
        <w:t xml:space="preserve"> it inappropriate to join this trial.</w:t>
      </w:r>
    </w:p>
    <w:p w14:paraId="1722789C" w14:textId="525AF94C" w:rsidR="008502A7" w:rsidRDefault="008502A7" w:rsidP="008502A7">
      <w:pPr>
        <w:pStyle w:val="ab"/>
        <w:widowControl/>
        <w:numPr>
          <w:ilvl w:val="0"/>
          <w:numId w:val="2"/>
        </w:numPr>
        <w:ind w:firstLineChars="0"/>
        <w:rPr>
          <w:rFonts w:ascii="Times New Roman" w:eastAsia="宋体" w:hAnsi="Times New Roman" w:cs="Times New Roman"/>
          <w:kern w:val="0"/>
          <w:sz w:val="20"/>
          <w:szCs w:val="20"/>
          <w:lang w:val="en-US"/>
        </w:rPr>
      </w:pPr>
      <w:r w:rsidRPr="008502A7">
        <w:rPr>
          <w:rFonts w:ascii="Times New Roman" w:eastAsia="宋体" w:hAnsi="Times New Roman" w:cs="Times New Roman"/>
          <w:kern w:val="0"/>
          <w:sz w:val="20"/>
          <w:szCs w:val="20"/>
          <w:lang w:val="en-US"/>
        </w:rPr>
        <w:t>The abnormal laboratory indicators that need to be excluded include: white blood cell (WBC) &lt;3.0×109/L, neutrophil (ANC) &lt;1.5×109/L, platelet count (PLT) &lt;100×109/L, hemoglobin ( HGB) &lt;85 g/L, alanine aminotransferase (ALT) or aspartate aminotransferase (AST)&gt; 2 times the upper limit of normal (ULN), alkaline phosphatase (ALP)&gt; 2 times ULN, Serum creatinine (Cr)&gt;1.5 times ULN.</w:t>
      </w:r>
    </w:p>
    <w:p w14:paraId="071AC110" w14:textId="4E69740E" w:rsidR="008502A7" w:rsidRDefault="008502A7" w:rsidP="008502A7">
      <w:pPr>
        <w:pStyle w:val="ab"/>
        <w:widowControl/>
        <w:numPr>
          <w:ilvl w:val="0"/>
          <w:numId w:val="2"/>
        </w:numPr>
        <w:ind w:firstLineChars="0"/>
        <w:rPr>
          <w:rFonts w:ascii="Times New Roman" w:eastAsia="宋体" w:hAnsi="Times New Roman" w:cs="Times New Roman"/>
          <w:kern w:val="0"/>
          <w:sz w:val="20"/>
          <w:szCs w:val="20"/>
          <w:lang w:val="en-US"/>
        </w:rPr>
      </w:pPr>
      <w:r w:rsidRPr="008502A7">
        <w:rPr>
          <w:rFonts w:ascii="Times New Roman" w:eastAsia="宋体" w:hAnsi="Times New Roman" w:cs="Times New Roman"/>
          <w:kern w:val="0"/>
          <w:sz w:val="20"/>
          <w:szCs w:val="20"/>
          <w:lang w:val="en-US"/>
        </w:rPr>
        <w:t>Have or have had other systemic immune diseases (such as systemic lupus erythematosus, etc.), or inflammatory joint diseases other than rheumatoid arthritis (such as gout, reactive arthritis, psoriatic arthritis, Seronegative spondyloarthropathy, Lyme disease, etc.). Patients with rheumatoid arthritis complicated or secondary to Sjogren’s syndrome are allowed to be included in the group if the investigator judges that it will not affect the drug evaluat</w:t>
      </w:r>
      <w:r>
        <w:rPr>
          <w:rFonts w:ascii="Times New Roman" w:eastAsia="宋体" w:hAnsi="Times New Roman" w:cs="Times New Roman"/>
          <w:kern w:val="0"/>
          <w:sz w:val="20"/>
          <w:szCs w:val="20"/>
          <w:lang w:val="en-US"/>
        </w:rPr>
        <w:t>ion</w:t>
      </w:r>
      <w:r w:rsidRPr="008502A7">
        <w:rPr>
          <w:rFonts w:ascii="Times New Roman" w:eastAsia="宋体" w:hAnsi="Times New Roman" w:cs="Times New Roman"/>
          <w:kern w:val="0"/>
          <w:sz w:val="20"/>
          <w:szCs w:val="20"/>
          <w:lang w:val="en-US"/>
        </w:rPr>
        <w:t>.</w:t>
      </w:r>
    </w:p>
    <w:p w14:paraId="4DB11845" w14:textId="1D4D7A61" w:rsidR="008502A7" w:rsidRPr="008502A7" w:rsidRDefault="008502A7" w:rsidP="008502A7">
      <w:pPr>
        <w:pStyle w:val="ab"/>
        <w:widowControl/>
        <w:numPr>
          <w:ilvl w:val="0"/>
          <w:numId w:val="2"/>
        </w:numPr>
        <w:ind w:firstLineChars="0"/>
        <w:jc w:val="left"/>
        <w:rPr>
          <w:rFonts w:ascii="Times New Roman" w:eastAsia="宋体" w:hAnsi="Times New Roman" w:cs="Times New Roman"/>
          <w:kern w:val="0"/>
          <w:sz w:val="20"/>
          <w:szCs w:val="20"/>
          <w:lang w:val="en-US"/>
        </w:rPr>
      </w:pPr>
      <w:r w:rsidRPr="008502A7">
        <w:rPr>
          <w:rFonts w:ascii="Times New Roman" w:eastAsia="宋体" w:hAnsi="Times New Roman" w:cs="Times New Roman"/>
          <w:kern w:val="0"/>
          <w:sz w:val="20"/>
          <w:szCs w:val="20"/>
          <w:lang w:val="en-US"/>
        </w:rPr>
        <w:t>Ha</w:t>
      </w:r>
      <w:r>
        <w:rPr>
          <w:rFonts w:ascii="Times New Roman" w:eastAsia="宋体" w:hAnsi="Times New Roman" w:cs="Times New Roman"/>
          <w:kern w:val="0"/>
          <w:sz w:val="20"/>
          <w:szCs w:val="20"/>
          <w:lang w:val="en-US"/>
        </w:rPr>
        <w:t>d</w:t>
      </w:r>
      <w:r w:rsidRPr="008502A7">
        <w:rPr>
          <w:rFonts w:ascii="Times New Roman" w:eastAsia="宋体" w:hAnsi="Times New Roman" w:cs="Times New Roman"/>
          <w:kern w:val="0"/>
          <w:sz w:val="20"/>
          <w:szCs w:val="20"/>
          <w:lang w:val="en-US"/>
        </w:rPr>
        <w:t xml:space="preserve"> a history of artificial joint infection and the artificial joint is still in the body.</w:t>
      </w:r>
    </w:p>
    <w:p w14:paraId="1DFCFC50" w14:textId="22DE8C7A" w:rsidR="008502A7" w:rsidRPr="008502A7" w:rsidRDefault="008502A7" w:rsidP="008502A7">
      <w:pPr>
        <w:pStyle w:val="ab"/>
        <w:widowControl/>
        <w:numPr>
          <w:ilvl w:val="0"/>
          <w:numId w:val="2"/>
        </w:numPr>
        <w:ind w:firstLineChars="0"/>
        <w:jc w:val="left"/>
        <w:rPr>
          <w:rFonts w:ascii="Times New Roman" w:eastAsia="宋体" w:hAnsi="Times New Roman" w:cs="Times New Roman"/>
          <w:kern w:val="0"/>
          <w:sz w:val="20"/>
          <w:szCs w:val="20"/>
          <w:lang w:val="en-US"/>
        </w:rPr>
      </w:pPr>
      <w:r w:rsidRPr="008502A7">
        <w:rPr>
          <w:rFonts w:ascii="Times New Roman" w:eastAsia="宋体" w:hAnsi="Times New Roman" w:cs="Times New Roman"/>
          <w:kern w:val="0"/>
          <w:sz w:val="20"/>
          <w:szCs w:val="20"/>
          <w:lang w:val="en-US"/>
        </w:rPr>
        <w:t>Ha</w:t>
      </w:r>
      <w:r>
        <w:rPr>
          <w:rFonts w:ascii="Times New Roman" w:eastAsia="宋体" w:hAnsi="Times New Roman" w:cs="Times New Roman"/>
          <w:kern w:val="0"/>
          <w:sz w:val="20"/>
          <w:szCs w:val="20"/>
          <w:lang w:val="en-US"/>
        </w:rPr>
        <w:t>d</w:t>
      </w:r>
      <w:r w:rsidRPr="008502A7">
        <w:rPr>
          <w:rFonts w:ascii="Times New Roman" w:eastAsia="宋体" w:hAnsi="Times New Roman" w:cs="Times New Roman"/>
          <w:kern w:val="0"/>
          <w:sz w:val="20"/>
          <w:szCs w:val="20"/>
          <w:lang w:val="en-US"/>
        </w:rPr>
        <w:t xml:space="preserve"> received more than 3 arthroplasties.</w:t>
      </w:r>
    </w:p>
    <w:p w14:paraId="0D685C76" w14:textId="1E38D90D" w:rsidR="008502A7" w:rsidRPr="008502A7" w:rsidRDefault="008502A7" w:rsidP="008502A7">
      <w:pPr>
        <w:pStyle w:val="ab"/>
        <w:widowControl/>
        <w:numPr>
          <w:ilvl w:val="0"/>
          <w:numId w:val="2"/>
        </w:numPr>
        <w:ind w:firstLineChars="0"/>
        <w:jc w:val="left"/>
        <w:rPr>
          <w:rFonts w:ascii="Times New Roman" w:eastAsia="宋体" w:hAnsi="Times New Roman" w:cs="Times New Roman"/>
          <w:kern w:val="0"/>
          <w:sz w:val="20"/>
          <w:szCs w:val="20"/>
          <w:lang w:val="en-US"/>
        </w:rPr>
      </w:pPr>
      <w:r w:rsidRPr="008502A7">
        <w:rPr>
          <w:rFonts w:ascii="Times New Roman" w:eastAsia="宋体" w:hAnsi="Times New Roman" w:cs="Times New Roman"/>
          <w:kern w:val="0"/>
          <w:sz w:val="20"/>
          <w:szCs w:val="20"/>
          <w:lang w:val="en-US"/>
        </w:rPr>
        <w:t>Ha</w:t>
      </w:r>
      <w:r>
        <w:rPr>
          <w:rFonts w:ascii="Times New Roman" w:eastAsia="宋体" w:hAnsi="Times New Roman" w:cs="Times New Roman"/>
          <w:kern w:val="0"/>
          <w:sz w:val="20"/>
          <w:szCs w:val="20"/>
          <w:lang w:val="en-US"/>
        </w:rPr>
        <w:t>d</w:t>
      </w:r>
      <w:r w:rsidRPr="008502A7">
        <w:rPr>
          <w:rFonts w:ascii="Times New Roman" w:eastAsia="宋体" w:hAnsi="Times New Roman" w:cs="Times New Roman"/>
          <w:kern w:val="0"/>
          <w:sz w:val="20"/>
          <w:szCs w:val="20"/>
          <w:lang w:val="en-US"/>
        </w:rPr>
        <w:t xml:space="preserve"> undergone organ transplantation within 6 months before screening.</w:t>
      </w:r>
    </w:p>
    <w:p w14:paraId="5224E553" w14:textId="261D850C" w:rsidR="008502A7" w:rsidRDefault="008502A7" w:rsidP="008502A7">
      <w:pPr>
        <w:pStyle w:val="ab"/>
        <w:widowControl/>
        <w:numPr>
          <w:ilvl w:val="0"/>
          <w:numId w:val="2"/>
        </w:numPr>
        <w:ind w:firstLineChars="0"/>
        <w:jc w:val="left"/>
        <w:rPr>
          <w:rFonts w:ascii="Times New Roman" w:eastAsia="宋体" w:hAnsi="Times New Roman" w:cs="Times New Roman"/>
          <w:kern w:val="0"/>
          <w:sz w:val="20"/>
          <w:szCs w:val="20"/>
          <w:lang w:val="en-US"/>
        </w:rPr>
      </w:pPr>
      <w:r w:rsidRPr="008502A7">
        <w:rPr>
          <w:rFonts w:ascii="Times New Roman" w:eastAsia="宋体" w:hAnsi="Times New Roman" w:cs="Times New Roman"/>
          <w:kern w:val="0"/>
          <w:sz w:val="20"/>
          <w:szCs w:val="20"/>
          <w:lang w:val="en-US"/>
        </w:rPr>
        <w:t>Women who are breastfeeding.</w:t>
      </w:r>
    </w:p>
    <w:p w14:paraId="3E9619D9" w14:textId="755C72A5" w:rsidR="008502A7" w:rsidRDefault="008502A7" w:rsidP="008502A7">
      <w:pPr>
        <w:pStyle w:val="ab"/>
        <w:widowControl/>
        <w:numPr>
          <w:ilvl w:val="0"/>
          <w:numId w:val="2"/>
        </w:numPr>
        <w:ind w:firstLineChars="0"/>
        <w:jc w:val="left"/>
        <w:rPr>
          <w:rFonts w:ascii="Times New Roman" w:eastAsia="宋体" w:hAnsi="Times New Roman" w:cs="Times New Roman"/>
          <w:kern w:val="0"/>
          <w:sz w:val="20"/>
          <w:szCs w:val="20"/>
          <w:lang w:val="en-US"/>
        </w:rPr>
      </w:pPr>
      <w:r>
        <w:rPr>
          <w:rFonts w:ascii="Times New Roman" w:eastAsia="宋体" w:hAnsi="Times New Roman" w:cs="Times New Roman"/>
          <w:kern w:val="0"/>
          <w:sz w:val="20"/>
          <w:szCs w:val="20"/>
          <w:lang w:val="en-US"/>
        </w:rPr>
        <w:t xml:space="preserve">Had </w:t>
      </w:r>
      <w:r w:rsidRPr="008502A7">
        <w:rPr>
          <w:rFonts w:ascii="Times New Roman" w:eastAsia="宋体" w:hAnsi="Times New Roman" w:cs="Times New Roman"/>
          <w:kern w:val="0"/>
          <w:sz w:val="20"/>
          <w:szCs w:val="20"/>
          <w:lang w:val="en-US"/>
        </w:rPr>
        <w:t>a long history of alcohol or drug abuse.</w:t>
      </w:r>
    </w:p>
    <w:p w14:paraId="52E63BCF" w14:textId="10653340" w:rsidR="008502A7" w:rsidRPr="008502A7" w:rsidRDefault="008502A7" w:rsidP="008502A7">
      <w:pPr>
        <w:pStyle w:val="ab"/>
        <w:widowControl/>
        <w:numPr>
          <w:ilvl w:val="0"/>
          <w:numId w:val="2"/>
        </w:numPr>
        <w:ind w:firstLineChars="0"/>
        <w:rPr>
          <w:rFonts w:ascii="Times New Roman" w:eastAsia="宋体" w:hAnsi="Times New Roman" w:cs="Times New Roman"/>
          <w:kern w:val="0"/>
          <w:sz w:val="20"/>
          <w:szCs w:val="20"/>
          <w:lang w:val="en-US"/>
        </w:rPr>
      </w:pPr>
      <w:r w:rsidRPr="008502A7">
        <w:rPr>
          <w:rFonts w:ascii="Times New Roman" w:eastAsia="宋体" w:hAnsi="Times New Roman" w:cs="Times New Roman"/>
          <w:kern w:val="0"/>
          <w:sz w:val="20"/>
          <w:szCs w:val="20"/>
          <w:lang w:val="en-US"/>
        </w:rPr>
        <w:t>The patient has insufficient communication, understanding and cooperation skills, or has a low level of education, cannot understand and fill in the relevant forms correctly, has a history of not following the doctor’s prescription, or has other conditions that may interfere with the patient’s compliance (such as: mental illness, Frequent travel, lack of motivation to take the test, etc.).</w:t>
      </w:r>
    </w:p>
    <w:p w14:paraId="76A72A0F" w14:textId="2885D5A7" w:rsidR="008502A7" w:rsidRPr="008502A7" w:rsidRDefault="008502A7" w:rsidP="008502A7">
      <w:pPr>
        <w:pStyle w:val="ab"/>
        <w:widowControl/>
        <w:numPr>
          <w:ilvl w:val="0"/>
          <w:numId w:val="2"/>
        </w:numPr>
        <w:ind w:firstLineChars="0"/>
        <w:rPr>
          <w:rFonts w:ascii="Times New Roman" w:eastAsia="宋体" w:hAnsi="Times New Roman" w:cs="Times New Roman"/>
          <w:kern w:val="0"/>
          <w:sz w:val="20"/>
          <w:szCs w:val="20"/>
          <w:lang w:val="en-US"/>
        </w:rPr>
      </w:pPr>
      <w:r w:rsidRPr="008502A7">
        <w:rPr>
          <w:rFonts w:ascii="Times New Roman" w:eastAsia="宋体" w:hAnsi="Times New Roman" w:cs="Times New Roman"/>
          <w:kern w:val="0"/>
          <w:sz w:val="20"/>
          <w:szCs w:val="20"/>
          <w:lang w:val="en-US"/>
        </w:rPr>
        <w:t>The investigator believes that those with other diseases (such as clinically significant symptoms or abnormal laboratory indicators) are not suitable for participating in this clinical trial.</w:t>
      </w:r>
    </w:p>
    <w:p w14:paraId="4D7A3C10" w14:textId="655F1B4F" w:rsidR="004505F1" w:rsidRPr="008502A7" w:rsidRDefault="004505F1" w:rsidP="008502A7">
      <w:pPr>
        <w:widowControl/>
        <w:rPr>
          <w:rFonts w:ascii="Times New Roman" w:eastAsia="宋体" w:hAnsi="Times New Roman" w:cs="Times New Roman"/>
          <w:kern w:val="0"/>
          <w:sz w:val="20"/>
          <w:szCs w:val="20"/>
        </w:rPr>
      </w:pPr>
    </w:p>
    <w:p w14:paraId="0CA79C50" w14:textId="77777777" w:rsidR="004505F1" w:rsidRPr="004505F1" w:rsidRDefault="004505F1" w:rsidP="004505F1">
      <w:pPr>
        <w:widowControl/>
        <w:jc w:val="left"/>
        <w:rPr>
          <w:rFonts w:ascii="Times New Roman" w:eastAsia="宋体" w:hAnsi="Times New Roman" w:cs="Times New Roman"/>
          <w:kern w:val="0"/>
          <w:sz w:val="20"/>
          <w:szCs w:val="20"/>
          <w:lang w:val="en-US"/>
        </w:rPr>
      </w:pPr>
    </w:p>
    <w:p w14:paraId="03CF78B9" w14:textId="5CECA1DB" w:rsidR="000963A6" w:rsidRPr="00AD4270" w:rsidRDefault="000963A6" w:rsidP="00584EFD">
      <w:pPr>
        <w:widowControl/>
        <w:jc w:val="left"/>
        <w:rPr>
          <w:rFonts w:ascii="Times New Roman" w:hAnsi="Times New Roman" w:cs="Times New Roman"/>
          <w:sz w:val="20"/>
          <w:szCs w:val="20"/>
          <w:lang w:val="en-US"/>
        </w:rPr>
      </w:pPr>
    </w:p>
    <w:p w14:paraId="7D0A31D6" w14:textId="688BC5B7" w:rsidR="000963A6" w:rsidRDefault="000963A6" w:rsidP="00584EFD">
      <w:pPr>
        <w:widowControl/>
        <w:jc w:val="left"/>
        <w:rPr>
          <w:rFonts w:ascii="Times New Roman" w:hAnsi="Times New Roman" w:cs="Times New Roman"/>
          <w:sz w:val="20"/>
          <w:szCs w:val="20"/>
        </w:rPr>
      </w:pPr>
    </w:p>
    <w:p w14:paraId="552CF105" w14:textId="38272A1A" w:rsidR="007B184D" w:rsidRDefault="007B184D" w:rsidP="00584EFD">
      <w:pPr>
        <w:widowControl/>
        <w:jc w:val="left"/>
        <w:rPr>
          <w:rFonts w:ascii="Times New Roman" w:hAnsi="Times New Roman" w:cs="Times New Roman"/>
          <w:sz w:val="20"/>
          <w:szCs w:val="20"/>
        </w:rPr>
      </w:pPr>
    </w:p>
    <w:p w14:paraId="6B63B12E" w14:textId="6A912F23" w:rsidR="000963A6" w:rsidRPr="000963A6" w:rsidRDefault="000963A6" w:rsidP="00584EFD">
      <w:pPr>
        <w:widowControl/>
        <w:jc w:val="left"/>
        <w:rPr>
          <w:rFonts w:ascii="Times New Roman" w:hAnsi="Times New Roman" w:cs="Times New Roman"/>
          <w:sz w:val="20"/>
          <w:szCs w:val="20"/>
        </w:rPr>
      </w:pPr>
    </w:p>
    <w:p w14:paraId="6AFDE73D" w14:textId="77777777" w:rsidR="00A14873" w:rsidRDefault="00A14873">
      <w:pPr>
        <w:widowControl/>
        <w:jc w:val="left"/>
        <w:rPr>
          <w:rFonts w:ascii="Times New Roman" w:hAnsi="Times New Roman" w:cs="Times New Roman"/>
          <w:b/>
          <w:bCs/>
          <w:kern w:val="44"/>
          <w:sz w:val="20"/>
          <w:szCs w:val="20"/>
        </w:rPr>
      </w:pPr>
      <w:r>
        <w:rPr>
          <w:rFonts w:ascii="Times New Roman" w:hAnsi="Times New Roman" w:cs="Times New Roman"/>
          <w:sz w:val="20"/>
          <w:szCs w:val="20"/>
        </w:rPr>
        <w:br w:type="page"/>
      </w:r>
    </w:p>
    <w:p w14:paraId="1366D550" w14:textId="57B2373C" w:rsidR="00584EFD" w:rsidRPr="00CA0CC7" w:rsidRDefault="00584EFD" w:rsidP="00CA0CC7">
      <w:pPr>
        <w:pStyle w:val="1"/>
        <w:rPr>
          <w:rFonts w:ascii="Times New Roman" w:hAnsi="Times New Roman" w:cs="Times New Roman"/>
          <w:kern w:val="2"/>
          <w:sz w:val="20"/>
          <w:szCs w:val="20"/>
        </w:rPr>
      </w:pPr>
      <w:bookmarkStart w:id="2" w:name="_Toc65376353"/>
      <w:r w:rsidRPr="00CA0CC7">
        <w:rPr>
          <w:rFonts w:ascii="Times New Roman" w:hAnsi="Times New Roman" w:cs="Times New Roman"/>
          <w:sz w:val="20"/>
          <w:szCs w:val="20"/>
        </w:rPr>
        <w:t>Appendix S</w:t>
      </w:r>
      <w:r w:rsidR="00FA1CD5" w:rsidRPr="00CA0CC7">
        <w:rPr>
          <w:rFonts w:ascii="Times New Roman" w:hAnsi="Times New Roman" w:cs="Times New Roman"/>
          <w:sz w:val="20"/>
          <w:szCs w:val="20"/>
        </w:rPr>
        <w:t>1</w:t>
      </w:r>
      <w:r w:rsidRPr="00CA0CC7">
        <w:rPr>
          <w:rFonts w:ascii="Times New Roman" w:hAnsi="Times New Roman" w:cs="Times New Roman"/>
          <w:sz w:val="20"/>
          <w:szCs w:val="20"/>
        </w:rPr>
        <w:t xml:space="preserve">. </w:t>
      </w:r>
      <w:r w:rsidRPr="00CA0CC7">
        <w:rPr>
          <w:rFonts w:ascii="Times New Roman" w:eastAsia="宋体" w:hAnsi="Times New Roman" w:cs="Times New Roman"/>
          <w:kern w:val="0"/>
          <w:sz w:val="20"/>
          <w:szCs w:val="20"/>
          <w:lang w:val="en-US"/>
        </w:rPr>
        <w:t>Change of Efficacy Components at Week 30 from Baseline (FAS)</w:t>
      </w:r>
      <w:bookmarkEnd w:id="2"/>
    </w:p>
    <w:tbl>
      <w:tblPr>
        <w:tblStyle w:val="a3"/>
        <w:tblW w:w="0" w:type="auto"/>
        <w:tblLook w:val="04A0" w:firstRow="1" w:lastRow="0" w:firstColumn="1" w:lastColumn="0" w:noHBand="0" w:noVBand="1"/>
      </w:tblPr>
      <w:tblGrid>
        <w:gridCol w:w="3485"/>
        <w:gridCol w:w="3485"/>
        <w:gridCol w:w="3486"/>
      </w:tblGrid>
      <w:tr w:rsidR="00584EFD" w:rsidRPr="000963A6" w14:paraId="1CE9858B" w14:textId="77777777" w:rsidTr="000963A6">
        <w:tc>
          <w:tcPr>
            <w:tcW w:w="3485" w:type="dxa"/>
            <w:tcBorders>
              <w:top w:val="single" w:sz="4" w:space="0" w:color="auto"/>
              <w:left w:val="nil"/>
              <w:bottom w:val="single" w:sz="4" w:space="0" w:color="auto"/>
              <w:right w:val="nil"/>
            </w:tcBorders>
          </w:tcPr>
          <w:p w14:paraId="6BA0E05F" w14:textId="19DA0B35" w:rsidR="00584EFD" w:rsidRPr="000963A6" w:rsidRDefault="00584EFD" w:rsidP="000C0E6D">
            <w:pPr>
              <w:widowControl/>
              <w:jc w:val="left"/>
              <w:rPr>
                <w:rFonts w:ascii="Times New Roman" w:hAnsi="Times New Roman" w:cs="Times New Roman"/>
                <w:sz w:val="20"/>
                <w:szCs w:val="20"/>
                <w:lang w:val="en-US"/>
              </w:rPr>
            </w:pPr>
            <w:r w:rsidRPr="000963A6">
              <w:rPr>
                <w:rFonts w:ascii="Times New Roman" w:hAnsi="Times New Roman" w:cs="Times New Roman"/>
                <w:sz w:val="20"/>
                <w:szCs w:val="20"/>
                <w:lang w:val="en-US"/>
              </w:rPr>
              <w:t>Outcome (mean (SD))</w:t>
            </w:r>
          </w:p>
        </w:tc>
        <w:tc>
          <w:tcPr>
            <w:tcW w:w="3485" w:type="dxa"/>
            <w:tcBorders>
              <w:top w:val="single" w:sz="4" w:space="0" w:color="auto"/>
              <w:left w:val="nil"/>
              <w:bottom w:val="single" w:sz="4" w:space="0" w:color="auto"/>
              <w:right w:val="nil"/>
            </w:tcBorders>
          </w:tcPr>
          <w:p w14:paraId="15CC8557" w14:textId="676C5984" w:rsidR="00584EFD" w:rsidRPr="000963A6" w:rsidRDefault="00584EFD" w:rsidP="000C0E6D">
            <w:pPr>
              <w:widowControl/>
              <w:jc w:val="left"/>
              <w:rPr>
                <w:rFonts w:ascii="Times New Roman" w:hAnsi="Times New Roman" w:cs="Times New Roman"/>
                <w:sz w:val="20"/>
                <w:szCs w:val="20"/>
                <w:lang w:val="en-US"/>
              </w:rPr>
            </w:pPr>
            <w:r w:rsidRPr="000963A6">
              <w:rPr>
                <w:rFonts w:ascii="Times New Roman" w:hAnsi="Times New Roman" w:cs="Times New Roman"/>
                <w:sz w:val="20"/>
                <w:szCs w:val="20"/>
                <w:lang w:val="en-US"/>
              </w:rPr>
              <w:t>GB242</w:t>
            </w:r>
          </w:p>
        </w:tc>
        <w:tc>
          <w:tcPr>
            <w:tcW w:w="3486" w:type="dxa"/>
            <w:tcBorders>
              <w:top w:val="single" w:sz="4" w:space="0" w:color="auto"/>
              <w:left w:val="nil"/>
              <w:bottom w:val="single" w:sz="4" w:space="0" w:color="auto"/>
              <w:right w:val="nil"/>
            </w:tcBorders>
          </w:tcPr>
          <w:p w14:paraId="62241293" w14:textId="74204D16" w:rsidR="00584EFD" w:rsidRPr="000963A6" w:rsidRDefault="00584EFD" w:rsidP="000C0E6D">
            <w:pPr>
              <w:widowControl/>
              <w:jc w:val="left"/>
              <w:rPr>
                <w:rFonts w:ascii="Times New Roman" w:hAnsi="Times New Roman" w:cs="Times New Roman"/>
                <w:sz w:val="20"/>
                <w:szCs w:val="20"/>
                <w:lang w:val="en-US"/>
              </w:rPr>
            </w:pPr>
            <w:r w:rsidRPr="000963A6">
              <w:rPr>
                <w:rFonts w:ascii="Times New Roman" w:hAnsi="Times New Roman" w:cs="Times New Roman"/>
                <w:sz w:val="20"/>
                <w:szCs w:val="20"/>
                <w:lang w:val="en-US"/>
              </w:rPr>
              <w:t>INF</w:t>
            </w:r>
          </w:p>
        </w:tc>
      </w:tr>
      <w:tr w:rsidR="00584EFD" w:rsidRPr="000963A6" w14:paraId="125218D6" w14:textId="77777777" w:rsidTr="000963A6">
        <w:tc>
          <w:tcPr>
            <w:tcW w:w="3485" w:type="dxa"/>
            <w:tcBorders>
              <w:top w:val="single" w:sz="4" w:space="0" w:color="auto"/>
              <w:left w:val="nil"/>
              <w:bottom w:val="nil"/>
              <w:right w:val="nil"/>
            </w:tcBorders>
          </w:tcPr>
          <w:p w14:paraId="45B4EDCD" w14:textId="3B52A0D5" w:rsidR="00584EFD" w:rsidRPr="000963A6" w:rsidRDefault="00584EFD" w:rsidP="000C0E6D">
            <w:pPr>
              <w:widowControl/>
              <w:jc w:val="left"/>
              <w:rPr>
                <w:rFonts w:ascii="Times New Roman" w:hAnsi="Times New Roman" w:cs="Times New Roman"/>
                <w:sz w:val="20"/>
                <w:szCs w:val="20"/>
                <w:lang w:val="en-US"/>
              </w:rPr>
            </w:pPr>
            <w:r w:rsidRPr="000963A6">
              <w:rPr>
                <w:rFonts w:ascii="Times New Roman" w:hAnsi="Times New Roman" w:cs="Times New Roman"/>
                <w:sz w:val="20"/>
                <w:szCs w:val="20"/>
                <w:lang w:val="en-US"/>
              </w:rPr>
              <w:t>Tender Joint Count (68 joints)</w:t>
            </w:r>
          </w:p>
        </w:tc>
        <w:tc>
          <w:tcPr>
            <w:tcW w:w="3485" w:type="dxa"/>
            <w:tcBorders>
              <w:top w:val="single" w:sz="4" w:space="0" w:color="auto"/>
              <w:left w:val="nil"/>
              <w:bottom w:val="nil"/>
              <w:right w:val="nil"/>
            </w:tcBorders>
          </w:tcPr>
          <w:p w14:paraId="4913B62D" w14:textId="11024C86" w:rsidR="00584EFD" w:rsidRPr="000963A6" w:rsidRDefault="00FD38F0" w:rsidP="000C0E6D">
            <w:pPr>
              <w:widowControl/>
              <w:jc w:val="left"/>
              <w:rPr>
                <w:rFonts w:ascii="Times New Roman" w:hAnsi="Times New Roman" w:cs="Times New Roman"/>
                <w:sz w:val="20"/>
                <w:szCs w:val="20"/>
                <w:lang w:val="en-US"/>
              </w:rPr>
            </w:pPr>
            <w:r w:rsidRPr="000963A6">
              <w:rPr>
                <w:rFonts w:ascii="Times New Roman" w:hAnsi="Times New Roman" w:cs="Times New Roman"/>
                <w:kern w:val="0"/>
                <w:sz w:val="20"/>
                <w:szCs w:val="20"/>
                <w:lang w:val="en-US"/>
              </w:rPr>
              <w:t>-8.4 (7.29)</w:t>
            </w:r>
          </w:p>
        </w:tc>
        <w:tc>
          <w:tcPr>
            <w:tcW w:w="3486" w:type="dxa"/>
            <w:tcBorders>
              <w:top w:val="single" w:sz="4" w:space="0" w:color="auto"/>
              <w:left w:val="nil"/>
              <w:bottom w:val="nil"/>
              <w:right w:val="nil"/>
            </w:tcBorders>
          </w:tcPr>
          <w:p w14:paraId="1440BAFC" w14:textId="178C0210" w:rsidR="00584EFD" w:rsidRPr="000963A6" w:rsidRDefault="00FD38F0" w:rsidP="000C0E6D">
            <w:pPr>
              <w:widowControl/>
              <w:jc w:val="left"/>
              <w:rPr>
                <w:rFonts w:ascii="Times New Roman" w:hAnsi="Times New Roman" w:cs="Times New Roman"/>
                <w:sz w:val="20"/>
                <w:szCs w:val="20"/>
                <w:lang w:val="en-US"/>
              </w:rPr>
            </w:pPr>
            <w:r w:rsidRPr="000963A6">
              <w:rPr>
                <w:rFonts w:ascii="Times New Roman" w:hAnsi="Times New Roman" w:cs="Times New Roman"/>
                <w:kern w:val="0"/>
                <w:sz w:val="20"/>
                <w:szCs w:val="20"/>
                <w:lang w:val="en-US"/>
              </w:rPr>
              <w:t>-8.0 (7.06)</w:t>
            </w:r>
          </w:p>
        </w:tc>
      </w:tr>
      <w:tr w:rsidR="00584EFD" w:rsidRPr="000963A6" w14:paraId="41409974" w14:textId="77777777" w:rsidTr="000963A6">
        <w:tc>
          <w:tcPr>
            <w:tcW w:w="3485" w:type="dxa"/>
            <w:tcBorders>
              <w:top w:val="nil"/>
              <w:left w:val="nil"/>
              <w:bottom w:val="nil"/>
              <w:right w:val="nil"/>
            </w:tcBorders>
          </w:tcPr>
          <w:p w14:paraId="728F8190" w14:textId="6510D088" w:rsidR="00584EFD" w:rsidRPr="000963A6" w:rsidRDefault="00584EFD" w:rsidP="000C0E6D">
            <w:pPr>
              <w:widowControl/>
              <w:jc w:val="left"/>
              <w:rPr>
                <w:rFonts w:ascii="Times New Roman" w:hAnsi="Times New Roman" w:cs="Times New Roman"/>
                <w:sz w:val="20"/>
                <w:szCs w:val="20"/>
                <w:lang w:val="en-US"/>
              </w:rPr>
            </w:pPr>
            <w:r w:rsidRPr="000963A6">
              <w:rPr>
                <w:rFonts w:ascii="Times New Roman" w:hAnsi="Times New Roman" w:cs="Times New Roman"/>
                <w:sz w:val="20"/>
                <w:szCs w:val="20"/>
              </w:rPr>
              <w:t>Swollen Joint Count (66 joints)</w:t>
            </w:r>
          </w:p>
        </w:tc>
        <w:tc>
          <w:tcPr>
            <w:tcW w:w="3485" w:type="dxa"/>
            <w:tcBorders>
              <w:top w:val="nil"/>
              <w:left w:val="nil"/>
              <w:bottom w:val="nil"/>
              <w:right w:val="nil"/>
            </w:tcBorders>
          </w:tcPr>
          <w:p w14:paraId="066A5785" w14:textId="431C0E73" w:rsidR="00584EFD" w:rsidRPr="000963A6" w:rsidRDefault="00FD38F0" w:rsidP="00FD38F0">
            <w:pPr>
              <w:autoSpaceDE w:val="0"/>
              <w:autoSpaceDN w:val="0"/>
              <w:adjustRightInd w:val="0"/>
              <w:spacing w:before="20" w:after="20"/>
              <w:rPr>
                <w:rFonts w:ascii="Times New Roman" w:hAnsi="Times New Roman" w:cs="Times New Roman"/>
                <w:kern w:val="0"/>
                <w:sz w:val="20"/>
                <w:szCs w:val="20"/>
                <w:lang w:val="en-US"/>
              </w:rPr>
            </w:pPr>
            <w:r w:rsidRPr="000963A6">
              <w:rPr>
                <w:rFonts w:ascii="Times New Roman" w:hAnsi="Times New Roman" w:cs="Times New Roman"/>
                <w:kern w:val="0"/>
                <w:sz w:val="20"/>
                <w:szCs w:val="20"/>
                <w:lang w:val="en-US"/>
              </w:rPr>
              <w:t>-6.7 (5.30)</w:t>
            </w:r>
          </w:p>
        </w:tc>
        <w:tc>
          <w:tcPr>
            <w:tcW w:w="3486" w:type="dxa"/>
            <w:tcBorders>
              <w:top w:val="nil"/>
              <w:left w:val="nil"/>
              <w:bottom w:val="nil"/>
              <w:right w:val="nil"/>
            </w:tcBorders>
          </w:tcPr>
          <w:p w14:paraId="38AC3380" w14:textId="6F7DAB28" w:rsidR="00584EFD" w:rsidRPr="000963A6" w:rsidRDefault="00FD38F0" w:rsidP="000C0E6D">
            <w:pPr>
              <w:widowControl/>
              <w:jc w:val="left"/>
              <w:rPr>
                <w:rFonts w:ascii="Times New Roman" w:hAnsi="Times New Roman" w:cs="Times New Roman"/>
                <w:sz w:val="20"/>
                <w:szCs w:val="20"/>
                <w:lang w:val="en-US"/>
              </w:rPr>
            </w:pPr>
            <w:r w:rsidRPr="000963A6">
              <w:rPr>
                <w:rFonts w:ascii="Times New Roman" w:hAnsi="Times New Roman" w:cs="Times New Roman"/>
                <w:kern w:val="0"/>
                <w:sz w:val="20"/>
                <w:szCs w:val="20"/>
                <w:lang w:val="en-US"/>
              </w:rPr>
              <w:t>-6.8 (5.55)</w:t>
            </w:r>
          </w:p>
        </w:tc>
      </w:tr>
      <w:tr w:rsidR="00584EFD" w:rsidRPr="000963A6" w14:paraId="1CE6E88B" w14:textId="77777777" w:rsidTr="000963A6">
        <w:tc>
          <w:tcPr>
            <w:tcW w:w="3485" w:type="dxa"/>
            <w:tcBorders>
              <w:top w:val="nil"/>
              <w:left w:val="nil"/>
              <w:bottom w:val="nil"/>
              <w:right w:val="nil"/>
            </w:tcBorders>
          </w:tcPr>
          <w:p w14:paraId="664BDCD1" w14:textId="2C4E48CF" w:rsidR="00584EFD" w:rsidRPr="000963A6" w:rsidRDefault="00584EFD" w:rsidP="000C0E6D">
            <w:pPr>
              <w:widowControl/>
              <w:jc w:val="left"/>
              <w:rPr>
                <w:rFonts w:ascii="Times New Roman" w:hAnsi="Times New Roman" w:cs="Times New Roman"/>
                <w:sz w:val="20"/>
                <w:szCs w:val="20"/>
                <w:lang w:val="en-US"/>
              </w:rPr>
            </w:pPr>
            <w:r w:rsidRPr="000963A6">
              <w:rPr>
                <w:rFonts w:ascii="Times New Roman" w:hAnsi="Times New Roman" w:cs="Times New Roman"/>
                <w:sz w:val="20"/>
                <w:szCs w:val="20"/>
              </w:rPr>
              <w:t xml:space="preserve">Patient </w:t>
            </w:r>
            <w:r w:rsidR="00FD38F0" w:rsidRPr="000963A6">
              <w:rPr>
                <w:rFonts w:ascii="Times New Roman" w:hAnsi="Times New Roman" w:cs="Times New Roman"/>
                <w:sz w:val="20"/>
                <w:szCs w:val="20"/>
              </w:rPr>
              <w:t xml:space="preserve">pain </w:t>
            </w:r>
            <w:r w:rsidRPr="000963A6">
              <w:rPr>
                <w:rFonts w:ascii="Times New Roman" w:hAnsi="Times New Roman" w:cs="Times New Roman"/>
                <w:sz w:val="20"/>
                <w:szCs w:val="20"/>
              </w:rPr>
              <w:t xml:space="preserve">VAS (mm) </w:t>
            </w:r>
          </w:p>
        </w:tc>
        <w:tc>
          <w:tcPr>
            <w:tcW w:w="3485" w:type="dxa"/>
            <w:tcBorders>
              <w:top w:val="nil"/>
              <w:left w:val="nil"/>
              <w:bottom w:val="nil"/>
              <w:right w:val="nil"/>
            </w:tcBorders>
          </w:tcPr>
          <w:p w14:paraId="07632A6D" w14:textId="4E26CD13" w:rsidR="00584EFD" w:rsidRPr="000963A6" w:rsidRDefault="00FD38F0" w:rsidP="00FD38F0">
            <w:pPr>
              <w:autoSpaceDE w:val="0"/>
              <w:autoSpaceDN w:val="0"/>
              <w:adjustRightInd w:val="0"/>
              <w:spacing w:before="20" w:after="20"/>
              <w:rPr>
                <w:rFonts w:ascii="Times New Roman" w:hAnsi="Times New Roman" w:cs="Times New Roman"/>
                <w:kern w:val="0"/>
                <w:sz w:val="20"/>
                <w:szCs w:val="20"/>
                <w:lang w:val="en-US"/>
              </w:rPr>
            </w:pPr>
            <w:r w:rsidRPr="000963A6">
              <w:rPr>
                <w:rFonts w:ascii="Times New Roman" w:hAnsi="Times New Roman" w:cs="Times New Roman"/>
                <w:kern w:val="0"/>
                <w:sz w:val="20"/>
                <w:szCs w:val="20"/>
                <w:lang w:val="en-US"/>
              </w:rPr>
              <w:t>-2.901 (2.4538)</w:t>
            </w:r>
          </w:p>
        </w:tc>
        <w:tc>
          <w:tcPr>
            <w:tcW w:w="3486" w:type="dxa"/>
            <w:tcBorders>
              <w:top w:val="nil"/>
              <w:left w:val="nil"/>
              <w:bottom w:val="nil"/>
              <w:right w:val="nil"/>
            </w:tcBorders>
          </w:tcPr>
          <w:p w14:paraId="025F4BAD" w14:textId="41962FAD" w:rsidR="00584EFD" w:rsidRPr="000963A6" w:rsidRDefault="00FD38F0" w:rsidP="000C0E6D">
            <w:pPr>
              <w:widowControl/>
              <w:jc w:val="left"/>
              <w:rPr>
                <w:rFonts w:ascii="Times New Roman" w:hAnsi="Times New Roman" w:cs="Times New Roman"/>
                <w:sz w:val="20"/>
                <w:szCs w:val="20"/>
                <w:lang w:val="en-US"/>
              </w:rPr>
            </w:pPr>
            <w:r w:rsidRPr="000963A6">
              <w:rPr>
                <w:rFonts w:ascii="Times New Roman" w:hAnsi="Times New Roman" w:cs="Times New Roman"/>
                <w:kern w:val="0"/>
                <w:sz w:val="20"/>
                <w:szCs w:val="20"/>
                <w:lang w:val="en-US"/>
              </w:rPr>
              <w:t>-2.782 (2.5423)</w:t>
            </w:r>
          </w:p>
        </w:tc>
      </w:tr>
      <w:tr w:rsidR="00584EFD" w:rsidRPr="000963A6" w14:paraId="66437D47" w14:textId="77777777" w:rsidTr="000963A6">
        <w:tc>
          <w:tcPr>
            <w:tcW w:w="3485" w:type="dxa"/>
            <w:tcBorders>
              <w:top w:val="nil"/>
              <w:left w:val="nil"/>
              <w:bottom w:val="nil"/>
              <w:right w:val="nil"/>
            </w:tcBorders>
          </w:tcPr>
          <w:p w14:paraId="6173D4EB" w14:textId="5680B249" w:rsidR="00584EFD" w:rsidRPr="000963A6" w:rsidRDefault="00224754" w:rsidP="000C0E6D">
            <w:pPr>
              <w:widowControl/>
              <w:jc w:val="left"/>
              <w:rPr>
                <w:rFonts w:ascii="Times New Roman" w:hAnsi="Times New Roman" w:cs="Times New Roman"/>
                <w:sz w:val="20"/>
                <w:szCs w:val="20"/>
                <w:lang w:val="en-US"/>
              </w:rPr>
            </w:pPr>
            <w:r w:rsidRPr="000963A6">
              <w:rPr>
                <w:rFonts w:ascii="Times New Roman" w:hAnsi="Times New Roman" w:cs="Times New Roman"/>
                <w:sz w:val="20"/>
                <w:szCs w:val="20"/>
                <w:lang w:val="en-US"/>
              </w:rPr>
              <w:t>VAS from Patient</w:t>
            </w:r>
          </w:p>
        </w:tc>
        <w:tc>
          <w:tcPr>
            <w:tcW w:w="3485" w:type="dxa"/>
            <w:tcBorders>
              <w:top w:val="nil"/>
              <w:left w:val="nil"/>
              <w:bottom w:val="nil"/>
              <w:right w:val="nil"/>
            </w:tcBorders>
          </w:tcPr>
          <w:p w14:paraId="33BC2399" w14:textId="2A9F1261" w:rsidR="00584EFD" w:rsidRPr="000963A6" w:rsidRDefault="00224754" w:rsidP="000963A6">
            <w:pPr>
              <w:autoSpaceDE w:val="0"/>
              <w:autoSpaceDN w:val="0"/>
              <w:adjustRightInd w:val="0"/>
              <w:spacing w:before="20" w:after="20"/>
              <w:rPr>
                <w:rFonts w:ascii="Times New Roman" w:hAnsi="Times New Roman" w:cs="Times New Roman"/>
                <w:kern w:val="0"/>
                <w:sz w:val="20"/>
                <w:szCs w:val="20"/>
                <w:lang w:val="en-US"/>
              </w:rPr>
            </w:pPr>
            <w:r w:rsidRPr="000963A6">
              <w:rPr>
                <w:rFonts w:ascii="Times New Roman" w:hAnsi="Times New Roman" w:cs="Times New Roman"/>
                <w:kern w:val="0"/>
                <w:sz w:val="20"/>
                <w:szCs w:val="20"/>
                <w:lang w:val="en-US"/>
              </w:rPr>
              <w:t>-2.979 (2.4516)</w:t>
            </w:r>
          </w:p>
        </w:tc>
        <w:tc>
          <w:tcPr>
            <w:tcW w:w="3486" w:type="dxa"/>
            <w:tcBorders>
              <w:top w:val="nil"/>
              <w:left w:val="nil"/>
              <w:bottom w:val="nil"/>
              <w:right w:val="nil"/>
            </w:tcBorders>
          </w:tcPr>
          <w:p w14:paraId="53AE7175" w14:textId="3390CECF" w:rsidR="00584EFD" w:rsidRPr="000963A6" w:rsidRDefault="00224754" w:rsidP="000C0E6D">
            <w:pPr>
              <w:widowControl/>
              <w:jc w:val="left"/>
              <w:rPr>
                <w:rFonts w:ascii="Times New Roman" w:hAnsi="Times New Roman" w:cs="Times New Roman"/>
                <w:sz w:val="20"/>
                <w:szCs w:val="20"/>
                <w:lang w:val="en-US"/>
              </w:rPr>
            </w:pPr>
            <w:r w:rsidRPr="000963A6">
              <w:rPr>
                <w:rFonts w:ascii="Times New Roman" w:hAnsi="Times New Roman" w:cs="Times New Roman"/>
                <w:kern w:val="0"/>
                <w:sz w:val="20"/>
                <w:szCs w:val="20"/>
                <w:lang w:val="en-US"/>
              </w:rPr>
              <w:t>-2.773 (2.4882)</w:t>
            </w:r>
          </w:p>
        </w:tc>
      </w:tr>
      <w:tr w:rsidR="00584EFD" w:rsidRPr="000963A6" w14:paraId="670B182C" w14:textId="77777777" w:rsidTr="000963A6">
        <w:tc>
          <w:tcPr>
            <w:tcW w:w="3485" w:type="dxa"/>
            <w:tcBorders>
              <w:top w:val="nil"/>
              <w:left w:val="nil"/>
              <w:bottom w:val="nil"/>
              <w:right w:val="nil"/>
            </w:tcBorders>
          </w:tcPr>
          <w:p w14:paraId="4629FC96" w14:textId="36A6C54D" w:rsidR="00584EFD" w:rsidRPr="000963A6" w:rsidRDefault="00224754" w:rsidP="000C0E6D">
            <w:pPr>
              <w:widowControl/>
              <w:jc w:val="left"/>
              <w:rPr>
                <w:rFonts w:ascii="Times New Roman" w:hAnsi="Times New Roman" w:cs="Times New Roman"/>
                <w:sz w:val="20"/>
                <w:szCs w:val="20"/>
                <w:lang w:val="en-US"/>
              </w:rPr>
            </w:pPr>
            <w:r w:rsidRPr="000963A6">
              <w:rPr>
                <w:rFonts w:ascii="Times New Roman" w:hAnsi="Times New Roman" w:cs="Times New Roman"/>
                <w:sz w:val="20"/>
                <w:szCs w:val="20"/>
                <w:lang w:val="en-US"/>
              </w:rPr>
              <w:t>VAS from Physician</w:t>
            </w:r>
          </w:p>
        </w:tc>
        <w:tc>
          <w:tcPr>
            <w:tcW w:w="3485" w:type="dxa"/>
            <w:tcBorders>
              <w:top w:val="nil"/>
              <w:left w:val="nil"/>
              <w:bottom w:val="nil"/>
              <w:right w:val="nil"/>
            </w:tcBorders>
          </w:tcPr>
          <w:p w14:paraId="53CBE0A1" w14:textId="153D8E0C" w:rsidR="00584EFD" w:rsidRPr="000963A6" w:rsidRDefault="00224754" w:rsidP="000C0E6D">
            <w:pPr>
              <w:widowControl/>
              <w:jc w:val="left"/>
              <w:rPr>
                <w:rFonts w:ascii="Times New Roman" w:hAnsi="Times New Roman" w:cs="Times New Roman"/>
                <w:sz w:val="20"/>
                <w:szCs w:val="20"/>
                <w:lang w:val="en-US"/>
              </w:rPr>
            </w:pPr>
            <w:r w:rsidRPr="000963A6">
              <w:rPr>
                <w:rFonts w:ascii="Times New Roman" w:hAnsi="Times New Roman" w:cs="Times New Roman"/>
                <w:kern w:val="0"/>
                <w:sz w:val="20"/>
                <w:szCs w:val="20"/>
                <w:lang w:val="en-US"/>
              </w:rPr>
              <w:t>-3.347 (2.3106)</w:t>
            </w:r>
          </w:p>
        </w:tc>
        <w:tc>
          <w:tcPr>
            <w:tcW w:w="3486" w:type="dxa"/>
            <w:tcBorders>
              <w:top w:val="nil"/>
              <w:left w:val="nil"/>
              <w:bottom w:val="nil"/>
              <w:right w:val="nil"/>
            </w:tcBorders>
          </w:tcPr>
          <w:p w14:paraId="4F756E08" w14:textId="2A7501E3" w:rsidR="00584EFD" w:rsidRPr="000963A6" w:rsidRDefault="00224754" w:rsidP="000C0E6D">
            <w:pPr>
              <w:widowControl/>
              <w:jc w:val="left"/>
              <w:rPr>
                <w:rFonts w:ascii="Times New Roman" w:hAnsi="Times New Roman" w:cs="Times New Roman"/>
                <w:sz w:val="20"/>
                <w:szCs w:val="20"/>
                <w:lang w:val="en-US"/>
              </w:rPr>
            </w:pPr>
            <w:r w:rsidRPr="000963A6">
              <w:rPr>
                <w:rFonts w:ascii="Times New Roman" w:hAnsi="Times New Roman" w:cs="Times New Roman"/>
                <w:kern w:val="0"/>
                <w:sz w:val="20"/>
                <w:szCs w:val="20"/>
                <w:lang w:val="en-US"/>
              </w:rPr>
              <w:t>-3.172 (2.3690)</w:t>
            </w:r>
          </w:p>
        </w:tc>
      </w:tr>
      <w:tr w:rsidR="00584EFD" w:rsidRPr="000963A6" w14:paraId="357D012A" w14:textId="77777777" w:rsidTr="000963A6">
        <w:tc>
          <w:tcPr>
            <w:tcW w:w="3485" w:type="dxa"/>
            <w:tcBorders>
              <w:top w:val="nil"/>
              <w:left w:val="nil"/>
              <w:bottom w:val="nil"/>
              <w:right w:val="nil"/>
            </w:tcBorders>
          </w:tcPr>
          <w:p w14:paraId="2FAB4613" w14:textId="2A22FE1A" w:rsidR="00584EFD" w:rsidRPr="000963A6" w:rsidRDefault="00224754" w:rsidP="000C0E6D">
            <w:pPr>
              <w:widowControl/>
              <w:jc w:val="left"/>
              <w:rPr>
                <w:rFonts w:ascii="Times New Roman" w:hAnsi="Times New Roman" w:cs="Times New Roman"/>
                <w:sz w:val="20"/>
                <w:szCs w:val="20"/>
                <w:lang w:val="en-US"/>
              </w:rPr>
            </w:pPr>
            <w:r w:rsidRPr="000963A6">
              <w:rPr>
                <w:rFonts w:ascii="Times New Roman" w:hAnsi="Times New Roman" w:cs="Times New Roman"/>
                <w:sz w:val="20"/>
                <w:szCs w:val="20"/>
              </w:rPr>
              <w:t>HAQ-DI</w:t>
            </w:r>
          </w:p>
        </w:tc>
        <w:tc>
          <w:tcPr>
            <w:tcW w:w="3485" w:type="dxa"/>
            <w:tcBorders>
              <w:top w:val="nil"/>
              <w:left w:val="nil"/>
              <w:bottom w:val="nil"/>
              <w:right w:val="nil"/>
            </w:tcBorders>
          </w:tcPr>
          <w:p w14:paraId="58AC0491" w14:textId="571F2754" w:rsidR="00584EFD" w:rsidRPr="000963A6" w:rsidRDefault="00224754" w:rsidP="000C0E6D">
            <w:pPr>
              <w:widowControl/>
              <w:jc w:val="left"/>
              <w:rPr>
                <w:rFonts w:ascii="Times New Roman" w:hAnsi="Times New Roman" w:cs="Times New Roman"/>
                <w:sz w:val="20"/>
                <w:szCs w:val="20"/>
                <w:lang w:val="en-US"/>
              </w:rPr>
            </w:pPr>
            <w:r w:rsidRPr="000963A6">
              <w:rPr>
                <w:rFonts w:ascii="Times New Roman" w:hAnsi="Times New Roman" w:cs="Times New Roman"/>
                <w:kern w:val="0"/>
                <w:sz w:val="20"/>
                <w:szCs w:val="20"/>
                <w:lang w:val="en-US"/>
              </w:rPr>
              <w:t>-0.727 (0.7356)</w:t>
            </w:r>
          </w:p>
        </w:tc>
        <w:tc>
          <w:tcPr>
            <w:tcW w:w="3486" w:type="dxa"/>
            <w:tcBorders>
              <w:top w:val="nil"/>
              <w:left w:val="nil"/>
              <w:bottom w:val="nil"/>
              <w:right w:val="nil"/>
            </w:tcBorders>
          </w:tcPr>
          <w:p w14:paraId="5A381B52" w14:textId="3B77D560" w:rsidR="00584EFD" w:rsidRPr="000963A6" w:rsidRDefault="00224754" w:rsidP="000C0E6D">
            <w:pPr>
              <w:widowControl/>
              <w:jc w:val="left"/>
              <w:rPr>
                <w:rFonts w:ascii="Times New Roman" w:hAnsi="Times New Roman" w:cs="Times New Roman"/>
                <w:sz w:val="20"/>
                <w:szCs w:val="20"/>
                <w:lang w:val="en-US"/>
              </w:rPr>
            </w:pPr>
            <w:r w:rsidRPr="000963A6">
              <w:rPr>
                <w:rFonts w:ascii="Times New Roman" w:hAnsi="Times New Roman" w:cs="Times New Roman"/>
                <w:kern w:val="0"/>
                <w:sz w:val="20"/>
                <w:szCs w:val="20"/>
                <w:lang w:val="en-US"/>
              </w:rPr>
              <w:t>-0.645 (0.7408)</w:t>
            </w:r>
          </w:p>
        </w:tc>
      </w:tr>
      <w:tr w:rsidR="00584EFD" w:rsidRPr="000963A6" w14:paraId="537860B9" w14:textId="77777777" w:rsidTr="000963A6">
        <w:tc>
          <w:tcPr>
            <w:tcW w:w="3485" w:type="dxa"/>
            <w:tcBorders>
              <w:top w:val="nil"/>
              <w:left w:val="nil"/>
              <w:bottom w:val="nil"/>
              <w:right w:val="nil"/>
            </w:tcBorders>
          </w:tcPr>
          <w:p w14:paraId="17A28313" w14:textId="0AF26628" w:rsidR="00584EFD" w:rsidRPr="000963A6" w:rsidRDefault="00224754" w:rsidP="000C0E6D">
            <w:pPr>
              <w:widowControl/>
              <w:jc w:val="left"/>
              <w:rPr>
                <w:rFonts w:ascii="Times New Roman" w:hAnsi="Times New Roman" w:cs="Times New Roman"/>
                <w:sz w:val="20"/>
                <w:szCs w:val="20"/>
                <w:lang w:val="en-US"/>
              </w:rPr>
            </w:pPr>
            <w:r w:rsidRPr="000963A6">
              <w:rPr>
                <w:rFonts w:ascii="Times New Roman" w:hAnsi="Times New Roman" w:cs="Times New Roman"/>
                <w:sz w:val="20"/>
                <w:szCs w:val="20"/>
              </w:rPr>
              <w:t xml:space="preserve">CRP </w:t>
            </w:r>
          </w:p>
        </w:tc>
        <w:tc>
          <w:tcPr>
            <w:tcW w:w="3485" w:type="dxa"/>
            <w:tcBorders>
              <w:top w:val="nil"/>
              <w:left w:val="nil"/>
              <w:bottom w:val="nil"/>
              <w:right w:val="nil"/>
            </w:tcBorders>
          </w:tcPr>
          <w:p w14:paraId="508B2912" w14:textId="6C2EAAFF" w:rsidR="00584EFD" w:rsidRPr="000963A6" w:rsidRDefault="00A26797" w:rsidP="000C0E6D">
            <w:pPr>
              <w:widowControl/>
              <w:jc w:val="left"/>
              <w:rPr>
                <w:rFonts w:ascii="Times New Roman" w:hAnsi="Times New Roman" w:cs="Times New Roman"/>
                <w:sz w:val="20"/>
                <w:szCs w:val="20"/>
                <w:lang w:val="en-US"/>
              </w:rPr>
            </w:pPr>
            <w:r w:rsidRPr="000963A6">
              <w:rPr>
                <w:rFonts w:ascii="Times New Roman" w:hAnsi="Times New Roman" w:cs="Times New Roman"/>
                <w:kern w:val="0"/>
                <w:sz w:val="20"/>
                <w:szCs w:val="20"/>
                <w:lang w:val="en-US"/>
              </w:rPr>
              <w:t>-1.5278 (3.9333)</w:t>
            </w:r>
          </w:p>
        </w:tc>
        <w:tc>
          <w:tcPr>
            <w:tcW w:w="3486" w:type="dxa"/>
            <w:tcBorders>
              <w:top w:val="nil"/>
              <w:left w:val="nil"/>
              <w:bottom w:val="nil"/>
              <w:right w:val="nil"/>
            </w:tcBorders>
          </w:tcPr>
          <w:p w14:paraId="05B38816" w14:textId="4E871D95" w:rsidR="00584EFD" w:rsidRPr="000963A6" w:rsidRDefault="00A26797" w:rsidP="000C0E6D">
            <w:pPr>
              <w:widowControl/>
              <w:jc w:val="left"/>
              <w:rPr>
                <w:rFonts w:ascii="Times New Roman" w:hAnsi="Times New Roman" w:cs="Times New Roman"/>
                <w:sz w:val="20"/>
                <w:szCs w:val="20"/>
                <w:lang w:val="en-US"/>
              </w:rPr>
            </w:pPr>
            <w:r w:rsidRPr="000963A6">
              <w:rPr>
                <w:rFonts w:ascii="Times New Roman" w:hAnsi="Times New Roman" w:cs="Times New Roman"/>
                <w:kern w:val="0"/>
                <w:sz w:val="20"/>
                <w:szCs w:val="20"/>
                <w:lang w:val="en-US"/>
              </w:rPr>
              <w:t>-1.5236 (3.3493)</w:t>
            </w:r>
          </w:p>
        </w:tc>
      </w:tr>
      <w:tr w:rsidR="00224754" w:rsidRPr="000963A6" w14:paraId="24511F01" w14:textId="77777777" w:rsidTr="000963A6">
        <w:tc>
          <w:tcPr>
            <w:tcW w:w="3485" w:type="dxa"/>
            <w:tcBorders>
              <w:top w:val="nil"/>
              <w:left w:val="nil"/>
              <w:bottom w:val="single" w:sz="4" w:space="0" w:color="auto"/>
              <w:right w:val="nil"/>
            </w:tcBorders>
          </w:tcPr>
          <w:p w14:paraId="4AD752C1" w14:textId="06BB66C1" w:rsidR="00224754" w:rsidRPr="000963A6" w:rsidRDefault="00224754" w:rsidP="000C0E6D">
            <w:pPr>
              <w:widowControl/>
              <w:jc w:val="left"/>
              <w:rPr>
                <w:rFonts w:ascii="Times New Roman" w:hAnsi="Times New Roman" w:cs="Times New Roman"/>
                <w:sz w:val="20"/>
                <w:szCs w:val="20"/>
                <w:lang w:val="en-US"/>
              </w:rPr>
            </w:pPr>
            <w:r w:rsidRPr="000963A6">
              <w:rPr>
                <w:rFonts w:ascii="Times New Roman" w:hAnsi="Times New Roman" w:cs="Times New Roman"/>
                <w:sz w:val="20"/>
                <w:szCs w:val="20"/>
                <w:lang w:val="en-US"/>
              </w:rPr>
              <w:t>ESR</w:t>
            </w:r>
          </w:p>
        </w:tc>
        <w:tc>
          <w:tcPr>
            <w:tcW w:w="3485" w:type="dxa"/>
            <w:tcBorders>
              <w:top w:val="nil"/>
              <w:left w:val="nil"/>
              <w:bottom w:val="single" w:sz="4" w:space="0" w:color="auto"/>
              <w:right w:val="nil"/>
            </w:tcBorders>
          </w:tcPr>
          <w:p w14:paraId="418E9460" w14:textId="3BA1B435" w:rsidR="00224754" w:rsidRPr="000963A6" w:rsidRDefault="00A26797" w:rsidP="000C0E6D">
            <w:pPr>
              <w:widowControl/>
              <w:jc w:val="left"/>
              <w:rPr>
                <w:rFonts w:ascii="Times New Roman" w:hAnsi="Times New Roman" w:cs="Times New Roman"/>
                <w:sz w:val="20"/>
                <w:szCs w:val="20"/>
                <w:lang w:val="en-US"/>
              </w:rPr>
            </w:pPr>
            <w:r w:rsidRPr="000963A6">
              <w:rPr>
                <w:rFonts w:ascii="Times New Roman" w:hAnsi="Times New Roman" w:cs="Times New Roman"/>
                <w:kern w:val="0"/>
                <w:sz w:val="20"/>
                <w:szCs w:val="20"/>
                <w:lang w:val="en-US"/>
              </w:rPr>
              <w:t>-16.972 (24.4759)</w:t>
            </w:r>
          </w:p>
        </w:tc>
        <w:tc>
          <w:tcPr>
            <w:tcW w:w="3486" w:type="dxa"/>
            <w:tcBorders>
              <w:top w:val="nil"/>
              <w:left w:val="nil"/>
              <w:bottom w:val="single" w:sz="4" w:space="0" w:color="auto"/>
              <w:right w:val="nil"/>
            </w:tcBorders>
          </w:tcPr>
          <w:p w14:paraId="15DEEDAF" w14:textId="03FA072B" w:rsidR="00224754" w:rsidRPr="000963A6" w:rsidRDefault="00A26797" w:rsidP="000C0E6D">
            <w:pPr>
              <w:widowControl/>
              <w:jc w:val="left"/>
              <w:rPr>
                <w:rFonts w:ascii="Times New Roman" w:hAnsi="Times New Roman" w:cs="Times New Roman"/>
                <w:sz w:val="20"/>
                <w:szCs w:val="20"/>
                <w:lang w:val="en-US"/>
              </w:rPr>
            </w:pPr>
            <w:r w:rsidRPr="000963A6">
              <w:rPr>
                <w:rFonts w:ascii="Times New Roman" w:hAnsi="Times New Roman" w:cs="Times New Roman"/>
                <w:kern w:val="0"/>
                <w:sz w:val="20"/>
                <w:szCs w:val="20"/>
                <w:lang w:val="en-US"/>
              </w:rPr>
              <w:t>-15.926 (24.6992)</w:t>
            </w:r>
          </w:p>
        </w:tc>
      </w:tr>
    </w:tbl>
    <w:p w14:paraId="192CC813" w14:textId="6B122445" w:rsidR="00584EFD" w:rsidRPr="000963A6" w:rsidRDefault="00584EFD" w:rsidP="000C0E6D">
      <w:pPr>
        <w:widowControl/>
        <w:jc w:val="left"/>
        <w:rPr>
          <w:rFonts w:ascii="Times New Roman" w:hAnsi="Times New Roman" w:cs="Times New Roman"/>
          <w:sz w:val="20"/>
          <w:szCs w:val="20"/>
          <w:lang w:val="en-US"/>
        </w:rPr>
      </w:pPr>
    </w:p>
    <w:p w14:paraId="4D4B5D07" w14:textId="77777777" w:rsidR="00584EFD" w:rsidRPr="000963A6" w:rsidRDefault="00584EFD" w:rsidP="000C0E6D">
      <w:pPr>
        <w:widowControl/>
        <w:jc w:val="left"/>
        <w:rPr>
          <w:rFonts w:ascii="Times New Roman" w:hAnsi="Times New Roman" w:cs="Times New Roman"/>
          <w:sz w:val="20"/>
          <w:szCs w:val="20"/>
        </w:rPr>
      </w:pPr>
    </w:p>
    <w:p w14:paraId="353B1E9F" w14:textId="77777777" w:rsidR="00584EFD" w:rsidRPr="000963A6" w:rsidRDefault="00584EFD" w:rsidP="000C0E6D">
      <w:pPr>
        <w:widowControl/>
        <w:jc w:val="left"/>
        <w:rPr>
          <w:rFonts w:ascii="Times New Roman" w:hAnsi="Times New Roman" w:cs="Times New Roman"/>
          <w:sz w:val="20"/>
          <w:szCs w:val="20"/>
        </w:rPr>
      </w:pPr>
    </w:p>
    <w:p w14:paraId="394E284B" w14:textId="77777777" w:rsidR="00584EFD" w:rsidRPr="000963A6" w:rsidRDefault="00584EFD" w:rsidP="000C0E6D">
      <w:pPr>
        <w:widowControl/>
        <w:jc w:val="left"/>
        <w:rPr>
          <w:rFonts w:ascii="Times New Roman" w:hAnsi="Times New Roman" w:cs="Times New Roman"/>
          <w:sz w:val="20"/>
          <w:szCs w:val="20"/>
        </w:rPr>
      </w:pPr>
    </w:p>
    <w:p w14:paraId="71AB40FE" w14:textId="37E1CF59" w:rsidR="000C0E6D" w:rsidRPr="000963A6" w:rsidRDefault="000C0E6D" w:rsidP="00CA0CC7">
      <w:pPr>
        <w:pStyle w:val="1"/>
        <w:rPr>
          <w:rFonts w:ascii="Times New Roman" w:eastAsia="宋体" w:hAnsi="Times New Roman" w:cs="Times New Roman"/>
          <w:kern w:val="0"/>
          <w:sz w:val="20"/>
          <w:szCs w:val="20"/>
          <w:lang w:val="en-US"/>
        </w:rPr>
      </w:pPr>
      <w:bookmarkStart w:id="3" w:name="_Toc65376354"/>
      <w:r w:rsidRPr="000963A6">
        <w:rPr>
          <w:rFonts w:ascii="Times New Roman" w:hAnsi="Times New Roman" w:cs="Times New Roman"/>
          <w:sz w:val="20"/>
          <w:szCs w:val="20"/>
        </w:rPr>
        <w:t>Appendix S</w:t>
      </w:r>
      <w:r w:rsidR="00FA1CD5">
        <w:rPr>
          <w:rFonts w:ascii="Times New Roman" w:hAnsi="Times New Roman" w:cs="Times New Roman"/>
          <w:sz w:val="20"/>
          <w:szCs w:val="20"/>
        </w:rPr>
        <w:t>2</w:t>
      </w:r>
      <w:r w:rsidRPr="000963A6">
        <w:rPr>
          <w:rFonts w:ascii="Times New Roman" w:hAnsi="Times New Roman" w:cs="Times New Roman"/>
          <w:sz w:val="20"/>
          <w:szCs w:val="20"/>
        </w:rPr>
        <w:t xml:space="preserve">. ACR20 Response Rate by ADA </w:t>
      </w:r>
      <w:r w:rsidRPr="000963A6">
        <w:rPr>
          <w:rFonts w:ascii="Times New Roman" w:eastAsia="宋体" w:hAnsi="Times New Roman" w:cs="Times New Roman"/>
          <w:kern w:val="0"/>
          <w:sz w:val="20"/>
          <w:szCs w:val="20"/>
          <w:lang w:val="en-US"/>
        </w:rPr>
        <w:t>subgroups at Week 30 (</w:t>
      </w:r>
      <w:r w:rsidR="001B2471" w:rsidRPr="000963A6">
        <w:rPr>
          <w:rFonts w:ascii="Times New Roman" w:eastAsia="宋体" w:hAnsi="Times New Roman" w:cs="Times New Roman"/>
          <w:kern w:val="0"/>
          <w:sz w:val="20"/>
          <w:szCs w:val="20"/>
          <w:lang w:val="en-US"/>
        </w:rPr>
        <w:t>S</w:t>
      </w:r>
      <w:r w:rsidRPr="000963A6">
        <w:rPr>
          <w:rFonts w:ascii="Times New Roman" w:eastAsia="宋体" w:hAnsi="Times New Roman" w:cs="Times New Roman"/>
          <w:kern w:val="0"/>
          <w:sz w:val="20"/>
          <w:szCs w:val="20"/>
          <w:lang w:val="en-US"/>
        </w:rPr>
        <w:t>S)</w:t>
      </w:r>
      <w:bookmarkEnd w:id="3"/>
    </w:p>
    <w:tbl>
      <w:tblPr>
        <w:tblStyle w:val="a3"/>
        <w:tblW w:w="0" w:type="auto"/>
        <w:tblLook w:val="04A0" w:firstRow="1" w:lastRow="0" w:firstColumn="1" w:lastColumn="0" w:noHBand="0" w:noVBand="1"/>
      </w:tblPr>
      <w:tblGrid>
        <w:gridCol w:w="1293"/>
        <w:gridCol w:w="1679"/>
        <w:gridCol w:w="1985"/>
        <w:gridCol w:w="1559"/>
        <w:gridCol w:w="1984"/>
        <w:gridCol w:w="1134"/>
      </w:tblGrid>
      <w:tr w:rsidR="00D72D66" w:rsidRPr="000963A6" w14:paraId="54293DF2" w14:textId="77777777" w:rsidTr="00013E38">
        <w:tc>
          <w:tcPr>
            <w:tcW w:w="1293" w:type="dxa"/>
            <w:tcBorders>
              <w:top w:val="single" w:sz="4" w:space="0" w:color="auto"/>
              <w:left w:val="nil"/>
              <w:bottom w:val="single" w:sz="4" w:space="0" w:color="auto"/>
              <w:right w:val="nil"/>
            </w:tcBorders>
          </w:tcPr>
          <w:p w14:paraId="51E932CE" w14:textId="77777777" w:rsidR="000C0E6D" w:rsidRPr="000963A6" w:rsidRDefault="00D72D66">
            <w:pPr>
              <w:rPr>
                <w:rFonts w:ascii="Times New Roman" w:hAnsi="Times New Roman" w:cs="Times New Roman"/>
                <w:sz w:val="20"/>
                <w:szCs w:val="20"/>
                <w:lang w:val="en-US"/>
              </w:rPr>
            </w:pPr>
            <w:r w:rsidRPr="000963A6">
              <w:rPr>
                <w:rFonts w:ascii="Times New Roman" w:hAnsi="Times New Roman" w:cs="Times New Roman"/>
                <w:sz w:val="20"/>
                <w:szCs w:val="20"/>
                <w:lang w:val="en-US"/>
              </w:rPr>
              <w:t>30-week</w:t>
            </w:r>
          </w:p>
          <w:p w14:paraId="7A4EDD47" w14:textId="77777777" w:rsidR="00D72D66" w:rsidRPr="000963A6" w:rsidRDefault="00D72D66">
            <w:pPr>
              <w:rPr>
                <w:rFonts w:ascii="Times New Roman" w:hAnsi="Times New Roman" w:cs="Times New Roman"/>
                <w:sz w:val="20"/>
                <w:szCs w:val="20"/>
                <w:lang w:val="en-US"/>
              </w:rPr>
            </w:pPr>
            <w:r w:rsidRPr="000963A6">
              <w:rPr>
                <w:rFonts w:ascii="Times New Roman" w:hAnsi="Times New Roman" w:cs="Times New Roman"/>
                <w:sz w:val="20"/>
                <w:szCs w:val="20"/>
                <w:lang w:val="en-US"/>
              </w:rPr>
              <w:t>ADA Result</w:t>
            </w:r>
          </w:p>
        </w:tc>
        <w:tc>
          <w:tcPr>
            <w:tcW w:w="1679" w:type="dxa"/>
            <w:tcBorders>
              <w:top w:val="single" w:sz="4" w:space="0" w:color="auto"/>
              <w:left w:val="nil"/>
              <w:bottom w:val="single" w:sz="4" w:space="0" w:color="auto"/>
              <w:right w:val="nil"/>
            </w:tcBorders>
          </w:tcPr>
          <w:p w14:paraId="3E8BE1D5" w14:textId="77777777" w:rsidR="000C0E6D" w:rsidRPr="000963A6" w:rsidRDefault="00D72D66">
            <w:pPr>
              <w:rPr>
                <w:rFonts w:ascii="Times New Roman" w:hAnsi="Times New Roman" w:cs="Times New Roman"/>
                <w:sz w:val="20"/>
                <w:szCs w:val="20"/>
                <w:lang w:val="en-US"/>
              </w:rPr>
            </w:pPr>
            <w:r w:rsidRPr="000963A6">
              <w:rPr>
                <w:rFonts w:ascii="Times New Roman" w:hAnsi="Times New Roman" w:cs="Times New Roman"/>
                <w:sz w:val="20"/>
                <w:szCs w:val="20"/>
                <w:lang w:val="en-US"/>
              </w:rPr>
              <w:t>Treatment</w:t>
            </w:r>
          </w:p>
        </w:tc>
        <w:tc>
          <w:tcPr>
            <w:tcW w:w="1985" w:type="dxa"/>
            <w:tcBorders>
              <w:top w:val="single" w:sz="4" w:space="0" w:color="auto"/>
              <w:left w:val="nil"/>
              <w:bottom w:val="single" w:sz="4" w:space="0" w:color="auto"/>
              <w:right w:val="nil"/>
            </w:tcBorders>
          </w:tcPr>
          <w:p w14:paraId="176377BB" w14:textId="77777777" w:rsidR="000C0E6D" w:rsidRPr="000963A6" w:rsidRDefault="00D72D66">
            <w:pPr>
              <w:rPr>
                <w:rFonts w:ascii="Times New Roman" w:hAnsi="Times New Roman" w:cs="Times New Roman"/>
                <w:sz w:val="20"/>
                <w:szCs w:val="20"/>
                <w:lang w:val="en-US"/>
              </w:rPr>
            </w:pPr>
            <w:r w:rsidRPr="000963A6">
              <w:rPr>
                <w:rFonts w:ascii="Times New Roman" w:hAnsi="Times New Roman" w:cs="Times New Roman"/>
                <w:sz w:val="20"/>
                <w:szCs w:val="20"/>
                <w:lang w:val="en-US"/>
              </w:rPr>
              <w:t>Responders</w:t>
            </w:r>
          </w:p>
          <w:p w14:paraId="5DF5021F" w14:textId="608CAD5E" w:rsidR="00D72D66" w:rsidRPr="000963A6" w:rsidRDefault="00932D9F">
            <w:pPr>
              <w:rPr>
                <w:rFonts w:ascii="Times New Roman" w:hAnsi="Times New Roman" w:cs="Times New Roman"/>
                <w:sz w:val="20"/>
                <w:szCs w:val="20"/>
                <w:lang w:val="en-US"/>
              </w:rPr>
            </w:pPr>
            <w:r>
              <w:rPr>
                <w:rFonts w:ascii="Times New Roman" w:hAnsi="Times New Roman" w:cs="Times New Roman" w:hint="eastAsia"/>
                <w:sz w:val="20"/>
                <w:szCs w:val="20"/>
                <w:lang w:val="en-US"/>
              </w:rPr>
              <w:t>n</w:t>
            </w:r>
            <w:r>
              <w:rPr>
                <w:rFonts w:ascii="Times New Roman" w:hAnsi="Times New Roman" w:cs="Times New Roman"/>
                <w:sz w:val="20"/>
                <w:szCs w:val="20"/>
                <w:lang w:val="en-US"/>
              </w:rPr>
              <w:t xml:space="preserve"> </w:t>
            </w:r>
            <w:r w:rsidR="00D72D66" w:rsidRPr="000963A6">
              <w:rPr>
                <w:rFonts w:ascii="Times New Roman" w:hAnsi="Times New Roman" w:cs="Times New Roman"/>
                <w:sz w:val="20"/>
                <w:szCs w:val="20"/>
                <w:lang w:val="en-US"/>
              </w:rPr>
              <w:t>(%)</w:t>
            </w:r>
          </w:p>
        </w:tc>
        <w:tc>
          <w:tcPr>
            <w:tcW w:w="1559" w:type="dxa"/>
            <w:tcBorders>
              <w:top w:val="single" w:sz="4" w:space="0" w:color="auto"/>
              <w:left w:val="nil"/>
              <w:bottom w:val="single" w:sz="4" w:space="0" w:color="auto"/>
              <w:right w:val="nil"/>
            </w:tcBorders>
          </w:tcPr>
          <w:p w14:paraId="1B5F3A27" w14:textId="77777777" w:rsidR="00D72D66" w:rsidRPr="000963A6" w:rsidRDefault="00D72D66" w:rsidP="00D72D66">
            <w:pPr>
              <w:widowControl/>
              <w:jc w:val="left"/>
              <w:rPr>
                <w:rFonts w:ascii="Times New Roman" w:hAnsi="Times New Roman" w:cs="Times New Roman"/>
                <w:sz w:val="20"/>
                <w:szCs w:val="20"/>
                <w:lang w:val="en-US"/>
              </w:rPr>
            </w:pPr>
            <w:r w:rsidRPr="000963A6">
              <w:rPr>
                <w:rFonts w:ascii="Times New Roman" w:hAnsi="Times New Roman" w:cs="Times New Roman"/>
                <w:sz w:val="20"/>
                <w:szCs w:val="20"/>
              </w:rPr>
              <w:t xml:space="preserve">Difference Rate </w:t>
            </w:r>
          </w:p>
          <w:p w14:paraId="2F46AA4F" w14:textId="77777777" w:rsidR="000C0E6D" w:rsidRPr="000963A6" w:rsidRDefault="000C0E6D">
            <w:pPr>
              <w:rPr>
                <w:rFonts w:ascii="Times New Roman" w:hAnsi="Times New Roman" w:cs="Times New Roman"/>
                <w:sz w:val="20"/>
                <w:szCs w:val="20"/>
                <w:lang w:val="en-US"/>
              </w:rPr>
            </w:pPr>
          </w:p>
        </w:tc>
        <w:tc>
          <w:tcPr>
            <w:tcW w:w="1984" w:type="dxa"/>
            <w:tcBorders>
              <w:top w:val="single" w:sz="4" w:space="0" w:color="auto"/>
              <w:left w:val="nil"/>
              <w:bottom w:val="single" w:sz="4" w:space="0" w:color="auto"/>
              <w:right w:val="nil"/>
            </w:tcBorders>
          </w:tcPr>
          <w:p w14:paraId="45005EC2" w14:textId="77777777" w:rsidR="00D72D66" w:rsidRPr="000963A6" w:rsidRDefault="00D72D66" w:rsidP="00D72D66">
            <w:pPr>
              <w:widowControl/>
              <w:jc w:val="left"/>
              <w:rPr>
                <w:rFonts w:ascii="Times New Roman" w:hAnsi="Times New Roman" w:cs="Times New Roman"/>
                <w:sz w:val="20"/>
                <w:szCs w:val="20"/>
                <w:lang w:val="en-US"/>
              </w:rPr>
            </w:pPr>
            <w:r w:rsidRPr="000963A6">
              <w:rPr>
                <w:rFonts w:ascii="Times New Roman" w:hAnsi="Times New Roman" w:cs="Times New Roman"/>
                <w:sz w:val="20"/>
                <w:szCs w:val="20"/>
              </w:rPr>
              <w:t>95% CI</w:t>
            </w:r>
          </w:p>
          <w:p w14:paraId="3A400BF3" w14:textId="77777777" w:rsidR="000C0E6D" w:rsidRPr="000963A6" w:rsidRDefault="000C0E6D">
            <w:pPr>
              <w:rPr>
                <w:rFonts w:ascii="Times New Roman" w:hAnsi="Times New Roman" w:cs="Times New Roman"/>
                <w:sz w:val="20"/>
                <w:szCs w:val="20"/>
                <w:lang w:val="en-US"/>
              </w:rPr>
            </w:pPr>
          </w:p>
        </w:tc>
        <w:tc>
          <w:tcPr>
            <w:tcW w:w="1134" w:type="dxa"/>
            <w:tcBorders>
              <w:top w:val="single" w:sz="4" w:space="0" w:color="auto"/>
              <w:left w:val="nil"/>
              <w:bottom w:val="single" w:sz="4" w:space="0" w:color="auto"/>
              <w:right w:val="nil"/>
            </w:tcBorders>
          </w:tcPr>
          <w:p w14:paraId="46172A17" w14:textId="77777777" w:rsidR="00D72D66" w:rsidRPr="000963A6" w:rsidRDefault="00D72D66" w:rsidP="00D72D66">
            <w:pPr>
              <w:widowControl/>
              <w:jc w:val="left"/>
              <w:rPr>
                <w:rFonts w:ascii="Times New Roman" w:hAnsi="Times New Roman" w:cs="Times New Roman"/>
                <w:sz w:val="20"/>
                <w:szCs w:val="20"/>
                <w:lang w:val="en-US"/>
              </w:rPr>
            </w:pPr>
            <w:r w:rsidRPr="007C584D">
              <w:rPr>
                <w:rFonts w:ascii="Times New Roman" w:hAnsi="Times New Roman" w:cs="Times New Roman"/>
                <w:i/>
                <w:iCs/>
                <w:sz w:val="20"/>
                <w:szCs w:val="20"/>
                <w:highlight w:val="yellow"/>
              </w:rPr>
              <w:t>P</w:t>
            </w:r>
            <w:r w:rsidRPr="000963A6">
              <w:rPr>
                <w:rFonts w:ascii="Times New Roman" w:hAnsi="Times New Roman" w:cs="Times New Roman"/>
                <w:sz w:val="20"/>
                <w:szCs w:val="20"/>
                <w:highlight w:val="yellow"/>
              </w:rPr>
              <w:t xml:space="preserve"> value</w:t>
            </w:r>
          </w:p>
          <w:p w14:paraId="01B692C5" w14:textId="77777777" w:rsidR="000C0E6D" w:rsidRPr="000963A6" w:rsidRDefault="000C0E6D">
            <w:pPr>
              <w:rPr>
                <w:rFonts w:ascii="Times New Roman" w:hAnsi="Times New Roman" w:cs="Times New Roman"/>
                <w:sz w:val="20"/>
                <w:szCs w:val="20"/>
                <w:lang w:val="en-US"/>
              </w:rPr>
            </w:pPr>
          </w:p>
        </w:tc>
      </w:tr>
      <w:tr w:rsidR="00D72D66" w:rsidRPr="000963A6" w14:paraId="27FB5FD1" w14:textId="77777777" w:rsidTr="00013E38">
        <w:tc>
          <w:tcPr>
            <w:tcW w:w="1293" w:type="dxa"/>
            <w:tcBorders>
              <w:top w:val="single" w:sz="4" w:space="0" w:color="auto"/>
              <w:left w:val="nil"/>
              <w:bottom w:val="nil"/>
              <w:right w:val="nil"/>
            </w:tcBorders>
          </w:tcPr>
          <w:p w14:paraId="4D3A5777" w14:textId="77777777" w:rsidR="000C0E6D" w:rsidRPr="000963A6" w:rsidRDefault="00D72D66">
            <w:pPr>
              <w:rPr>
                <w:rFonts w:ascii="Times New Roman" w:hAnsi="Times New Roman" w:cs="Times New Roman"/>
                <w:sz w:val="20"/>
                <w:szCs w:val="20"/>
                <w:lang w:val="en-US"/>
              </w:rPr>
            </w:pPr>
            <w:r w:rsidRPr="000963A6">
              <w:rPr>
                <w:rFonts w:ascii="Times New Roman" w:hAnsi="Times New Roman" w:cs="Times New Roman"/>
                <w:sz w:val="20"/>
                <w:szCs w:val="20"/>
                <w:lang w:val="en-US"/>
              </w:rPr>
              <w:t xml:space="preserve">Positive </w:t>
            </w:r>
          </w:p>
        </w:tc>
        <w:tc>
          <w:tcPr>
            <w:tcW w:w="1679" w:type="dxa"/>
            <w:tcBorders>
              <w:top w:val="single" w:sz="4" w:space="0" w:color="auto"/>
              <w:left w:val="nil"/>
              <w:bottom w:val="nil"/>
              <w:right w:val="nil"/>
            </w:tcBorders>
          </w:tcPr>
          <w:p w14:paraId="523A45F3" w14:textId="77777777" w:rsidR="000C0E6D" w:rsidRPr="000963A6" w:rsidRDefault="00D72D66">
            <w:pPr>
              <w:rPr>
                <w:rFonts w:ascii="Times New Roman" w:hAnsi="Times New Roman" w:cs="Times New Roman"/>
                <w:sz w:val="20"/>
                <w:szCs w:val="20"/>
                <w:lang w:val="en-US"/>
              </w:rPr>
            </w:pPr>
            <w:r w:rsidRPr="000963A6">
              <w:rPr>
                <w:rFonts w:ascii="Times New Roman" w:hAnsi="Times New Roman" w:cs="Times New Roman"/>
                <w:sz w:val="20"/>
                <w:szCs w:val="20"/>
                <w:lang w:val="en-US"/>
              </w:rPr>
              <w:t>GB242 (N=196)</w:t>
            </w:r>
          </w:p>
        </w:tc>
        <w:tc>
          <w:tcPr>
            <w:tcW w:w="1985" w:type="dxa"/>
            <w:tcBorders>
              <w:top w:val="single" w:sz="4" w:space="0" w:color="auto"/>
              <w:left w:val="nil"/>
              <w:bottom w:val="nil"/>
              <w:right w:val="nil"/>
            </w:tcBorders>
          </w:tcPr>
          <w:p w14:paraId="209A4D53" w14:textId="77777777" w:rsidR="000C0E6D" w:rsidRPr="000963A6" w:rsidRDefault="00D72D66">
            <w:pPr>
              <w:rPr>
                <w:rFonts w:ascii="Times New Roman" w:hAnsi="Times New Roman" w:cs="Times New Roman"/>
                <w:sz w:val="20"/>
                <w:szCs w:val="20"/>
                <w:lang w:val="en-US"/>
              </w:rPr>
            </w:pPr>
            <w:r w:rsidRPr="000963A6">
              <w:rPr>
                <w:rFonts w:ascii="Times New Roman" w:hAnsi="Times New Roman" w:cs="Times New Roman"/>
                <w:kern w:val="0"/>
                <w:sz w:val="20"/>
                <w:szCs w:val="20"/>
                <w:lang w:val="en-US"/>
              </w:rPr>
              <w:t>115 (58.67%)</w:t>
            </w:r>
          </w:p>
        </w:tc>
        <w:tc>
          <w:tcPr>
            <w:tcW w:w="1559" w:type="dxa"/>
            <w:tcBorders>
              <w:top w:val="single" w:sz="4" w:space="0" w:color="auto"/>
              <w:left w:val="nil"/>
              <w:bottom w:val="nil"/>
              <w:right w:val="nil"/>
            </w:tcBorders>
          </w:tcPr>
          <w:p w14:paraId="5A953F05" w14:textId="77777777" w:rsidR="000C0E6D" w:rsidRPr="000963A6" w:rsidRDefault="00D72D66">
            <w:pPr>
              <w:rPr>
                <w:rFonts w:ascii="Times New Roman" w:hAnsi="Times New Roman" w:cs="Times New Roman"/>
                <w:sz w:val="20"/>
                <w:szCs w:val="20"/>
                <w:lang w:val="en-US"/>
              </w:rPr>
            </w:pPr>
            <w:r w:rsidRPr="000963A6">
              <w:rPr>
                <w:rFonts w:ascii="Times New Roman" w:hAnsi="Times New Roman" w:cs="Times New Roman"/>
                <w:kern w:val="0"/>
                <w:sz w:val="20"/>
                <w:szCs w:val="20"/>
                <w:lang w:val="en-US"/>
              </w:rPr>
              <w:t>4.42%</w:t>
            </w:r>
          </w:p>
        </w:tc>
        <w:tc>
          <w:tcPr>
            <w:tcW w:w="1984" w:type="dxa"/>
            <w:tcBorders>
              <w:top w:val="single" w:sz="4" w:space="0" w:color="auto"/>
              <w:left w:val="nil"/>
              <w:bottom w:val="nil"/>
              <w:right w:val="nil"/>
            </w:tcBorders>
          </w:tcPr>
          <w:p w14:paraId="2A9F82CD" w14:textId="77777777" w:rsidR="000C0E6D" w:rsidRPr="000963A6" w:rsidRDefault="00D72D66">
            <w:pPr>
              <w:rPr>
                <w:rFonts w:ascii="Times New Roman" w:hAnsi="Times New Roman" w:cs="Times New Roman"/>
                <w:sz w:val="20"/>
                <w:szCs w:val="20"/>
                <w:lang w:val="en-US"/>
              </w:rPr>
            </w:pPr>
            <w:r w:rsidRPr="000963A6">
              <w:rPr>
                <w:rFonts w:ascii="Times New Roman" w:hAnsi="Times New Roman" w:cs="Times New Roman"/>
                <w:kern w:val="0"/>
                <w:sz w:val="20"/>
                <w:szCs w:val="20"/>
                <w:lang w:val="en-US"/>
              </w:rPr>
              <w:t>(-5.65%</w:t>
            </w:r>
            <w:r w:rsidR="00013E38" w:rsidRPr="000963A6">
              <w:rPr>
                <w:rFonts w:ascii="Times New Roman" w:hAnsi="Times New Roman" w:cs="Times New Roman"/>
                <w:kern w:val="0"/>
                <w:sz w:val="20"/>
                <w:szCs w:val="20"/>
                <w:lang w:val="en-US"/>
              </w:rPr>
              <w:t xml:space="preserve">, </w:t>
            </w:r>
            <w:r w:rsidRPr="000963A6">
              <w:rPr>
                <w:rFonts w:ascii="Times New Roman" w:hAnsi="Times New Roman" w:cs="Times New Roman"/>
                <w:kern w:val="0"/>
                <w:sz w:val="20"/>
                <w:szCs w:val="20"/>
                <w:lang w:val="en-US"/>
              </w:rPr>
              <w:t>14.41%)</w:t>
            </w:r>
          </w:p>
        </w:tc>
        <w:tc>
          <w:tcPr>
            <w:tcW w:w="1134" w:type="dxa"/>
            <w:tcBorders>
              <w:top w:val="single" w:sz="4" w:space="0" w:color="auto"/>
              <w:left w:val="nil"/>
              <w:bottom w:val="nil"/>
              <w:right w:val="nil"/>
            </w:tcBorders>
          </w:tcPr>
          <w:p w14:paraId="4469C019" w14:textId="2A2D792F" w:rsidR="000C0E6D" w:rsidRPr="000963A6" w:rsidRDefault="000C0E6D">
            <w:pPr>
              <w:rPr>
                <w:rFonts w:ascii="Times New Roman" w:hAnsi="Times New Roman" w:cs="Times New Roman"/>
                <w:sz w:val="20"/>
                <w:szCs w:val="20"/>
                <w:lang w:val="en-US"/>
              </w:rPr>
            </w:pPr>
          </w:p>
        </w:tc>
      </w:tr>
      <w:tr w:rsidR="00D72D66" w:rsidRPr="000963A6" w14:paraId="744528ED" w14:textId="77777777" w:rsidTr="00013E38">
        <w:tc>
          <w:tcPr>
            <w:tcW w:w="1293" w:type="dxa"/>
            <w:tcBorders>
              <w:top w:val="nil"/>
              <w:left w:val="nil"/>
              <w:bottom w:val="nil"/>
              <w:right w:val="nil"/>
            </w:tcBorders>
          </w:tcPr>
          <w:p w14:paraId="71979B81" w14:textId="77777777" w:rsidR="000C0E6D" w:rsidRPr="000963A6" w:rsidRDefault="000C0E6D">
            <w:pPr>
              <w:rPr>
                <w:rFonts w:ascii="Times New Roman" w:hAnsi="Times New Roman" w:cs="Times New Roman"/>
                <w:sz w:val="20"/>
                <w:szCs w:val="20"/>
                <w:lang w:val="en-US"/>
              </w:rPr>
            </w:pPr>
          </w:p>
        </w:tc>
        <w:tc>
          <w:tcPr>
            <w:tcW w:w="1679" w:type="dxa"/>
            <w:tcBorders>
              <w:top w:val="nil"/>
              <w:left w:val="nil"/>
              <w:bottom w:val="nil"/>
              <w:right w:val="nil"/>
            </w:tcBorders>
          </w:tcPr>
          <w:p w14:paraId="6035A81C" w14:textId="77777777" w:rsidR="000C0E6D" w:rsidRPr="000963A6" w:rsidRDefault="00D72D66">
            <w:pPr>
              <w:rPr>
                <w:rFonts w:ascii="Times New Roman" w:hAnsi="Times New Roman" w:cs="Times New Roman"/>
                <w:sz w:val="20"/>
                <w:szCs w:val="20"/>
                <w:lang w:val="en-US"/>
              </w:rPr>
            </w:pPr>
            <w:r w:rsidRPr="000963A6">
              <w:rPr>
                <w:rFonts w:ascii="Times New Roman" w:hAnsi="Times New Roman" w:cs="Times New Roman"/>
                <w:sz w:val="20"/>
                <w:szCs w:val="20"/>
                <w:lang w:val="en-US"/>
              </w:rPr>
              <w:t>INF (N=188)</w:t>
            </w:r>
          </w:p>
        </w:tc>
        <w:tc>
          <w:tcPr>
            <w:tcW w:w="1985" w:type="dxa"/>
            <w:tcBorders>
              <w:top w:val="nil"/>
              <w:left w:val="nil"/>
              <w:bottom w:val="nil"/>
              <w:right w:val="nil"/>
            </w:tcBorders>
          </w:tcPr>
          <w:p w14:paraId="057F2AF1" w14:textId="77777777" w:rsidR="000C0E6D" w:rsidRPr="000963A6" w:rsidRDefault="00D72D66">
            <w:pPr>
              <w:rPr>
                <w:rFonts w:ascii="Times New Roman" w:hAnsi="Times New Roman" w:cs="Times New Roman"/>
                <w:sz w:val="20"/>
                <w:szCs w:val="20"/>
                <w:lang w:val="en-US"/>
              </w:rPr>
            </w:pPr>
            <w:r w:rsidRPr="000963A6">
              <w:rPr>
                <w:rFonts w:ascii="Times New Roman" w:hAnsi="Times New Roman" w:cs="Times New Roman"/>
                <w:kern w:val="0"/>
                <w:sz w:val="20"/>
                <w:szCs w:val="20"/>
                <w:lang w:val="en-US"/>
              </w:rPr>
              <w:t>102 (54.26%)</w:t>
            </w:r>
          </w:p>
        </w:tc>
        <w:tc>
          <w:tcPr>
            <w:tcW w:w="1559" w:type="dxa"/>
            <w:tcBorders>
              <w:top w:val="nil"/>
              <w:left w:val="nil"/>
              <w:bottom w:val="nil"/>
              <w:right w:val="nil"/>
            </w:tcBorders>
          </w:tcPr>
          <w:p w14:paraId="7A9F212F" w14:textId="77777777" w:rsidR="000C0E6D" w:rsidRPr="000963A6" w:rsidRDefault="000C0E6D">
            <w:pPr>
              <w:rPr>
                <w:rFonts w:ascii="Times New Roman" w:hAnsi="Times New Roman" w:cs="Times New Roman"/>
                <w:sz w:val="20"/>
                <w:szCs w:val="20"/>
                <w:lang w:val="en-US"/>
              </w:rPr>
            </w:pPr>
          </w:p>
        </w:tc>
        <w:tc>
          <w:tcPr>
            <w:tcW w:w="1984" w:type="dxa"/>
            <w:tcBorders>
              <w:top w:val="nil"/>
              <w:left w:val="nil"/>
              <w:bottom w:val="nil"/>
              <w:right w:val="nil"/>
            </w:tcBorders>
          </w:tcPr>
          <w:p w14:paraId="45C90CC6" w14:textId="77777777" w:rsidR="000C0E6D" w:rsidRPr="000963A6" w:rsidRDefault="000C0E6D">
            <w:pPr>
              <w:rPr>
                <w:rFonts w:ascii="Times New Roman" w:hAnsi="Times New Roman" w:cs="Times New Roman"/>
                <w:sz w:val="20"/>
                <w:szCs w:val="20"/>
                <w:lang w:val="en-US"/>
              </w:rPr>
            </w:pPr>
          </w:p>
        </w:tc>
        <w:tc>
          <w:tcPr>
            <w:tcW w:w="1134" w:type="dxa"/>
            <w:tcBorders>
              <w:top w:val="nil"/>
              <w:left w:val="nil"/>
              <w:bottom w:val="nil"/>
              <w:right w:val="nil"/>
            </w:tcBorders>
          </w:tcPr>
          <w:p w14:paraId="4CFBD5C8" w14:textId="77777777" w:rsidR="000C0E6D" w:rsidRPr="000963A6" w:rsidRDefault="000C0E6D">
            <w:pPr>
              <w:rPr>
                <w:rFonts w:ascii="Times New Roman" w:hAnsi="Times New Roman" w:cs="Times New Roman"/>
                <w:sz w:val="20"/>
                <w:szCs w:val="20"/>
                <w:lang w:val="en-US"/>
              </w:rPr>
            </w:pPr>
          </w:p>
        </w:tc>
      </w:tr>
      <w:tr w:rsidR="00013E38" w:rsidRPr="000963A6" w14:paraId="45C59C93" w14:textId="77777777" w:rsidTr="00013E38">
        <w:tc>
          <w:tcPr>
            <w:tcW w:w="1293" w:type="dxa"/>
            <w:tcBorders>
              <w:top w:val="nil"/>
              <w:left w:val="nil"/>
              <w:bottom w:val="nil"/>
              <w:right w:val="nil"/>
            </w:tcBorders>
          </w:tcPr>
          <w:p w14:paraId="1C40130C" w14:textId="77777777" w:rsidR="00013E38" w:rsidRPr="000963A6" w:rsidRDefault="00013E38">
            <w:pPr>
              <w:rPr>
                <w:rFonts w:ascii="Times New Roman" w:hAnsi="Times New Roman" w:cs="Times New Roman"/>
                <w:sz w:val="20"/>
                <w:szCs w:val="20"/>
                <w:lang w:val="en-US"/>
              </w:rPr>
            </w:pPr>
          </w:p>
        </w:tc>
        <w:tc>
          <w:tcPr>
            <w:tcW w:w="1679" w:type="dxa"/>
            <w:tcBorders>
              <w:top w:val="nil"/>
              <w:left w:val="nil"/>
              <w:bottom w:val="nil"/>
              <w:right w:val="nil"/>
            </w:tcBorders>
          </w:tcPr>
          <w:p w14:paraId="61276C14" w14:textId="77777777" w:rsidR="00013E38" w:rsidRPr="000963A6" w:rsidRDefault="00013E38">
            <w:pPr>
              <w:rPr>
                <w:rFonts w:ascii="Times New Roman" w:hAnsi="Times New Roman" w:cs="Times New Roman"/>
                <w:sz w:val="20"/>
                <w:szCs w:val="20"/>
                <w:lang w:val="en-US"/>
              </w:rPr>
            </w:pPr>
          </w:p>
        </w:tc>
        <w:tc>
          <w:tcPr>
            <w:tcW w:w="1985" w:type="dxa"/>
            <w:tcBorders>
              <w:top w:val="nil"/>
              <w:left w:val="nil"/>
              <w:bottom w:val="nil"/>
              <w:right w:val="nil"/>
            </w:tcBorders>
          </w:tcPr>
          <w:p w14:paraId="406A285D" w14:textId="77777777" w:rsidR="00013E38" w:rsidRPr="000963A6" w:rsidRDefault="00013E38">
            <w:pPr>
              <w:rPr>
                <w:rFonts w:ascii="Times New Roman" w:hAnsi="Times New Roman" w:cs="Times New Roman"/>
                <w:kern w:val="0"/>
                <w:sz w:val="20"/>
                <w:szCs w:val="20"/>
                <w:lang w:val="en-US"/>
              </w:rPr>
            </w:pPr>
          </w:p>
        </w:tc>
        <w:tc>
          <w:tcPr>
            <w:tcW w:w="1559" w:type="dxa"/>
            <w:tcBorders>
              <w:top w:val="nil"/>
              <w:left w:val="nil"/>
              <w:bottom w:val="nil"/>
              <w:right w:val="nil"/>
            </w:tcBorders>
          </w:tcPr>
          <w:p w14:paraId="439B3D3E" w14:textId="77777777" w:rsidR="00013E38" w:rsidRPr="000963A6" w:rsidRDefault="00013E38">
            <w:pPr>
              <w:rPr>
                <w:rFonts w:ascii="Times New Roman" w:hAnsi="Times New Roman" w:cs="Times New Roman"/>
                <w:sz w:val="20"/>
                <w:szCs w:val="20"/>
                <w:lang w:val="en-US"/>
              </w:rPr>
            </w:pPr>
          </w:p>
        </w:tc>
        <w:tc>
          <w:tcPr>
            <w:tcW w:w="1984" w:type="dxa"/>
            <w:tcBorders>
              <w:top w:val="nil"/>
              <w:left w:val="nil"/>
              <w:bottom w:val="nil"/>
              <w:right w:val="nil"/>
            </w:tcBorders>
          </w:tcPr>
          <w:p w14:paraId="35895BF9" w14:textId="77777777" w:rsidR="00013E38" w:rsidRPr="000963A6" w:rsidRDefault="00013E38">
            <w:pPr>
              <w:rPr>
                <w:rFonts w:ascii="Times New Roman" w:hAnsi="Times New Roman" w:cs="Times New Roman"/>
                <w:sz w:val="20"/>
                <w:szCs w:val="20"/>
                <w:lang w:val="en-US"/>
              </w:rPr>
            </w:pPr>
          </w:p>
        </w:tc>
        <w:tc>
          <w:tcPr>
            <w:tcW w:w="1134" w:type="dxa"/>
            <w:tcBorders>
              <w:top w:val="nil"/>
              <w:left w:val="nil"/>
              <w:bottom w:val="nil"/>
              <w:right w:val="nil"/>
            </w:tcBorders>
          </w:tcPr>
          <w:p w14:paraId="719A413C" w14:textId="2D8ECC94" w:rsidR="00013E38" w:rsidRPr="000963A6" w:rsidRDefault="00BC0D67">
            <w:pPr>
              <w:rPr>
                <w:rFonts w:ascii="Times New Roman" w:hAnsi="Times New Roman" w:cs="Times New Roman"/>
                <w:sz w:val="20"/>
                <w:szCs w:val="20"/>
                <w:lang w:val="en-US"/>
              </w:rPr>
            </w:pPr>
            <w:r>
              <w:rPr>
                <w:rFonts w:ascii="Times New Roman" w:hAnsi="Times New Roman" w:cs="Times New Roman" w:hint="eastAsia"/>
                <w:sz w:val="20"/>
                <w:szCs w:val="20"/>
                <w:lang w:val="en-US"/>
              </w:rPr>
              <w:t>0</w:t>
            </w:r>
            <w:r>
              <w:rPr>
                <w:rFonts w:ascii="Times New Roman" w:hAnsi="Times New Roman" w:cs="Times New Roman"/>
                <w:sz w:val="20"/>
                <w:szCs w:val="20"/>
                <w:lang w:val="en-US"/>
              </w:rPr>
              <w:t>.7408</w:t>
            </w:r>
          </w:p>
        </w:tc>
      </w:tr>
      <w:tr w:rsidR="00D72D66" w:rsidRPr="000963A6" w14:paraId="36442ACB" w14:textId="77777777" w:rsidTr="00013E38">
        <w:tc>
          <w:tcPr>
            <w:tcW w:w="1293" w:type="dxa"/>
            <w:tcBorders>
              <w:top w:val="nil"/>
              <w:left w:val="nil"/>
              <w:bottom w:val="nil"/>
              <w:right w:val="nil"/>
            </w:tcBorders>
          </w:tcPr>
          <w:p w14:paraId="49147DF5" w14:textId="77777777" w:rsidR="000C0E6D" w:rsidRPr="000963A6" w:rsidRDefault="00D72D66">
            <w:pPr>
              <w:rPr>
                <w:rFonts w:ascii="Times New Roman" w:hAnsi="Times New Roman" w:cs="Times New Roman"/>
                <w:sz w:val="20"/>
                <w:szCs w:val="20"/>
                <w:lang w:val="en-US"/>
              </w:rPr>
            </w:pPr>
            <w:r w:rsidRPr="000963A6">
              <w:rPr>
                <w:rFonts w:ascii="Times New Roman" w:hAnsi="Times New Roman" w:cs="Times New Roman"/>
                <w:sz w:val="20"/>
                <w:szCs w:val="20"/>
                <w:lang w:val="en-US"/>
              </w:rPr>
              <w:t xml:space="preserve">Negative </w:t>
            </w:r>
          </w:p>
        </w:tc>
        <w:tc>
          <w:tcPr>
            <w:tcW w:w="1679" w:type="dxa"/>
            <w:tcBorders>
              <w:top w:val="nil"/>
              <w:left w:val="nil"/>
              <w:bottom w:val="nil"/>
              <w:right w:val="nil"/>
            </w:tcBorders>
          </w:tcPr>
          <w:p w14:paraId="3230EF94" w14:textId="77777777" w:rsidR="00013E38" w:rsidRPr="000963A6" w:rsidRDefault="00D72D66">
            <w:pPr>
              <w:rPr>
                <w:rFonts w:ascii="Times New Roman" w:hAnsi="Times New Roman" w:cs="Times New Roman"/>
                <w:sz w:val="20"/>
                <w:szCs w:val="20"/>
                <w:lang w:val="en-US"/>
              </w:rPr>
            </w:pPr>
            <w:r w:rsidRPr="000963A6">
              <w:rPr>
                <w:rFonts w:ascii="Times New Roman" w:hAnsi="Times New Roman" w:cs="Times New Roman"/>
                <w:sz w:val="20"/>
                <w:szCs w:val="20"/>
                <w:lang w:val="en-US"/>
              </w:rPr>
              <w:t>GB242 (N=79)</w:t>
            </w:r>
          </w:p>
        </w:tc>
        <w:tc>
          <w:tcPr>
            <w:tcW w:w="1985" w:type="dxa"/>
            <w:tcBorders>
              <w:top w:val="nil"/>
              <w:left w:val="nil"/>
              <w:bottom w:val="nil"/>
              <w:right w:val="nil"/>
            </w:tcBorders>
          </w:tcPr>
          <w:p w14:paraId="1A63D6DC" w14:textId="77777777" w:rsidR="000C0E6D" w:rsidRPr="000963A6" w:rsidRDefault="00D72D66">
            <w:pPr>
              <w:rPr>
                <w:rFonts w:ascii="Times New Roman" w:hAnsi="Times New Roman" w:cs="Times New Roman"/>
                <w:sz w:val="20"/>
                <w:szCs w:val="20"/>
                <w:lang w:val="en-US"/>
              </w:rPr>
            </w:pPr>
            <w:r w:rsidRPr="000963A6">
              <w:rPr>
                <w:rFonts w:ascii="Times New Roman" w:hAnsi="Times New Roman" w:cs="Times New Roman"/>
                <w:kern w:val="0"/>
                <w:sz w:val="20"/>
                <w:szCs w:val="20"/>
                <w:lang w:val="en-US"/>
              </w:rPr>
              <w:t>59 (74.68%)</w:t>
            </w:r>
          </w:p>
        </w:tc>
        <w:tc>
          <w:tcPr>
            <w:tcW w:w="1559" w:type="dxa"/>
            <w:tcBorders>
              <w:top w:val="nil"/>
              <w:left w:val="nil"/>
              <w:bottom w:val="nil"/>
              <w:right w:val="nil"/>
            </w:tcBorders>
          </w:tcPr>
          <w:p w14:paraId="03368473" w14:textId="77777777" w:rsidR="000C0E6D" w:rsidRPr="000963A6" w:rsidRDefault="00D72D66">
            <w:pPr>
              <w:rPr>
                <w:rFonts w:ascii="Times New Roman" w:hAnsi="Times New Roman" w:cs="Times New Roman"/>
                <w:sz w:val="20"/>
                <w:szCs w:val="20"/>
                <w:lang w:val="en-US"/>
              </w:rPr>
            </w:pPr>
            <w:r w:rsidRPr="000963A6">
              <w:rPr>
                <w:rFonts w:ascii="Times New Roman" w:hAnsi="Times New Roman" w:cs="Times New Roman"/>
                <w:kern w:val="0"/>
                <w:sz w:val="20"/>
                <w:szCs w:val="20"/>
                <w:lang w:val="en-US"/>
              </w:rPr>
              <w:t>8.80%</w:t>
            </w:r>
          </w:p>
        </w:tc>
        <w:tc>
          <w:tcPr>
            <w:tcW w:w="1984" w:type="dxa"/>
            <w:tcBorders>
              <w:top w:val="nil"/>
              <w:left w:val="nil"/>
              <w:bottom w:val="nil"/>
              <w:right w:val="nil"/>
            </w:tcBorders>
          </w:tcPr>
          <w:p w14:paraId="5D83F10A" w14:textId="77777777" w:rsidR="000C0E6D" w:rsidRPr="000963A6" w:rsidRDefault="00D72D66">
            <w:pPr>
              <w:rPr>
                <w:rFonts w:ascii="Times New Roman" w:hAnsi="Times New Roman" w:cs="Times New Roman"/>
                <w:sz w:val="20"/>
                <w:szCs w:val="20"/>
                <w:lang w:val="en-US"/>
              </w:rPr>
            </w:pPr>
            <w:r w:rsidRPr="000963A6">
              <w:rPr>
                <w:rFonts w:ascii="Times New Roman" w:hAnsi="Times New Roman" w:cs="Times New Roman"/>
                <w:kern w:val="0"/>
                <w:sz w:val="20"/>
                <w:szCs w:val="20"/>
                <w:lang w:val="en-US"/>
              </w:rPr>
              <w:t>(-5.42%</w:t>
            </w:r>
            <w:r w:rsidR="00013E38" w:rsidRPr="000963A6">
              <w:rPr>
                <w:rFonts w:ascii="Times New Roman" w:hAnsi="Times New Roman" w:cs="Times New Roman"/>
                <w:kern w:val="0"/>
                <w:sz w:val="20"/>
                <w:szCs w:val="20"/>
                <w:lang w:val="en-US"/>
              </w:rPr>
              <w:t xml:space="preserve">, </w:t>
            </w:r>
            <w:r w:rsidRPr="000963A6">
              <w:rPr>
                <w:rFonts w:ascii="Times New Roman" w:hAnsi="Times New Roman" w:cs="Times New Roman"/>
                <w:kern w:val="0"/>
                <w:sz w:val="20"/>
                <w:szCs w:val="20"/>
                <w:lang w:val="en-US"/>
              </w:rPr>
              <w:t>22.79%)</w:t>
            </w:r>
          </w:p>
        </w:tc>
        <w:tc>
          <w:tcPr>
            <w:tcW w:w="1134" w:type="dxa"/>
            <w:tcBorders>
              <w:top w:val="nil"/>
              <w:left w:val="nil"/>
              <w:bottom w:val="nil"/>
              <w:right w:val="nil"/>
            </w:tcBorders>
          </w:tcPr>
          <w:p w14:paraId="29C2EE7E" w14:textId="77777777" w:rsidR="000C0E6D" w:rsidRPr="000963A6" w:rsidRDefault="000C0E6D">
            <w:pPr>
              <w:rPr>
                <w:rFonts w:ascii="Times New Roman" w:hAnsi="Times New Roman" w:cs="Times New Roman"/>
                <w:sz w:val="20"/>
                <w:szCs w:val="20"/>
                <w:lang w:val="en-US"/>
              </w:rPr>
            </w:pPr>
          </w:p>
        </w:tc>
      </w:tr>
      <w:tr w:rsidR="00D72D66" w:rsidRPr="000963A6" w14:paraId="2B06E906" w14:textId="77777777" w:rsidTr="00013E38">
        <w:tc>
          <w:tcPr>
            <w:tcW w:w="1293" w:type="dxa"/>
            <w:tcBorders>
              <w:top w:val="nil"/>
              <w:left w:val="nil"/>
              <w:bottom w:val="single" w:sz="4" w:space="0" w:color="auto"/>
              <w:right w:val="nil"/>
            </w:tcBorders>
          </w:tcPr>
          <w:p w14:paraId="702A9179" w14:textId="77777777" w:rsidR="000C0E6D" w:rsidRPr="000963A6" w:rsidRDefault="000C0E6D">
            <w:pPr>
              <w:rPr>
                <w:rFonts w:ascii="Times New Roman" w:hAnsi="Times New Roman" w:cs="Times New Roman"/>
                <w:sz w:val="20"/>
                <w:szCs w:val="20"/>
                <w:lang w:val="en-US"/>
              </w:rPr>
            </w:pPr>
          </w:p>
        </w:tc>
        <w:tc>
          <w:tcPr>
            <w:tcW w:w="1679" w:type="dxa"/>
            <w:tcBorders>
              <w:top w:val="nil"/>
              <w:left w:val="nil"/>
              <w:bottom w:val="single" w:sz="4" w:space="0" w:color="auto"/>
              <w:right w:val="nil"/>
            </w:tcBorders>
          </w:tcPr>
          <w:p w14:paraId="2C1BC618" w14:textId="77777777" w:rsidR="000C0E6D" w:rsidRPr="000963A6" w:rsidRDefault="00D72D66">
            <w:pPr>
              <w:rPr>
                <w:rFonts w:ascii="Times New Roman" w:hAnsi="Times New Roman" w:cs="Times New Roman"/>
                <w:sz w:val="20"/>
                <w:szCs w:val="20"/>
                <w:lang w:val="en-US"/>
              </w:rPr>
            </w:pPr>
            <w:r w:rsidRPr="000963A6">
              <w:rPr>
                <w:rFonts w:ascii="Times New Roman" w:hAnsi="Times New Roman" w:cs="Times New Roman"/>
                <w:sz w:val="20"/>
                <w:szCs w:val="20"/>
                <w:lang w:val="en-US"/>
              </w:rPr>
              <w:t>INF (N=85)</w:t>
            </w:r>
          </w:p>
        </w:tc>
        <w:tc>
          <w:tcPr>
            <w:tcW w:w="1985" w:type="dxa"/>
            <w:tcBorders>
              <w:top w:val="nil"/>
              <w:left w:val="nil"/>
              <w:bottom w:val="single" w:sz="4" w:space="0" w:color="auto"/>
              <w:right w:val="nil"/>
            </w:tcBorders>
          </w:tcPr>
          <w:p w14:paraId="408B595D" w14:textId="77777777" w:rsidR="000C0E6D" w:rsidRPr="000963A6" w:rsidRDefault="00D72D66">
            <w:pPr>
              <w:rPr>
                <w:rFonts w:ascii="Times New Roman" w:hAnsi="Times New Roman" w:cs="Times New Roman"/>
                <w:sz w:val="20"/>
                <w:szCs w:val="20"/>
                <w:lang w:val="en-US"/>
              </w:rPr>
            </w:pPr>
            <w:r w:rsidRPr="000963A6">
              <w:rPr>
                <w:rFonts w:ascii="Times New Roman" w:hAnsi="Times New Roman" w:cs="Times New Roman"/>
                <w:kern w:val="0"/>
                <w:sz w:val="20"/>
                <w:szCs w:val="20"/>
                <w:lang w:val="en-US"/>
              </w:rPr>
              <w:t>56 (65.88%)</w:t>
            </w:r>
          </w:p>
        </w:tc>
        <w:tc>
          <w:tcPr>
            <w:tcW w:w="1559" w:type="dxa"/>
            <w:tcBorders>
              <w:top w:val="nil"/>
              <w:left w:val="nil"/>
              <w:bottom w:val="single" w:sz="4" w:space="0" w:color="auto"/>
              <w:right w:val="nil"/>
            </w:tcBorders>
          </w:tcPr>
          <w:p w14:paraId="3CF02C09" w14:textId="77777777" w:rsidR="000C0E6D" w:rsidRPr="000963A6" w:rsidRDefault="000C0E6D">
            <w:pPr>
              <w:rPr>
                <w:rFonts w:ascii="Times New Roman" w:hAnsi="Times New Roman" w:cs="Times New Roman"/>
                <w:sz w:val="20"/>
                <w:szCs w:val="20"/>
                <w:lang w:val="en-US"/>
              </w:rPr>
            </w:pPr>
          </w:p>
        </w:tc>
        <w:tc>
          <w:tcPr>
            <w:tcW w:w="1984" w:type="dxa"/>
            <w:tcBorders>
              <w:top w:val="nil"/>
              <w:left w:val="nil"/>
              <w:bottom w:val="single" w:sz="4" w:space="0" w:color="auto"/>
              <w:right w:val="nil"/>
            </w:tcBorders>
          </w:tcPr>
          <w:p w14:paraId="64D63AA5" w14:textId="77777777" w:rsidR="000C0E6D" w:rsidRPr="000963A6" w:rsidRDefault="000C0E6D">
            <w:pPr>
              <w:rPr>
                <w:rFonts w:ascii="Times New Roman" w:hAnsi="Times New Roman" w:cs="Times New Roman"/>
                <w:sz w:val="20"/>
                <w:szCs w:val="20"/>
                <w:lang w:val="en-US"/>
              </w:rPr>
            </w:pPr>
          </w:p>
        </w:tc>
        <w:tc>
          <w:tcPr>
            <w:tcW w:w="1134" w:type="dxa"/>
            <w:tcBorders>
              <w:top w:val="nil"/>
              <w:left w:val="nil"/>
              <w:bottom w:val="single" w:sz="4" w:space="0" w:color="auto"/>
              <w:right w:val="nil"/>
            </w:tcBorders>
          </w:tcPr>
          <w:p w14:paraId="0994C2EE" w14:textId="77777777" w:rsidR="000C0E6D" w:rsidRPr="000963A6" w:rsidRDefault="000C0E6D">
            <w:pPr>
              <w:rPr>
                <w:rFonts w:ascii="Times New Roman" w:hAnsi="Times New Roman" w:cs="Times New Roman"/>
                <w:sz w:val="20"/>
                <w:szCs w:val="20"/>
                <w:lang w:val="en-US"/>
              </w:rPr>
            </w:pPr>
          </w:p>
        </w:tc>
      </w:tr>
    </w:tbl>
    <w:p w14:paraId="43264660" w14:textId="5A4B0EB3" w:rsidR="00013E38" w:rsidRDefault="00013E38" w:rsidP="00013E38">
      <w:pPr>
        <w:widowControl/>
        <w:jc w:val="left"/>
        <w:rPr>
          <w:rFonts w:ascii="Times New Roman" w:eastAsia="宋体" w:hAnsi="Times New Roman" w:cs="Times New Roman"/>
          <w:kern w:val="0"/>
          <w:sz w:val="20"/>
          <w:szCs w:val="20"/>
          <w:lang w:val="en-US"/>
        </w:rPr>
      </w:pPr>
      <w:r w:rsidRPr="00013E38">
        <w:rPr>
          <w:rFonts w:ascii="Times New Roman" w:eastAsia="宋体" w:hAnsi="Times New Roman" w:cs="Times New Roman"/>
          <w:kern w:val="0"/>
          <w:sz w:val="20"/>
          <w:szCs w:val="20"/>
          <w:lang w:val="en-US"/>
        </w:rPr>
        <w:t>ADA, anti-drug antibody; CI, confidence interval</w:t>
      </w:r>
    </w:p>
    <w:p w14:paraId="35FB7F50" w14:textId="77777777" w:rsidR="00BC0D67" w:rsidRPr="007C584D" w:rsidRDefault="00BC0D67" w:rsidP="00BC0D67">
      <w:pPr>
        <w:widowControl/>
        <w:jc w:val="left"/>
        <w:rPr>
          <w:rFonts w:ascii="Times New Roman" w:eastAsia="宋体" w:hAnsi="Times New Roman" w:cs="Times New Roman"/>
          <w:kern w:val="0"/>
          <w:sz w:val="20"/>
          <w:szCs w:val="20"/>
          <w:lang w:val="en-US"/>
        </w:rPr>
      </w:pPr>
      <w:r w:rsidRPr="007C584D">
        <w:rPr>
          <w:rFonts w:ascii="Times New Roman" w:eastAsia="宋体" w:hAnsi="Times New Roman" w:cs="Times New Roman"/>
          <w:kern w:val="0"/>
          <w:sz w:val="20"/>
          <w:szCs w:val="20"/>
          <w:lang w:val="en-US"/>
        </w:rPr>
        <w:t>The p value is for the interaction term treatment by ADA status from an ANCOVA model, where ACR20 response is the response variable, and treatment, ADA status, treatment by ADA status, and baseline CRP are the independent variables and covariates.</w:t>
      </w:r>
    </w:p>
    <w:p w14:paraId="0C7FC711" w14:textId="77777777" w:rsidR="00BC0D67" w:rsidRPr="00BC0D67" w:rsidRDefault="00BC0D67" w:rsidP="00013E38">
      <w:pPr>
        <w:widowControl/>
        <w:jc w:val="left"/>
        <w:rPr>
          <w:rFonts w:ascii="Times New Roman" w:eastAsia="宋体" w:hAnsi="Times New Roman" w:cs="Times New Roman"/>
          <w:kern w:val="0"/>
          <w:sz w:val="20"/>
          <w:szCs w:val="20"/>
          <w:lang w:val="en-US"/>
        </w:rPr>
      </w:pPr>
    </w:p>
    <w:p w14:paraId="07583140" w14:textId="5D6628BC" w:rsidR="00242E5B" w:rsidRDefault="00242E5B" w:rsidP="00013E38">
      <w:pPr>
        <w:widowControl/>
        <w:jc w:val="left"/>
        <w:rPr>
          <w:rFonts w:ascii="Times New Roman" w:eastAsia="宋体" w:hAnsi="Times New Roman" w:cs="Times New Roman"/>
          <w:kern w:val="0"/>
          <w:sz w:val="20"/>
          <w:szCs w:val="20"/>
          <w:lang w:val="en-US"/>
        </w:rPr>
      </w:pPr>
    </w:p>
    <w:p w14:paraId="3A88DB35" w14:textId="6DE714AD" w:rsidR="00242E5B" w:rsidRPr="000963A6" w:rsidRDefault="00242E5B" w:rsidP="00242E5B">
      <w:pPr>
        <w:pStyle w:val="1"/>
        <w:rPr>
          <w:rFonts w:ascii="Times New Roman" w:eastAsia="宋体" w:hAnsi="Times New Roman" w:cs="Times New Roman"/>
          <w:kern w:val="0"/>
          <w:sz w:val="20"/>
          <w:szCs w:val="20"/>
          <w:lang w:val="en-US"/>
        </w:rPr>
      </w:pPr>
      <w:bookmarkStart w:id="4" w:name="_Toc65376355"/>
      <w:r w:rsidRPr="000963A6">
        <w:rPr>
          <w:rFonts w:ascii="Times New Roman" w:hAnsi="Times New Roman" w:cs="Times New Roman"/>
          <w:sz w:val="20"/>
          <w:szCs w:val="20"/>
        </w:rPr>
        <w:t>Appendix S</w:t>
      </w:r>
      <w:r>
        <w:rPr>
          <w:rFonts w:ascii="Times New Roman" w:hAnsi="Times New Roman" w:cs="Times New Roman"/>
          <w:sz w:val="20"/>
          <w:szCs w:val="20"/>
        </w:rPr>
        <w:t>3</w:t>
      </w:r>
      <w:r w:rsidRPr="000963A6">
        <w:rPr>
          <w:rFonts w:ascii="Times New Roman" w:hAnsi="Times New Roman" w:cs="Times New Roman"/>
          <w:sz w:val="20"/>
          <w:szCs w:val="20"/>
        </w:rPr>
        <w:t xml:space="preserve">. </w:t>
      </w:r>
      <w:r w:rsidRPr="00242E5B">
        <w:rPr>
          <w:rFonts w:ascii="Times New Roman" w:hAnsi="Times New Roman" w:cs="Times New Roman"/>
          <w:sz w:val="20"/>
          <w:szCs w:val="20"/>
        </w:rPr>
        <w:t>ADA and NAb incidence by study visit (safety population</w:t>
      </w:r>
      <w:r w:rsidRPr="000963A6">
        <w:rPr>
          <w:rFonts w:ascii="Times New Roman" w:eastAsia="宋体" w:hAnsi="Times New Roman" w:cs="Times New Roman"/>
          <w:kern w:val="0"/>
          <w:sz w:val="20"/>
          <w:szCs w:val="20"/>
          <w:lang w:val="en-US"/>
        </w:rPr>
        <w:t>)</w:t>
      </w:r>
      <w:bookmarkEnd w:id="4"/>
    </w:p>
    <w:p w14:paraId="33358EE3" w14:textId="714E23F8" w:rsidR="00242E5B" w:rsidRPr="00242E5B" w:rsidRDefault="00242E5B" w:rsidP="00013E38">
      <w:pPr>
        <w:widowControl/>
        <w:jc w:val="left"/>
        <w:rPr>
          <w:rFonts w:ascii="Times New Roman" w:eastAsia="宋体" w:hAnsi="Times New Roman" w:cs="Times New Roman"/>
          <w:kern w:val="0"/>
          <w:sz w:val="20"/>
          <w:szCs w:val="20"/>
          <w:lang w:val="en-US"/>
        </w:rPr>
      </w:pPr>
      <w:r>
        <w:rPr>
          <w:rFonts w:ascii="Times New Roman" w:eastAsia="宋体" w:hAnsi="Times New Roman" w:cs="Times New Roman"/>
          <w:noProof/>
          <w:kern w:val="0"/>
          <w:sz w:val="20"/>
          <w:szCs w:val="20"/>
          <w:lang w:val="en-US"/>
        </w:rPr>
        <w:drawing>
          <wp:inline distT="0" distB="0" distL="0" distR="0" wp14:anchorId="5DC6E4D1" wp14:editId="1B69C227">
            <wp:extent cx="6645910" cy="2190750"/>
            <wp:effectExtent l="0" t="0" r="0" b="6350"/>
            <wp:docPr id="1" name="图片 1" descr="图形用户界面, 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 图表&#10;&#10;描述已自动生成"/>
                    <pic:cNvPicPr/>
                  </pic:nvPicPr>
                  <pic:blipFill>
                    <a:blip r:embed="rId8">
                      <a:extLst>
                        <a:ext uri="{28A0092B-C50C-407E-A947-70E740481C1C}">
                          <a14:useLocalDpi xmlns:a14="http://schemas.microsoft.com/office/drawing/2010/main" val="0"/>
                        </a:ext>
                      </a:extLst>
                    </a:blip>
                    <a:stretch>
                      <a:fillRect/>
                    </a:stretch>
                  </pic:blipFill>
                  <pic:spPr>
                    <a:xfrm>
                      <a:off x="0" y="0"/>
                      <a:ext cx="6645910" cy="2190750"/>
                    </a:xfrm>
                    <a:prstGeom prst="rect">
                      <a:avLst/>
                    </a:prstGeom>
                  </pic:spPr>
                </pic:pic>
              </a:graphicData>
            </a:graphic>
          </wp:inline>
        </w:drawing>
      </w:r>
    </w:p>
    <w:p w14:paraId="287E01F4" w14:textId="051DB281" w:rsidR="00584EFD" w:rsidRPr="000963A6" w:rsidRDefault="00584EFD" w:rsidP="00013E38">
      <w:pPr>
        <w:widowControl/>
        <w:jc w:val="left"/>
        <w:rPr>
          <w:rFonts w:ascii="Times New Roman" w:eastAsia="宋体" w:hAnsi="Times New Roman" w:cs="Times New Roman"/>
          <w:kern w:val="0"/>
          <w:sz w:val="20"/>
          <w:szCs w:val="20"/>
          <w:lang w:val="en-US"/>
        </w:rPr>
      </w:pPr>
    </w:p>
    <w:p w14:paraId="5F55AF91" w14:textId="753D2A0F" w:rsidR="00584EFD" w:rsidRPr="000963A6" w:rsidRDefault="00584EFD" w:rsidP="00013E38">
      <w:pPr>
        <w:widowControl/>
        <w:jc w:val="left"/>
        <w:rPr>
          <w:rFonts w:ascii="Times New Roman" w:eastAsia="宋体" w:hAnsi="Times New Roman" w:cs="Times New Roman"/>
          <w:kern w:val="0"/>
          <w:sz w:val="20"/>
          <w:szCs w:val="20"/>
          <w:lang w:val="en-US"/>
        </w:rPr>
      </w:pPr>
    </w:p>
    <w:p w14:paraId="4683803A" w14:textId="77777777" w:rsidR="00584EFD" w:rsidRPr="00013E38" w:rsidRDefault="00584EFD" w:rsidP="00013E38">
      <w:pPr>
        <w:widowControl/>
        <w:jc w:val="left"/>
        <w:rPr>
          <w:rFonts w:ascii="Times New Roman" w:eastAsia="宋体" w:hAnsi="Times New Roman" w:cs="Times New Roman"/>
          <w:kern w:val="0"/>
          <w:sz w:val="20"/>
          <w:szCs w:val="20"/>
          <w:lang w:val="en-US"/>
        </w:rPr>
      </w:pPr>
    </w:p>
    <w:p w14:paraId="2E669762" w14:textId="77777777" w:rsidR="00E2763C" w:rsidRPr="000963A6" w:rsidRDefault="00E2763C">
      <w:pPr>
        <w:rPr>
          <w:rFonts w:ascii="Times New Roman" w:hAnsi="Times New Roman" w:cs="Times New Roman"/>
          <w:sz w:val="20"/>
          <w:szCs w:val="20"/>
          <w:lang w:val="en-US"/>
        </w:rPr>
      </w:pPr>
    </w:p>
    <w:sectPr w:rsidR="00E2763C" w:rsidRPr="000963A6" w:rsidSect="00013E3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79CAE" w14:textId="77777777" w:rsidR="009A48E1" w:rsidRDefault="009A48E1" w:rsidP="00761DF4">
      <w:r>
        <w:separator/>
      </w:r>
    </w:p>
  </w:endnote>
  <w:endnote w:type="continuationSeparator" w:id="0">
    <w:p w14:paraId="3F898A22" w14:textId="77777777" w:rsidR="009A48E1" w:rsidRDefault="009A48E1" w:rsidP="0076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8CE98" w14:textId="77777777" w:rsidR="009A48E1" w:rsidRDefault="009A48E1" w:rsidP="00761DF4">
      <w:r>
        <w:separator/>
      </w:r>
    </w:p>
  </w:footnote>
  <w:footnote w:type="continuationSeparator" w:id="0">
    <w:p w14:paraId="2B7A3B75" w14:textId="77777777" w:rsidR="009A48E1" w:rsidRDefault="009A48E1" w:rsidP="00761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69E56C7"/>
    <w:multiLevelType w:val="singleLevel"/>
    <w:tmpl w:val="969E56C7"/>
    <w:lvl w:ilvl="0">
      <w:start w:val="1"/>
      <w:numFmt w:val="decimal"/>
      <w:suff w:val="nothing"/>
      <w:lvlText w:val="%1．"/>
      <w:lvlJc w:val="left"/>
      <w:pPr>
        <w:ind w:left="0" w:firstLine="400"/>
      </w:pPr>
      <w:rPr>
        <w:rFonts w:hint="default"/>
      </w:rPr>
    </w:lvl>
  </w:abstractNum>
  <w:abstractNum w:abstractNumId="1" w15:restartNumberingAfterBreak="0">
    <w:nsid w:val="389A1B85"/>
    <w:multiLevelType w:val="hybridMultilevel"/>
    <w:tmpl w:val="C6ECE08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445C3EBF"/>
    <w:multiLevelType w:val="hybridMultilevel"/>
    <w:tmpl w:val="B288805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63C"/>
    <w:rsid w:val="00013E38"/>
    <w:rsid w:val="000963A6"/>
    <w:rsid w:val="000C0E6D"/>
    <w:rsid w:val="000D7873"/>
    <w:rsid w:val="00107249"/>
    <w:rsid w:val="001201C4"/>
    <w:rsid w:val="001B2471"/>
    <w:rsid w:val="00224754"/>
    <w:rsid w:val="00242E5B"/>
    <w:rsid w:val="00306D75"/>
    <w:rsid w:val="00325C14"/>
    <w:rsid w:val="004505F1"/>
    <w:rsid w:val="004A53DD"/>
    <w:rsid w:val="004C1BC3"/>
    <w:rsid w:val="00520277"/>
    <w:rsid w:val="00584EFD"/>
    <w:rsid w:val="0062659D"/>
    <w:rsid w:val="00677ECD"/>
    <w:rsid w:val="007375BA"/>
    <w:rsid w:val="00743A98"/>
    <w:rsid w:val="00761DF4"/>
    <w:rsid w:val="007B184D"/>
    <w:rsid w:val="007C584D"/>
    <w:rsid w:val="007E26A3"/>
    <w:rsid w:val="008502A7"/>
    <w:rsid w:val="00860913"/>
    <w:rsid w:val="00932D9F"/>
    <w:rsid w:val="009A48E1"/>
    <w:rsid w:val="00A14873"/>
    <w:rsid w:val="00A26797"/>
    <w:rsid w:val="00AD4270"/>
    <w:rsid w:val="00BC0D67"/>
    <w:rsid w:val="00CA0CC7"/>
    <w:rsid w:val="00D13FA3"/>
    <w:rsid w:val="00D55E8F"/>
    <w:rsid w:val="00D72D66"/>
    <w:rsid w:val="00DA057D"/>
    <w:rsid w:val="00E11870"/>
    <w:rsid w:val="00E2763C"/>
    <w:rsid w:val="00E63D59"/>
    <w:rsid w:val="00F42085"/>
    <w:rsid w:val="00FA1CD5"/>
    <w:rsid w:val="00FD3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CBBA0"/>
  <w15:chartTrackingRefBased/>
  <w15:docId w15:val="{85526A4D-17FF-9842-87CF-87A88DFA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lang w:val="en-GB"/>
    </w:rPr>
  </w:style>
  <w:style w:type="paragraph" w:styleId="1">
    <w:name w:val="heading 1"/>
    <w:basedOn w:val="a"/>
    <w:next w:val="a"/>
    <w:link w:val="10"/>
    <w:uiPriority w:val="9"/>
    <w:qFormat/>
    <w:rsid w:val="00CA0CC7"/>
    <w:pPr>
      <w:keepNext/>
      <w:keepLines/>
      <w:spacing w:before="340" w:after="330" w:line="578" w:lineRule="auto"/>
      <w:outlineLvl w:val="0"/>
    </w:pPr>
    <w:rPr>
      <w:b/>
      <w:bCs/>
      <w:kern w:val="44"/>
      <w:sz w:val="44"/>
      <w:szCs w:val="44"/>
    </w:rPr>
  </w:style>
  <w:style w:type="paragraph" w:styleId="4">
    <w:name w:val="heading 4"/>
    <w:basedOn w:val="a"/>
    <w:next w:val="a"/>
    <w:link w:val="40"/>
    <w:qFormat/>
    <w:rsid w:val="000963A6"/>
    <w:pPr>
      <w:keepNext/>
      <w:keepLines/>
      <w:spacing w:before="280" w:after="290" w:line="372" w:lineRule="auto"/>
      <w:outlineLvl w:val="3"/>
    </w:pPr>
    <w:rPr>
      <w:rFonts w:ascii="Times New Roman" w:eastAsia="黑体" w:hAnsi="Times New Roman" w:cs="Times New Roman"/>
      <w:b/>
      <w:sz w:val="24"/>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0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013E38"/>
    <w:rPr>
      <w:sz w:val="21"/>
      <w:szCs w:val="21"/>
    </w:rPr>
  </w:style>
  <w:style w:type="paragraph" w:styleId="a5">
    <w:name w:val="annotation text"/>
    <w:basedOn w:val="a"/>
    <w:link w:val="a6"/>
    <w:uiPriority w:val="99"/>
    <w:semiHidden/>
    <w:unhideWhenUsed/>
    <w:rsid w:val="00013E38"/>
    <w:pPr>
      <w:jc w:val="left"/>
    </w:pPr>
  </w:style>
  <w:style w:type="character" w:customStyle="1" w:styleId="a6">
    <w:name w:val="批注文字 字符"/>
    <w:basedOn w:val="a0"/>
    <w:link w:val="a5"/>
    <w:uiPriority w:val="99"/>
    <w:semiHidden/>
    <w:rsid w:val="00013E38"/>
    <w:rPr>
      <w:lang w:val="en-GB"/>
    </w:rPr>
  </w:style>
  <w:style w:type="paragraph" w:styleId="a7">
    <w:name w:val="annotation subject"/>
    <w:basedOn w:val="a5"/>
    <w:next w:val="a5"/>
    <w:link w:val="a8"/>
    <w:uiPriority w:val="99"/>
    <w:semiHidden/>
    <w:unhideWhenUsed/>
    <w:rsid w:val="00013E38"/>
    <w:rPr>
      <w:b/>
      <w:bCs/>
    </w:rPr>
  </w:style>
  <w:style w:type="character" w:customStyle="1" w:styleId="a8">
    <w:name w:val="批注主题 字符"/>
    <w:basedOn w:val="a6"/>
    <w:link w:val="a7"/>
    <w:uiPriority w:val="99"/>
    <w:semiHidden/>
    <w:rsid w:val="00013E38"/>
    <w:rPr>
      <w:b/>
      <w:bCs/>
      <w:lang w:val="en-GB"/>
    </w:rPr>
  </w:style>
  <w:style w:type="paragraph" w:styleId="a9">
    <w:name w:val="Balloon Text"/>
    <w:basedOn w:val="a"/>
    <w:link w:val="aa"/>
    <w:uiPriority w:val="99"/>
    <w:semiHidden/>
    <w:unhideWhenUsed/>
    <w:rsid w:val="00013E38"/>
    <w:rPr>
      <w:rFonts w:ascii="宋体" w:eastAsia="宋体"/>
      <w:sz w:val="18"/>
      <w:szCs w:val="18"/>
    </w:rPr>
  </w:style>
  <w:style w:type="character" w:customStyle="1" w:styleId="aa">
    <w:name w:val="批注框文本 字符"/>
    <w:basedOn w:val="a0"/>
    <w:link w:val="a9"/>
    <w:uiPriority w:val="99"/>
    <w:semiHidden/>
    <w:rsid w:val="00013E38"/>
    <w:rPr>
      <w:rFonts w:ascii="宋体" w:eastAsia="宋体"/>
      <w:sz w:val="18"/>
      <w:szCs w:val="18"/>
      <w:lang w:val="en-GB"/>
    </w:rPr>
  </w:style>
  <w:style w:type="character" w:customStyle="1" w:styleId="40">
    <w:name w:val="标题 4 字符"/>
    <w:basedOn w:val="a0"/>
    <w:link w:val="4"/>
    <w:rsid w:val="000963A6"/>
    <w:rPr>
      <w:rFonts w:ascii="Times New Roman" w:eastAsia="黑体" w:hAnsi="Times New Roman" w:cs="Times New Roman"/>
      <w:b/>
      <w:sz w:val="24"/>
      <w:szCs w:val="22"/>
    </w:rPr>
  </w:style>
  <w:style w:type="paragraph" w:styleId="ab">
    <w:name w:val="List Paragraph"/>
    <w:basedOn w:val="a"/>
    <w:uiPriority w:val="34"/>
    <w:qFormat/>
    <w:rsid w:val="00520277"/>
    <w:pPr>
      <w:ind w:firstLineChars="200" w:firstLine="420"/>
    </w:pPr>
  </w:style>
  <w:style w:type="character" w:customStyle="1" w:styleId="10">
    <w:name w:val="标题 1 字符"/>
    <w:basedOn w:val="a0"/>
    <w:link w:val="1"/>
    <w:uiPriority w:val="9"/>
    <w:rsid w:val="00CA0CC7"/>
    <w:rPr>
      <w:b/>
      <w:bCs/>
      <w:kern w:val="44"/>
      <w:sz w:val="44"/>
      <w:szCs w:val="44"/>
      <w:lang w:val="en-GB"/>
    </w:rPr>
  </w:style>
  <w:style w:type="paragraph" w:styleId="TOC">
    <w:name w:val="TOC Heading"/>
    <w:basedOn w:val="1"/>
    <w:next w:val="a"/>
    <w:uiPriority w:val="39"/>
    <w:unhideWhenUsed/>
    <w:qFormat/>
    <w:rsid w:val="00CA0CC7"/>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lang w:val="en-US"/>
    </w:rPr>
  </w:style>
  <w:style w:type="paragraph" w:styleId="TOC2">
    <w:name w:val="toc 2"/>
    <w:basedOn w:val="a"/>
    <w:next w:val="a"/>
    <w:autoRedefine/>
    <w:uiPriority w:val="39"/>
    <w:unhideWhenUsed/>
    <w:rsid w:val="00CA0CC7"/>
    <w:pPr>
      <w:ind w:left="210"/>
      <w:jc w:val="left"/>
    </w:pPr>
    <w:rPr>
      <w:rFonts w:eastAsiaTheme="minorHAnsi"/>
      <w:smallCaps/>
      <w:sz w:val="20"/>
      <w:szCs w:val="20"/>
    </w:rPr>
  </w:style>
  <w:style w:type="paragraph" w:styleId="TOC1">
    <w:name w:val="toc 1"/>
    <w:basedOn w:val="a"/>
    <w:next w:val="a"/>
    <w:autoRedefine/>
    <w:uiPriority w:val="39"/>
    <w:unhideWhenUsed/>
    <w:rsid w:val="00CA0CC7"/>
    <w:pPr>
      <w:spacing w:before="120" w:after="120"/>
      <w:jc w:val="left"/>
    </w:pPr>
    <w:rPr>
      <w:rFonts w:eastAsiaTheme="minorHAnsi"/>
      <w:b/>
      <w:bCs/>
      <w:caps/>
      <w:sz w:val="20"/>
      <w:szCs w:val="20"/>
    </w:rPr>
  </w:style>
  <w:style w:type="paragraph" w:styleId="TOC3">
    <w:name w:val="toc 3"/>
    <w:basedOn w:val="a"/>
    <w:next w:val="a"/>
    <w:autoRedefine/>
    <w:uiPriority w:val="39"/>
    <w:unhideWhenUsed/>
    <w:rsid w:val="00CA0CC7"/>
    <w:pPr>
      <w:ind w:left="420"/>
      <w:jc w:val="left"/>
    </w:pPr>
    <w:rPr>
      <w:rFonts w:eastAsiaTheme="minorHAnsi"/>
      <w:i/>
      <w:iCs/>
      <w:sz w:val="20"/>
      <w:szCs w:val="20"/>
    </w:rPr>
  </w:style>
  <w:style w:type="paragraph" w:styleId="TOC4">
    <w:name w:val="toc 4"/>
    <w:basedOn w:val="a"/>
    <w:next w:val="a"/>
    <w:autoRedefine/>
    <w:uiPriority w:val="39"/>
    <w:unhideWhenUsed/>
    <w:rsid w:val="00CA0CC7"/>
    <w:pPr>
      <w:ind w:left="630"/>
      <w:jc w:val="left"/>
    </w:pPr>
    <w:rPr>
      <w:rFonts w:eastAsiaTheme="minorHAnsi"/>
      <w:sz w:val="18"/>
      <w:szCs w:val="18"/>
    </w:rPr>
  </w:style>
  <w:style w:type="paragraph" w:styleId="TOC5">
    <w:name w:val="toc 5"/>
    <w:basedOn w:val="a"/>
    <w:next w:val="a"/>
    <w:autoRedefine/>
    <w:uiPriority w:val="39"/>
    <w:unhideWhenUsed/>
    <w:rsid w:val="00CA0CC7"/>
    <w:pPr>
      <w:ind w:left="840"/>
      <w:jc w:val="left"/>
    </w:pPr>
    <w:rPr>
      <w:rFonts w:eastAsiaTheme="minorHAnsi"/>
      <w:sz w:val="18"/>
      <w:szCs w:val="18"/>
    </w:rPr>
  </w:style>
  <w:style w:type="paragraph" w:styleId="TOC6">
    <w:name w:val="toc 6"/>
    <w:basedOn w:val="a"/>
    <w:next w:val="a"/>
    <w:autoRedefine/>
    <w:uiPriority w:val="39"/>
    <w:unhideWhenUsed/>
    <w:rsid w:val="00CA0CC7"/>
    <w:pPr>
      <w:ind w:left="1050"/>
      <w:jc w:val="left"/>
    </w:pPr>
    <w:rPr>
      <w:rFonts w:eastAsiaTheme="minorHAnsi"/>
      <w:sz w:val="18"/>
      <w:szCs w:val="18"/>
    </w:rPr>
  </w:style>
  <w:style w:type="paragraph" w:styleId="TOC7">
    <w:name w:val="toc 7"/>
    <w:basedOn w:val="a"/>
    <w:next w:val="a"/>
    <w:autoRedefine/>
    <w:uiPriority w:val="39"/>
    <w:unhideWhenUsed/>
    <w:rsid w:val="00CA0CC7"/>
    <w:pPr>
      <w:ind w:left="1260"/>
      <w:jc w:val="left"/>
    </w:pPr>
    <w:rPr>
      <w:rFonts w:eastAsiaTheme="minorHAnsi"/>
      <w:sz w:val="18"/>
      <w:szCs w:val="18"/>
    </w:rPr>
  </w:style>
  <w:style w:type="paragraph" w:styleId="TOC8">
    <w:name w:val="toc 8"/>
    <w:basedOn w:val="a"/>
    <w:next w:val="a"/>
    <w:autoRedefine/>
    <w:uiPriority w:val="39"/>
    <w:unhideWhenUsed/>
    <w:rsid w:val="00CA0CC7"/>
    <w:pPr>
      <w:ind w:left="1470"/>
      <w:jc w:val="left"/>
    </w:pPr>
    <w:rPr>
      <w:rFonts w:eastAsiaTheme="minorHAnsi"/>
      <w:sz w:val="18"/>
      <w:szCs w:val="18"/>
    </w:rPr>
  </w:style>
  <w:style w:type="paragraph" w:styleId="TOC9">
    <w:name w:val="toc 9"/>
    <w:basedOn w:val="a"/>
    <w:next w:val="a"/>
    <w:autoRedefine/>
    <w:uiPriority w:val="39"/>
    <w:unhideWhenUsed/>
    <w:rsid w:val="00CA0CC7"/>
    <w:pPr>
      <w:ind w:left="1680"/>
      <w:jc w:val="left"/>
    </w:pPr>
    <w:rPr>
      <w:rFonts w:eastAsiaTheme="minorHAnsi"/>
      <w:sz w:val="18"/>
      <w:szCs w:val="18"/>
    </w:rPr>
  </w:style>
  <w:style w:type="character" w:styleId="ac">
    <w:name w:val="Hyperlink"/>
    <w:basedOn w:val="a0"/>
    <w:uiPriority w:val="99"/>
    <w:unhideWhenUsed/>
    <w:rsid w:val="00CA0CC7"/>
    <w:rPr>
      <w:color w:val="0563C1" w:themeColor="hyperlink"/>
      <w:u w:val="single"/>
    </w:rPr>
  </w:style>
  <w:style w:type="paragraph" w:styleId="ad">
    <w:name w:val="header"/>
    <w:basedOn w:val="a"/>
    <w:link w:val="ae"/>
    <w:uiPriority w:val="99"/>
    <w:unhideWhenUsed/>
    <w:rsid w:val="00761DF4"/>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rsid w:val="00761DF4"/>
    <w:rPr>
      <w:sz w:val="18"/>
      <w:szCs w:val="18"/>
      <w:lang w:val="en-GB"/>
    </w:rPr>
  </w:style>
  <w:style w:type="paragraph" w:styleId="af">
    <w:name w:val="footer"/>
    <w:basedOn w:val="a"/>
    <w:link w:val="af0"/>
    <w:uiPriority w:val="99"/>
    <w:unhideWhenUsed/>
    <w:rsid w:val="00761DF4"/>
    <w:pPr>
      <w:tabs>
        <w:tab w:val="center" w:pos="4153"/>
        <w:tab w:val="right" w:pos="8306"/>
      </w:tabs>
      <w:snapToGrid w:val="0"/>
      <w:jc w:val="left"/>
    </w:pPr>
    <w:rPr>
      <w:sz w:val="18"/>
      <w:szCs w:val="18"/>
    </w:rPr>
  </w:style>
  <w:style w:type="character" w:customStyle="1" w:styleId="af0">
    <w:name w:val="页脚 字符"/>
    <w:basedOn w:val="a0"/>
    <w:link w:val="af"/>
    <w:uiPriority w:val="99"/>
    <w:rsid w:val="00761DF4"/>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36198">
      <w:bodyDiv w:val="1"/>
      <w:marLeft w:val="0"/>
      <w:marRight w:val="0"/>
      <w:marTop w:val="0"/>
      <w:marBottom w:val="0"/>
      <w:divBdr>
        <w:top w:val="none" w:sz="0" w:space="0" w:color="auto"/>
        <w:left w:val="none" w:sz="0" w:space="0" w:color="auto"/>
        <w:bottom w:val="none" w:sz="0" w:space="0" w:color="auto"/>
        <w:right w:val="none" w:sz="0" w:space="0" w:color="auto"/>
      </w:divBdr>
    </w:div>
    <w:div w:id="188690717">
      <w:bodyDiv w:val="1"/>
      <w:marLeft w:val="0"/>
      <w:marRight w:val="0"/>
      <w:marTop w:val="0"/>
      <w:marBottom w:val="0"/>
      <w:divBdr>
        <w:top w:val="none" w:sz="0" w:space="0" w:color="auto"/>
        <w:left w:val="none" w:sz="0" w:space="0" w:color="auto"/>
        <w:bottom w:val="none" w:sz="0" w:space="0" w:color="auto"/>
        <w:right w:val="none" w:sz="0" w:space="0" w:color="auto"/>
      </w:divBdr>
    </w:div>
    <w:div w:id="316568353">
      <w:bodyDiv w:val="1"/>
      <w:marLeft w:val="0"/>
      <w:marRight w:val="0"/>
      <w:marTop w:val="0"/>
      <w:marBottom w:val="0"/>
      <w:divBdr>
        <w:top w:val="none" w:sz="0" w:space="0" w:color="auto"/>
        <w:left w:val="none" w:sz="0" w:space="0" w:color="auto"/>
        <w:bottom w:val="none" w:sz="0" w:space="0" w:color="auto"/>
        <w:right w:val="none" w:sz="0" w:space="0" w:color="auto"/>
      </w:divBdr>
    </w:div>
    <w:div w:id="393240176">
      <w:bodyDiv w:val="1"/>
      <w:marLeft w:val="0"/>
      <w:marRight w:val="0"/>
      <w:marTop w:val="0"/>
      <w:marBottom w:val="0"/>
      <w:divBdr>
        <w:top w:val="none" w:sz="0" w:space="0" w:color="auto"/>
        <w:left w:val="none" w:sz="0" w:space="0" w:color="auto"/>
        <w:bottom w:val="none" w:sz="0" w:space="0" w:color="auto"/>
        <w:right w:val="none" w:sz="0" w:space="0" w:color="auto"/>
      </w:divBdr>
    </w:div>
    <w:div w:id="405957440">
      <w:bodyDiv w:val="1"/>
      <w:marLeft w:val="0"/>
      <w:marRight w:val="0"/>
      <w:marTop w:val="0"/>
      <w:marBottom w:val="0"/>
      <w:divBdr>
        <w:top w:val="none" w:sz="0" w:space="0" w:color="auto"/>
        <w:left w:val="none" w:sz="0" w:space="0" w:color="auto"/>
        <w:bottom w:val="none" w:sz="0" w:space="0" w:color="auto"/>
        <w:right w:val="none" w:sz="0" w:space="0" w:color="auto"/>
      </w:divBdr>
    </w:div>
    <w:div w:id="580143609">
      <w:bodyDiv w:val="1"/>
      <w:marLeft w:val="0"/>
      <w:marRight w:val="0"/>
      <w:marTop w:val="0"/>
      <w:marBottom w:val="0"/>
      <w:divBdr>
        <w:top w:val="none" w:sz="0" w:space="0" w:color="auto"/>
        <w:left w:val="none" w:sz="0" w:space="0" w:color="auto"/>
        <w:bottom w:val="none" w:sz="0" w:space="0" w:color="auto"/>
        <w:right w:val="none" w:sz="0" w:space="0" w:color="auto"/>
      </w:divBdr>
    </w:div>
    <w:div w:id="748619603">
      <w:bodyDiv w:val="1"/>
      <w:marLeft w:val="0"/>
      <w:marRight w:val="0"/>
      <w:marTop w:val="0"/>
      <w:marBottom w:val="0"/>
      <w:divBdr>
        <w:top w:val="none" w:sz="0" w:space="0" w:color="auto"/>
        <w:left w:val="none" w:sz="0" w:space="0" w:color="auto"/>
        <w:bottom w:val="none" w:sz="0" w:space="0" w:color="auto"/>
        <w:right w:val="none" w:sz="0" w:space="0" w:color="auto"/>
      </w:divBdr>
    </w:div>
    <w:div w:id="802892828">
      <w:bodyDiv w:val="1"/>
      <w:marLeft w:val="0"/>
      <w:marRight w:val="0"/>
      <w:marTop w:val="0"/>
      <w:marBottom w:val="0"/>
      <w:divBdr>
        <w:top w:val="none" w:sz="0" w:space="0" w:color="auto"/>
        <w:left w:val="none" w:sz="0" w:space="0" w:color="auto"/>
        <w:bottom w:val="none" w:sz="0" w:space="0" w:color="auto"/>
        <w:right w:val="none" w:sz="0" w:space="0" w:color="auto"/>
      </w:divBdr>
    </w:div>
    <w:div w:id="1017391989">
      <w:bodyDiv w:val="1"/>
      <w:marLeft w:val="0"/>
      <w:marRight w:val="0"/>
      <w:marTop w:val="0"/>
      <w:marBottom w:val="0"/>
      <w:divBdr>
        <w:top w:val="none" w:sz="0" w:space="0" w:color="auto"/>
        <w:left w:val="none" w:sz="0" w:space="0" w:color="auto"/>
        <w:bottom w:val="none" w:sz="0" w:space="0" w:color="auto"/>
        <w:right w:val="none" w:sz="0" w:space="0" w:color="auto"/>
      </w:divBdr>
    </w:div>
    <w:div w:id="1079712385">
      <w:bodyDiv w:val="1"/>
      <w:marLeft w:val="0"/>
      <w:marRight w:val="0"/>
      <w:marTop w:val="0"/>
      <w:marBottom w:val="0"/>
      <w:divBdr>
        <w:top w:val="none" w:sz="0" w:space="0" w:color="auto"/>
        <w:left w:val="none" w:sz="0" w:space="0" w:color="auto"/>
        <w:bottom w:val="none" w:sz="0" w:space="0" w:color="auto"/>
        <w:right w:val="none" w:sz="0" w:space="0" w:color="auto"/>
      </w:divBdr>
    </w:div>
    <w:div w:id="1102989639">
      <w:bodyDiv w:val="1"/>
      <w:marLeft w:val="0"/>
      <w:marRight w:val="0"/>
      <w:marTop w:val="0"/>
      <w:marBottom w:val="0"/>
      <w:divBdr>
        <w:top w:val="none" w:sz="0" w:space="0" w:color="auto"/>
        <w:left w:val="none" w:sz="0" w:space="0" w:color="auto"/>
        <w:bottom w:val="none" w:sz="0" w:space="0" w:color="auto"/>
        <w:right w:val="none" w:sz="0" w:space="0" w:color="auto"/>
      </w:divBdr>
    </w:div>
    <w:div w:id="1231112800">
      <w:bodyDiv w:val="1"/>
      <w:marLeft w:val="0"/>
      <w:marRight w:val="0"/>
      <w:marTop w:val="0"/>
      <w:marBottom w:val="0"/>
      <w:divBdr>
        <w:top w:val="none" w:sz="0" w:space="0" w:color="auto"/>
        <w:left w:val="none" w:sz="0" w:space="0" w:color="auto"/>
        <w:bottom w:val="none" w:sz="0" w:space="0" w:color="auto"/>
        <w:right w:val="none" w:sz="0" w:space="0" w:color="auto"/>
      </w:divBdr>
    </w:div>
    <w:div w:id="1460418889">
      <w:bodyDiv w:val="1"/>
      <w:marLeft w:val="0"/>
      <w:marRight w:val="0"/>
      <w:marTop w:val="0"/>
      <w:marBottom w:val="0"/>
      <w:divBdr>
        <w:top w:val="none" w:sz="0" w:space="0" w:color="auto"/>
        <w:left w:val="none" w:sz="0" w:space="0" w:color="auto"/>
        <w:bottom w:val="none" w:sz="0" w:space="0" w:color="auto"/>
        <w:right w:val="none" w:sz="0" w:space="0" w:color="auto"/>
      </w:divBdr>
    </w:div>
    <w:div w:id="1637180111">
      <w:bodyDiv w:val="1"/>
      <w:marLeft w:val="0"/>
      <w:marRight w:val="0"/>
      <w:marTop w:val="0"/>
      <w:marBottom w:val="0"/>
      <w:divBdr>
        <w:top w:val="none" w:sz="0" w:space="0" w:color="auto"/>
        <w:left w:val="none" w:sz="0" w:space="0" w:color="auto"/>
        <w:bottom w:val="none" w:sz="0" w:space="0" w:color="auto"/>
        <w:right w:val="none" w:sz="0" w:space="0" w:color="auto"/>
      </w:divBdr>
    </w:div>
    <w:div w:id="1644657894">
      <w:bodyDiv w:val="1"/>
      <w:marLeft w:val="0"/>
      <w:marRight w:val="0"/>
      <w:marTop w:val="0"/>
      <w:marBottom w:val="0"/>
      <w:divBdr>
        <w:top w:val="none" w:sz="0" w:space="0" w:color="auto"/>
        <w:left w:val="none" w:sz="0" w:space="0" w:color="auto"/>
        <w:bottom w:val="none" w:sz="0" w:space="0" w:color="auto"/>
        <w:right w:val="none" w:sz="0" w:space="0" w:color="auto"/>
      </w:divBdr>
    </w:div>
    <w:div w:id="1837765006">
      <w:bodyDiv w:val="1"/>
      <w:marLeft w:val="0"/>
      <w:marRight w:val="0"/>
      <w:marTop w:val="0"/>
      <w:marBottom w:val="0"/>
      <w:divBdr>
        <w:top w:val="none" w:sz="0" w:space="0" w:color="auto"/>
        <w:left w:val="none" w:sz="0" w:space="0" w:color="auto"/>
        <w:bottom w:val="none" w:sz="0" w:space="0" w:color="auto"/>
        <w:right w:val="none" w:sz="0" w:space="0" w:color="auto"/>
      </w:divBdr>
    </w:div>
    <w:div w:id="1968199601">
      <w:bodyDiv w:val="1"/>
      <w:marLeft w:val="0"/>
      <w:marRight w:val="0"/>
      <w:marTop w:val="0"/>
      <w:marBottom w:val="0"/>
      <w:divBdr>
        <w:top w:val="none" w:sz="0" w:space="0" w:color="auto"/>
        <w:left w:val="none" w:sz="0" w:space="0" w:color="auto"/>
        <w:bottom w:val="none" w:sz="0" w:space="0" w:color="auto"/>
        <w:right w:val="none" w:sz="0" w:space="0" w:color="auto"/>
      </w:divBdr>
    </w:div>
    <w:div w:id="1979455280">
      <w:bodyDiv w:val="1"/>
      <w:marLeft w:val="0"/>
      <w:marRight w:val="0"/>
      <w:marTop w:val="0"/>
      <w:marBottom w:val="0"/>
      <w:divBdr>
        <w:top w:val="none" w:sz="0" w:space="0" w:color="auto"/>
        <w:left w:val="none" w:sz="0" w:space="0" w:color="auto"/>
        <w:bottom w:val="none" w:sz="0" w:space="0" w:color="auto"/>
        <w:right w:val="none" w:sz="0" w:space="0" w:color="auto"/>
      </w:divBdr>
    </w:div>
    <w:div w:id="212653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D8073-DD81-9C42-96FE-5AEB96B9B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6</Pages>
  <Words>1555</Words>
  <Characters>8870</Characters>
  <Application>Microsoft Office Word</Application>
  <DocSecurity>0</DocSecurity>
  <Lines>73</Lines>
  <Paragraphs>20</Paragraphs>
  <ScaleCrop>false</ScaleCrop>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30801</dc:creator>
  <cp:keywords/>
  <dc:description/>
  <cp:lastModifiedBy>30801</cp:lastModifiedBy>
  <cp:revision>44</cp:revision>
  <dcterms:created xsi:type="dcterms:W3CDTF">2020-11-01T02:20:00Z</dcterms:created>
  <dcterms:modified xsi:type="dcterms:W3CDTF">2021-03-29T13:13:00Z</dcterms:modified>
</cp:coreProperties>
</file>