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04F" w:rsidRPr="004E32F1" w:rsidRDefault="00C3604F" w:rsidP="006B4E88">
      <w:pPr>
        <w:spacing w:after="400" w:line="240" w:lineRule="auto"/>
        <w:jc w:val="both"/>
        <w:rPr>
          <w:rFonts w:ascii="Times New Roman" w:hAnsi="Times New Roman"/>
          <w:b/>
          <w:sz w:val="32"/>
          <w:szCs w:val="20"/>
        </w:rPr>
      </w:pPr>
      <w:r w:rsidRPr="004E32F1">
        <w:rPr>
          <w:rFonts w:ascii="Times New Roman" w:hAnsi="Times New Roman"/>
          <w:b/>
          <w:sz w:val="32"/>
          <w:szCs w:val="20"/>
        </w:rPr>
        <w:t xml:space="preserve">Supplementary </w:t>
      </w:r>
      <w:r w:rsidR="00164830" w:rsidRPr="004E32F1">
        <w:rPr>
          <w:rFonts w:ascii="Times New Roman" w:hAnsi="Times New Roman"/>
          <w:b/>
          <w:sz w:val="32"/>
          <w:szCs w:val="20"/>
        </w:rPr>
        <w:t>information</w:t>
      </w:r>
    </w:p>
    <w:p w:rsidR="00C3604F" w:rsidRPr="004E32F1" w:rsidRDefault="00C3604F" w:rsidP="00B2564F">
      <w:pPr>
        <w:spacing w:line="240" w:lineRule="auto"/>
        <w:jc w:val="both"/>
        <w:rPr>
          <w:rFonts w:ascii="Times New Roman" w:hAnsi="Times New Roman"/>
          <w:b/>
          <w:sz w:val="28"/>
          <w:szCs w:val="20"/>
        </w:rPr>
      </w:pPr>
      <w:r w:rsidRPr="004E32F1">
        <w:rPr>
          <w:rFonts w:ascii="Times New Roman" w:hAnsi="Times New Roman"/>
          <w:b/>
          <w:sz w:val="28"/>
          <w:szCs w:val="20"/>
        </w:rPr>
        <w:t>Supplementary tables</w:t>
      </w:r>
    </w:p>
    <w:p w:rsidR="00BC7897" w:rsidRPr="004E32F1" w:rsidRDefault="00BC7897" w:rsidP="002F054E">
      <w:pPr>
        <w:spacing w:after="100" w:line="240" w:lineRule="auto"/>
        <w:jc w:val="both"/>
        <w:rPr>
          <w:rFonts w:ascii="Times New Roman" w:hAnsi="Times New Roman"/>
          <w:sz w:val="28"/>
          <w:szCs w:val="20"/>
        </w:rPr>
      </w:pPr>
      <w:r w:rsidRPr="004E32F1">
        <w:rPr>
          <w:rFonts w:ascii="Times New Roman" w:hAnsi="Times New Roman"/>
          <w:sz w:val="28"/>
          <w:szCs w:val="20"/>
        </w:rPr>
        <w:t>Supplementary Table S1. Oligonucleotides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7543"/>
      </w:tblGrid>
      <w:tr w:rsidR="004E32F1" w:rsidRPr="004E32F1" w:rsidTr="005A6901">
        <w:trPr>
          <w:cantSplit/>
          <w:trHeight w:val="276"/>
        </w:trPr>
        <w:tc>
          <w:tcPr>
            <w:tcW w:w="0" w:type="auto"/>
            <w:tcBorders>
              <w:top w:val="single" w:sz="4" w:space="0" w:color="auto"/>
              <w:bottom w:val="single" w:sz="4" w:space="0" w:color="auto"/>
            </w:tcBorders>
            <w:shd w:val="clear" w:color="auto" w:fill="auto"/>
          </w:tcPr>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Cloning</w:t>
            </w: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2F054E">
            <w:pPr>
              <w:spacing w:after="10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ChIP</w:t>
            </w: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2F054E">
            <w:pPr>
              <w:spacing w:after="10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CLIP</w:t>
            </w: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 xml:space="preserve"> </w:t>
            </w:r>
          </w:p>
        </w:tc>
        <w:tc>
          <w:tcPr>
            <w:tcW w:w="0" w:type="auto"/>
            <w:tcBorders>
              <w:top w:val="single" w:sz="4" w:space="0" w:color="auto"/>
              <w:bottom w:val="single" w:sz="4" w:space="0" w:color="auto"/>
            </w:tcBorders>
            <w:shd w:val="clear" w:color="auto" w:fill="auto"/>
          </w:tcPr>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AR-V7-Forward: ATAGGTACCCTGGCGGCATGGTGAG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AR-V7-Reverse: ATATCTAGATCAGGGTCTGGTCATTTTGAGATGCTTGCA</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AdTR3-Forward: CGTGAATTCCCCTGTATCCAAGCCCAATAT</w:t>
            </w:r>
          </w:p>
          <w:p w:rsidR="00BC7897" w:rsidRPr="004E32F1" w:rsidRDefault="00BC7897" w:rsidP="002F054E">
            <w:pPr>
              <w:spacing w:after="100" w:line="240" w:lineRule="auto"/>
              <w:jc w:val="both"/>
              <w:rPr>
                <w:rFonts w:ascii="Times New Roman" w:hAnsi="Times New Roman"/>
                <w:sz w:val="22"/>
                <w:szCs w:val="22"/>
              </w:rPr>
            </w:pPr>
            <w:r w:rsidRPr="004E32F1">
              <w:rPr>
                <w:rFonts w:ascii="Times New Roman" w:hAnsi="Times New Roman"/>
                <w:sz w:val="22"/>
                <w:szCs w:val="22"/>
              </w:rPr>
              <w:t xml:space="preserve">AdTR3-Reverse: ATAGATATCTCAGAAGGGCAGCGTGTCCAT </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P</w:t>
            </w:r>
            <w:r w:rsidRPr="004E32F1">
              <w:rPr>
                <w:rFonts w:ascii="Times New Roman" w:hAnsi="Times New Roman"/>
                <w:sz w:val="22"/>
                <w:szCs w:val="22"/>
                <w:vertAlign w:val="subscript"/>
              </w:rPr>
              <w:t xml:space="preserve"> </w:t>
            </w:r>
            <w:r w:rsidRPr="004E32F1">
              <w:rPr>
                <w:rFonts w:ascii="Times New Roman" w:hAnsi="Times New Roman"/>
                <w:sz w:val="22"/>
                <w:szCs w:val="22"/>
              </w:rPr>
              <w:t>Forward: CAGAGATGAAATAAATGGGCAGATG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P Reverse: TCCTCTGCAACTTCAAGAGGA</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A Forward:</w:t>
            </w:r>
            <w:r w:rsidRPr="004E32F1">
              <w:rPr>
                <w:rFonts w:ascii="Times New Roman" w:eastAsia="Calibri" w:hAnsi="Times New Roman"/>
                <w:sz w:val="22"/>
                <w:szCs w:val="22"/>
              </w:rPr>
              <w:t xml:space="preserve"> GACATGATGAATGTGAACATCCTTGA</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A Reverse:</w:t>
            </w:r>
            <w:r w:rsidRPr="004E32F1">
              <w:rPr>
                <w:rFonts w:ascii="Times New Roman" w:eastAsia="Calibri" w:hAnsi="Times New Roman"/>
                <w:sz w:val="22"/>
                <w:szCs w:val="22"/>
              </w:rPr>
              <w:t xml:space="preserve"> CCAAGTTACTTAGGGTAAAAGCCATC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B Forward:</w:t>
            </w:r>
            <w:r w:rsidRPr="004E32F1">
              <w:rPr>
                <w:rFonts w:ascii="Times New Roman" w:eastAsia="Calibri" w:hAnsi="Times New Roman"/>
                <w:sz w:val="22"/>
                <w:szCs w:val="22"/>
              </w:rPr>
              <w:t xml:space="preserve"> ACACTTTCGAAAACATGGGTATAGAC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B Reverse:</w:t>
            </w:r>
            <w:r w:rsidRPr="004E32F1">
              <w:rPr>
                <w:rFonts w:ascii="Times New Roman" w:eastAsia="Calibri" w:hAnsi="Times New Roman"/>
                <w:sz w:val="22"/>
                <w:szCs w:val="22"/>
              </w:rPr>
              <w:t xml:space="preserve"> GATGGTCTGCTTTTGATCATTAATGC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C Forward:</w:t>
            </w:r>
            <w:r w:rsidRPr="004E32F1">
              <w:rPr>
                <w:rFonts w:ascii="Times New Roman" w:eastAsia="Calibri" w:hAnsi="Times New Roman"/>
                <w:sz w:val="22"/>
                <w:szCs w:val="22"/>
              </w:rPr>
              <w:t xml:space="preserve"> GATCGAATCAGCTACTGAAGCTTG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C Reverse:</w:t>
            </w:r>
            <w:r w:rsidRPr="004E32F1">
              <w:rPr>
                <w:rFonts w:ascii="Times New Roman" w:eastAsia="Calibri" w:hAnsi="Times New Roman"/>
                <w:sz w:val="22"/>
                <w:szCs w:val="22"/>
              </w:rPr>
              <w:t xml:space="preserve"> CCATCGCAAAGAAGTTAAAAACCTTG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Ctrl Forward:</w:t>
            </w:r>
            <w:r w:rsidRPr="004E32F1">
              <w:rPr>
                <w:rFonts w:ascii="Times New Roman" w:hAnsi="Times New Roman"/>
                <w:iCs/>
                <w:sz w:val="22"/>
                <w:szCs w:val="22"/>
              </w:rPr>
              <w:t xml:space="preserve"> TCCTCCTCTTCCTCAATCTCG</w:t>
            </w:r>
          </w:p>
          <w:p w:rsidR="00BC7897" w:rsidRPr="004E32F1" w:rsidRDefault="00BC7897" w:rsidP="002F054E">
            <w:pPr>
              <w:spacing w:after="100" w:line="240" w:lineRule="auto"/>
              <w:jc w:val="both"/>
              <w:rPr>
                <w:rFonts w:ascii="Times New Roman" w:hAnsi="Times New Roman"/>
                <w:iCs/>
                <w:sz w:val="22"/>
                <w:szCs w:val="22"/>
              </w:rPr>
            </w:pPr>
            <w:r w:rsidRPr="004E32F1">
              <w:rPr>
                <w:rFonts w:ascii="Times New Roman" w:hAnsi="Times New Roman"/>
                <w:sz w:val="22"/>
                <w:szCs w:val="22"/>
              </w:rPr>
              <w:t>Ctrl Reverse:</w:t>
            </w:r>
            <w:r w:rsidRPr="004E32F1">
              <w:rPr>
                <w:rFonts w:ascii="Times New Roman" w:hAnsi="Times New Roman"/>
                <w:i/>
                <w:iCs/>
                <w:sz w:val="22"/>
                <w:szCs w:val="22"/>
              </w:rPr>
              <w:t xml:space="preserve"> </w:t>
            </w:r>
            <w:r w:rsidRPr="004E32F1">
              <w:rPr>
                <w:rFonts w:ascii="Times New Roman" w:hAnsi="Times New Roman"/>
                <w:iCs/>
                <w:sz w:val="22"/>
                <w:szCs w:val="22"/>
              </w:rPr>
              <w:t>AAGGCAACTTTCGGAACGG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Reg1 Fo</w:t>
            </w:r>
            <w:r w:rsidRPr="004E32F1">
              <w:rPr>
                <w:rFonts w:ascii="Times New Roman" w:hAnsi="Times New Roman"/>
                <w:sz w:val="22"/>
                <w:szCs w:val="22"/>
                <w:lang w:eastAsia="ko-KR"/>
              </w:rPr>
              <w:t>r</w:t>
            </w:r>
            <w:r w:rsidRPr="004E32F1">
              <w:rPr>
                <w:rFonts w:ascii="Times New Roman" w:hAnsi="Times New Roman"/>
                <w:sz w:val="22"/>
                <w:szCs w:val="22"/>
              </w:rPr>
              <w:t>ward: AAAGAAAGTGGTCTCTGGGTGCTGA</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Reg1 Reverse: GTGAGTGCAAATCCTGTGAAGTCTTTAC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Reg2 Foward: CAACCCACTGTGTATTGCAGAATGTTTTA</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Reg2 Reverse: TTTCCCTGGTTCCCTGTACAAAGTC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Reg3 Foward: AGAGATGGGCATATTCCTTGTTTGAATG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Reg3 Reverse: CTCCCCTTACTGCCTTCCTTATATG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Reg4 Foward: CTGCAGTTGGAATTTACATTTCCAAAGC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Reg4 Reverse: CAACCCATTTTGACTAGAGACCTGAG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Reg5 Foward: ATTGTGGTATCTGTATGTGGACCCTG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Reg5 Reverse: GATACTGCAGTTTTGAACACTGCAAATC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Reg6 Foward: GAGCTGGAAAAGAttTTAATGACTTTCCAG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Reg6 Reverse: AATCCCAGATGAGAGAAAGAGCAGTG</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Reg7 Forward:</w:t>
            </w:r>
            <w:r w:rsidRPr="004E32F1">
              <w:rPr>
                <w:rFonts w:ascii="Times New Roman" w:eastAsia="Calibri" w:hAnsi="Times New Roman"/>
                <w:sz w:val="22"/>
                <w:szCs w:val="22"/>
              </w:rPr>
              <w:t xml:space="preserve"> GACATGATGAATGTGAACATCCTTGA</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Reg7 Reverse:</w:t>
            </w:r>
            <w:r w:rsidRPr="004E32F1">
              <w:rPr>
                <w:rFonts w:ascii="Times New Roman" w:eastAsia="Calibri" w:hAnsi="Times New Roman"/>
                <w:sz w:val="22"/>
                <w:szCs w:val="22"/>
              </w:rPr>
              <w:t xml:space="preserve"> CCAAGTTACTTAGGGTAAAAGCCATC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Reg8 Forward:</w:t>
            </w:r>
            <w:r w:rsidRPr="004E32F1">
              <w:rPr>
                <w:rFonts w:ascii="Times New Roman" w:eastAsia="Calibri" w:hAnsi="Times New Roman"/>
                <w:sz w:val="22"/>
                <w:szCs w:val="22"/>
              </w:rPr>
              <w:t xml:space="preserve"> ACACTTTCGAAAACATGGGTATAGAC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Reg8 Reverse:</w:t>
            </w:r>
            <w:r w:rsidRPr="004E32F1">
              <w:rPr>
                <w:rFonts w:ascii="Times New Roman" w:eastAsia="Calibri" w:hAnsi="Times New Roman"/>
                <w:sz w:val="22"/>
                <w:szCs w:val="22"/>
              </w:rPr>
              <w:t xml:space="preserve"> GATGGTCTGCTTTTGATCATTAATGC</w:t>
            </w:r>
          </w:p>
          <w:p w:rsidR="00BC7897" w:rsidRPr="004E32F1" w:rsidRDefault="00BC7897" w:rsidP="00C3604F">
            <w:pPr>
              <w:spacing w:after="0" w:line="240" w:lineRule="auto"/>
              <w:jc w:val="both"/>
              <w:rPr>
                <w:rFonts w:ascii="Times New Roman" w:hAnsi="Times New Roman"/>
                <w:sz w:val="22"/>
                <w:szCs w:val="22"/>
              </w:rPr>
            </w:pPr>
            <w:r w:rsidRPr="004E32F1">
              <w:rPr>
                <w:rFonts w:ascii="Times New Roman" w:hAnsi="Times New Roman"/>
                <w:sz w:val="22"/>
                <w:szCs w:val="22"/>
              </w:rPr>
              <w:t>Reg9 Forward:</w:t>
            </w:r>
            <w:r w:rsidRPr="004E32F1">
              <w:rPr>
                <w:rFonts w:ascii="Times New Roman" w:eastAsia="Calibri" w:hAnsi="Times New Roman"/>
                <w:sz w:val="22"/>
                <w:szCs w:val="22"/>
              </w:rPr>
              <w:t xml:space="preserve"> GATCGAATCAGCTACTGAAGCTTG</w:t>
            </w:r>
          </w:p>
          <w:p w:rsidR="00BC7897" w:rsidRPr="004E32F1" w:rsidRDefault="00BC7897" w:rsidP="00F40164">
            <w:pPr>
              <w:spacing w:after="40" w:line="240" w:lineRule="auto"/>
              <w:jc w:val="both"/>
              <w:rPr>
                <w:rFonts w:ascii="Times New Roman" w:hAnsi="Times New Roman"/>
                <w:sz w:val="22"/>
                <w:szCs w:val="22"/>
              </w:rPr>
            </w:pPr>
            <w:r w:rsidRPr="004E32F1">
              <w:rPr>
                <w:rFonts w:ascii="Times New Roman" w:hAnsi="Times New Roman"/>
                <w:sz w:val="22"/>
                <w:szCs w:val="22"/>
              </w:rPr>
              <w:t>Reg9 Reverse:</w:t>
            </w:r>
            <w:r w:rsidRPr="004E32F1">
              <w:rPr>
                <w:rFonts w:ascii="Times New Roman" w:eastAsia="Calibri" w:hAnsi="Times New Roman"/>
                <w:sz w:val="22"/>
                <w:szCs w:val="22"/>
              </w:rPr>
              <w:t xml:space="preserve"> CCATCGCAAAGAAGTTAAAAACCTT</w:t>
            </w:r>
          </w:p>
        </w:tc>
      </w:tr>
    </w:tbl>
    <w:p w:rsidR="00F40164" w:rsidRPr="004E32F1" w:rsidRDefault="00BC7897" w:rsidP="00BC7897">
      <w:pPr>
        <w:spacing w:after="160" w:line="240" w:lineRule="auto"/>
        <w:jc w:val="both"/>
        <w:rPr>
          <w:rFonts w:ascii="Times New Roman" w:hAnsi="Times New Roman"/>
          <w:b/>
          <w:sz w:val="20"/>
          <w:szCs w:val="20"/>
        </w:rPr>
      </w:pPr>
      <w:r w:rsidRPr="004E32F1">
        <w:rPr>
          <w:rFonts w:ascii="Times New Roman" w:hAnsi="Times New Roman"/>
          <w:b/>
          <w:sz w:val="20"/>
          <w:szCs w:val="20"/>
        </w:rPr>
        <w:br w:type="page"/>
      </w:r>
    </w:p>
    <w:p w:rsidR="00F40164" w:rsidRPr="004E32F1" w:rsidRDefault="00F40164" w:rsidP="002F054E">
      <w:pPr>
        <w:spacing w:after="100" w:line="240" w:lineRule="auto"/>
        <w:jc w:val="both"/>
        <w:rPr>
          <w:rFonts w:ascii="Times New Roman" w:hAnsi="Times New Roman"/>
          <w:sz w:val="28"/>
          <w:szCs w:val="20"/>
        </w:rPr>
      </w:pPr>
      <w:r w:rsidRPr="004E32F1">
        <w:rPr>
          <w:rFonts w:ascii="Times New Roman" w:hAnsi="Times New Roman"/>
          <w:sz w:val="28"/>
          <w:szCs w:val="20"/>
        </w:rPr>
        <w:lastRenderedPageBreak/>
        <w:t>Supplementary Table S1. Oligonucleotides (</w:t>
      </w:r>
      <w:r w:rsidRPr="004E32F1">
        <w:rPr>
          <w:rFonts w:ascii="Times New Roman" w:hAnsi="Times New Roman"/>
          <w:i/>
          <w:sz w:val="28"/>
          <w:szCs w:val="20"/>
        </w:rPr>
        <w:t>Continue</w:t>
      </w:r>
      <w:r w:rsidRPr="004E32F1">
        <w:rPr>
          <w:rFonts w:ascii="Times New Roman" w:hAnsi="Times New Roman"/>
          <w:sz w:val="28"/>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6866"/>
      </w:tblGrid>
      <w:tr w:rsidR="00F40164" w:rsidRPr="004E32F1" w:rsidTr="001D566A">
        <w:trPr>
          <w:cantSplit/>
          <w:trHeight w:val="276"/>
        </w:trPr>
        <w:tc>
          <w:tcPr>
            <w:tcW w:w="0" w:type="auto"/>
            <w:tcBorders>
              <w:top w:val="single" w:sz="4" w:space="0" w:color="auto"/>
              <w:bottom w:val="single" w:sz="4" w:space="0" w:color="auto"/>
            </w:tcBorders>
            <w:shd w:val="clear" w:color="auto" w:fill="auto"/>
          </w:tcPr>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RT-PCR and qPCR</w:t>
            </w: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p>
          <w:p w:rsidR="00F40164" w:rsidRPr="004E32F1" w:rsidRDefault="00F40164" w:rsidP="002F054E">
            <w:pPr>
              <w:spacing w:after="10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siRNA oligo</w:t>
            </w:r>
          </w:p>
          <w:p w:rsidR="00F40164" w:rsidRPr="004E32F1" w:rsidRDefault="00F40164" w:rsidP="002F054E">
            <w:pPr>
              <w:spacing w:after="100" w:line="240" w:lineRule="auto"/>
              <w:jc w:val="both"/>
              <w:rPr>
                <w:rFonts w:ascii="Times New Roman" w:hAnsi="Times New Roman"/>
                <w:sz w:val="22"/>
                <w:szCs w:val="22"/>
              </w:rPr>
            </w:pP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 xml:space="preserve">single strand RNA </w:t>
            </w:r>
          </w:p>
        </w:tc>
        <w:tc>
          <w:tcPr>
            <w:tcW w:w="0" w:type="auto"/>
            <w:tcBorders>
              <w:top w:val="single" w:sz="4" w:space="0" w:color="auto"/>
              <w:bottom w:val="single" w:sz="4" w:space="0" w:color="auto"/>
            </w:tcBorders>
            <w:shd w:val="clear" w:color="auto" w:fill="auto"/>
          </w:tcPr>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e1-AR Forward: GAAATGGGCCCCTGGATG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e2-AR Reverse: CATCTCCACAGATCAGGCAGG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e3-AR Forward: TGCACTATTGATAAATTCCGAAGG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CE1-AR Reverse: CAAACACCCTCAAGATTCTTTCAG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CE3-AR Reverse: GTCATTTTGAGATGCTTGCAATTG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e4-AR Reverse: TTCTGGGTTGTCTCCTCAGT</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1b-AR Forward: ATGATACTCTGGCTTCACAG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e2-AR Reverse: CAGATCAGGCAGGTCTTCTG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NOVA2 Forward: CCAAGCAGGCCAAGCTGATCGT</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NOVA2 Reverse: ttaGGCCTTGTGCACCTGCTCG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HUB/HUR Forward: ATCGTCAACTACCTCCCTCAGAACATG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HUB/HUR Reverse: TGTTGATCGCTCTCTCTGCATCCT</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hnRNP E1/E2 Forward: GGTCACCCTGAGGCTGGTGG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hnRNP E1/E2 Reverse: ATATCCCCTGCCACCTGGACCT</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hnRNP A2B1 Forward: GAACATCACCTTAGAGATTACTTTGAGGA</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hnRNP A2B1 Reverse: CTAGACAAAGCCTTTCTTACTTCTGCA</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Gapdh Forward: ATCACCATCTTCCAGGAGCGAG</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Gapdh Reverse: GAGATGATGACCCTTTTGGCTCC</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PSA Forward: GGCCAGGTATTTCAGGTCAG</w:t>
            </w:r>
          </w:p>
          <w:p w:rsidR="00F40164" w:rsidRPr="004E32F1" w:rsidRDefault="00F40164" w:rsidP="002F054E">
            <w:pPr>
              <w:spacing w:after="100" w:line="240" w:lineRule="auto"/>
              <w:jc w:val="both"/>
              <w:rPr>
                <w:rFonts w:ascii="Times New Roman" w:hAnsi="Times New Roman"/>
                <w:sz w:val="22"/>
                <w:szCs w:val="22"/>
              </w:rPr>
            </w:pPr>
            <w:r w:rsidRPr="004E32F1">
              <w:rPr>
                <w:rFonts w:ascii="Times New Roman" w:hAnsi="Times New Roman"/>
                <w:sz w:val="22"/>
                <w:szCs w:val="22"/>
              </w:rPr>
              <w:t>PSA Reverse: TCGTGGCTGGAGTCATCAC</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siTR3: CAGUCCAGCCAUGCUCCUC(dTdT)</w:t>
            </w:r>
          </w:p>
          <w:p w:rsidR="00F40164" w:rsidRPr="004E32F1" w:rsidRDefault="00F40164" w:rsidP="002F054E">
            <w:pPr>
              <w:spacing w:after="100" w:line="240" w:lineRule="auto"/>
              <w:jc w:val="both"/>
              <w:rPr>
                <w:rFonts w:ascii="Times New Roman" w:hAnsi="Times New Roman"/>
                <w:sz w:val="22"/>
                <w:szCs w:val="22"/>
              </w:rPr>
            </w:pPr>
            <w:r w:rsidRPr="004E32F1">
              <w:rPr>
                <w:rFonts w:ascii="Times New Roman" w:hAnsi="Times New Roman"/>
                <w:sz w:val="22"/>
                <w:szCs w:val="22"/>
              </w:rPr>
              <w:t>siCtrl: ACCCCGGAGAUGCUACCCGAA(dTdT)</w:t>
            </w:r>
          </w:p>
          <w:p w:rsidR="00F40164" w:rsidRPr="004E32F1" w:rsidRDefault="00F40164" w:rsidP="001D566A">
            <w:pPr>
              <w:spacing w:after="0" w:line="240" w:lineRule="auto"/>
              <w:jc w:val="both"/>
              <w:rPr>
                <w:rFonts w:ascii="Times New Roman" w:hAnsi="Times New Roman"/>
                <w:sz w:val="22"/>
                <w:szCs w:val="22"/>
              </w:rPr>
            </w:pPr>
            <w:r w:rsidRPr="004E32F1">
              <w:rPr>
                <w:rFonts w:ascii="Times New Roman" w:hAnsi="Times New Roman"/>
                <w:sz w:val="22"/>
                <w:szCs w:val="22"/>
              </w:rPr>
              <w:t>ssRNA oligo: [Biotin]GAUUUGAAAAGAUUUAAUUUCCUCCCUUCU</w:t>
            </w:r>
          </w:p>
        </w:tc>
      </w:tr>
    </w:tbl>
    <w:p w:rsidR="00F40164" w:rsidRPr="004E32F1" w:rsidRDefault="00F40164" w:rsidP="002F054E">
      <w:pPr>
        <w:spacing w:after="400" w:line="240" w:lineRule="auto"/>
        <w:jc w:val="both"/>
        <w:rPr>
          <w:rFonts w:ascii="Times New Roman" w:hAnsi="Times New Roman"/>
          <w:b/>
          <w:sz w:val="24"/>
          <w:szCs w:val="24"/>
        </w:rPr>
      </w:pPr>
    </w:p>
    <w:p w:rsidR="00EE0654" w:rsidRPr="004E32F1" w:rsidRDefault="00EE0654" w:rsidP="002F054E">
      <w:pPr>
        <w:spacing w:after="400" w:line="240" w:lineRule="auto"/>
        <w:jc w:val="both"/>
        <w:rPr>
          <w:rFonts w:ascii="Times New Roman" w:hAnsi="Times New Roman"/>
          <w:b/>
          <w:sz w:val="24"/>
          <w:szCs w:val="24"/>
        </w:rPr>
      </w:pPr>
    </w:p>
    <w:p w:rsidR="00BC7897" w:rsidRPr="004E32F1" w:rsidRDefault="00BC7897" w:rsidP="00BC7897">
      <w:pPr>
        <w:spacing w:after="160" w:line="240" w:lineRule="auto"/>
        <w:jc w:val="both"/>
        <w:rPr>
          <w:rFonts w:ascii="Times New Roman" w:hAnsi="Times New Roman"/>
          <w:szCs w:val="20"/>
        </w:rPr>
      </w:pPr>
      <w:r w:rsidRPr="004E32F1">
        <w:rPr>
          <w:rFonts w:ascii="Times New Roman" w:hAnsi="Times New Roman"/>
          <w:sz w:val="28"/>
          <w:szCs w:val="24"/>
        </w:rPr>
        <w:t>Supplementary</w:t>
      </w:r>
      <w:r w:rsidRPr="004E32F1">
        <w:rPr>
          <w:rFonts w:ascii="Times New Roman" w:hAnsi="Times New Roman"/>
          <w:sz w:val="28"/>
          <w:szCs w:val="20"/>
        </w:rPr>
        <w:t xml:space="preserve"> Table S2. Antibodies and sources</w:t>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2340"/>
      </w:tblGrid>
      <w:tr w:rsidR="004E32F1" w:rsidRPr="004E32F1" w:rsidTr="005A6901">
        <w:trPr>
          <w:cantSplit/>
          <w:trHeight w:val="212"/>
        </w:trPr>
        <w:tc>
          <w:tcPr>
            <w:tcW w:w="7020" w:type="dxa"/>
            <w:tcBorders>
              <w:bottom w:val="single" w:sz="4" w:space="0" w:color="auto"/>
            </w:tcBorders>
            <w:shd w:val="clear" w:color="auto" w:fill="auto"/>
          </w:tcPr>
          <w:p w:rsidR="00BC7897" w:rsidRPr="004E32F1" w:rsidRDefault="00BC7897" w:rsidP="005A6901">
            <w:pPr>
              <w:spacing w:after="0" w:line="240" w:lineRule="auto"/>
              <w:jc w:val="both"/>
              <w:rPr>
                <w:rFonts w:ascii="Times New Roman" w:hAnsi="Times New Roman"/>
                <w:sz w:val="22"/>
                <w:szCs w:val="22"/>
              </w:rPr>
            </w:pPr>
            <w:r w:rsidRPr="004E32F1">
              <w:rPr>
                <w:rFonts w:ascii="Times New Roman" w:hAnsi="Times New Roman"/>
                <w:sz w:val="22"/>
                <w:szCs w:val="22"/>
              </w:rPr>
              <w:t xml:space="preserve">Antibodies </w:t>
            </w:r>
          </w:p>
        </w:tc>
        <w:tc>
          <w:tcPr>
            <w:tcW w:w="2340" w:type="dxa"/>
            <w:tcBorders>
              <w:bottom w:val="single" w:sz="4" w:space="0" w:color="auto"/>
            </w:tcBorders>
            <w:shd w:val="clear" w:color="auto" w:fill="auto"/>
          </w:tcPr>
          <w:p w:rsidR="00BC7897" w:rsidRPr="004E32F1" w:rsidRDefault="00BC7897" w:rsidP="005A6901">
            <w:pPr>
              <w:spacing w:after="0" w:line="240" w:lineRule="auto"/>
              <w:jc w:val="both"/>
              <w:rPr>
                <w:rFonts w:ascii="Times New Roman" w:hAnsi="Times New Roman"/>
                <w:sz w:val="22"/>
                <w:szCs w:val="22"/>
              </w:rPr>
            </w:pPr>
            <w:r w:rsidRPr="004E32F1">
              <w:rPr>
                <w:rFonts w:ascii="Times New Roman" w:hAnsi="Times New Roman"/>
                <w:sz w:val="22"/>
                <w:szCs w:val="22"/>
              </w:rPr>
              <w:t>Sources</w:t>
            </w:r>
          </w:p>
        </w:tc>
      </w:tr>
      <w:tr w:rsidR="004E32F1" w:rsidRPr="004E32F1" w:rsidTr="005A6901">
        <w:trPr>
          <w:cantSplit/>
          <w:trHeight w:val="212"/>
        </w:trPr>
        <w:tc>
          <w:tcPr>
            <w:tcW w:w="7020" w:type="dxa"/>
            <w:tcBorders>
              <w:top w:val="single" w:sz="4" w:space="0" w:color="auto"/>
            </w:tcBorders>
            <w:shd w:val="clear" w:color="auto" w:fill="auto"/>
          </w:tcPr>
          <w:p w:rsidR="00BC7897" w:rsidRPr="004E32F1" w:rsidRDefault="00BC7897" w:rsidP="005A6901">
            <w:pPr>
              <w:spacing w:after="100" w:line="240" w:lineRule="auto"/>
              <w:jc w:val="both"/>
              <w:rPr>
                <w:rFonts w:ascii="Times New Roman" w:hAnsi="Times New Roman"/>
                <w:sz w:val="22"/>
                <w:szCs w:val="22"/>
              </w:rPr>
            </w:pPr>
            <w:r w:rsidRPr="004E32F1">
              <w:rPr>
                <w:rFonts w:ascii="Times New Roman" w:hAnsi="Times New Roman"/>
                <w:sz w:val="22"/>
                <w:szCs w:val="22"/>
              </w:rPr>
              <w:t xml:space="preserve">Anti-AR (PG-21)                                                                                                                    </w:t>
            </w:r>
          </w:p>
          <w:p w:rsidR="00BC7897" w:rsidRPr="004E32F1" w:rsidRDefault="00BC7897" w:rsidP="005A6901">
            <w:pPr>
              <w:spacing w:after="100" w:line="240" w:lineRule="auto"/>
              <w:jc w:val="both"/>
              <w:rPr>
                <w:rFonts w:ascii="Times New Roman" w:hAnsi="Times New Roman"/>
                <w:sz w:val="22"/>
                <w:szCs w:val="22"/>
              </w:rPr>
            </w:pPr>
            <w:r w:rsidRPr="004E32F1">
              <w:rPr>
                <w:rFonts w:ascii="Times New Roman" w:hAnsi="Times New Roman"/>
                <w:sz w:val="22"/>
                <w:szCs w:val="22"/>
              </w:rPr>
              <w:t>Anti-AR (C-19), Anti-FLAG;  Anti-GAPDH, Anti-GFP; Anti-hnRNP A2B1 (B-7), Anti-hnRNP E1/E2; Anti-HUR (3A2); Anti-TR3, Rabbit-anti-goat</w:t>
            </w:r>
          </w:p>
          <w:p w:rsidR="00BC7897" w:rsidRPr="004E32F1" w:rsidRDefault="00BC7897" w:rsidP="005A6901">
            <w:pPr>
              <w:spacing w:after="100" w:line="240" w:lineRule="auto"/>
              <w:jc w:val="both"/>
              <w:rPr>
                <w:rFonts w:ascii="Times New Roman" w:hAnsi="Times New Roman"/>
                <w:sz w:val="22"/>
                <w:szCs w:val="22"/>
              </w:rPr>
            </w:pPr>
            <w:r w:rsidRPr="004E32F1">
              <w:rPr>
                <w:rFonts w:ascii="Times New Roman" w:hAnsi="Times New Roman"/>
                <w:sz w:val="22"/>
                <w:szCs w:val="22"/>
              </w:rPr>
              <w:t xml:space="preserve">Anti-NOVA-2 </w:t>
            </w:r>
          </w:p>
          <w:p w:rsidR="00BC7897" w:rsidRPr="004E32F1" w:rsidRDefault="00BC7897" w:rsidP="005A6901">
            <w:pPr>
              <w:spacing w:after="100" w:line="240" w:lineRule="auto"/>
              <w:jc w:val="both"/>
              <w:rPr>
                <w:rFonts w:ascii="Times New Roman" w:hAnsi="Times New Roman"/>
                <w:sz w:val="22"/>
                <w:szCs w:val="22"/>
              </w:rPr>
            </w:pPr>
            <w:r w:rsidRPr="004E32F1">
              <w:rPr>
                <w:rFonts w:ascii="Times New Roman" w:hAnsi="Times New Roman"/>
                <w:sz w:val="22"/>
                <w:szCs w:val="22"/>
              </w:rPr>
              <w:t xml:space="preserve">Goat anti-mouse </w:t>
            </w:r>
            <w:r w:rsidRPr="004E32F1">
              <w:rPr>
                <w:rFonts w:ascii="Times New Roman" w:hAnsi="Times New Roman"/>
                <w:bCs/>
                <w:sz w:val="22"/>
                <w:szCs w:val="22"/>
              </w:rPr>
              <w:t>Alexa Fluor568</w:t>
            </w:r>
            <w:r w:rsidRPr="004E32F1">
              <w:rPr>
                <w:rFonts w:ascii="Times New Roman" w:hAnsi="Times New Roman"/>
                <w:sz w:val="22"/>
                <w:szCs w:val="22"/>
              </w:rPr>
              <w:t>, Goat anti-mouse Goat anti-rabbit.</w:t>
            </w:r>
          </w:p>
        </w:tc>
        <w:tc>
          <w:tcPr>
            <w:tcW w:w="2340" w:type="dxa"/>
            <w:tcBorders>
              <w:top w:val="single" w:sz="4" w:space="0" w:color="auto"/>
            </w:tcBorders>
            <w:shd w:val="clear" w:color="auto" w:fill="auto"/>
          </w:tcPr>
          <w:p w:rsidR="00BC7897" w:rsidRPr="004E32F1" w:rsidRDefault="00BC7897" w:rsidP="005A6901">
            <w:pPr>
              <w:spacing w:after="100" w:line="240" w:lineRule="auto"/>
              <w:jc w:val="both"/>
              <w:rPr>
                <w:rFonts w:ascii="Times New Roman" w:hAnsi="Times New Roman"/>
                <w:sz w:val="22"/>
                <w:szCs w:val="22"/>
              </w:rPr>
            </w:pPr>
            <w:r w:rsidRPr="004E32F1">
              <w:rPr>
                <w:rFonts w:ascii="Times New Roman" w:hAnsi="Times New Roman"/>
                <w:sz w:val="22"/>
                <w:szCs w:val="22"/>
              </w:rPr>
              <w:t>Millipore</w:t>
            </w:r>
          </w:p>
          <w:p w:rsidR="00BC7897" w:rsidRPr="004E32F1" w:rsidRDefault="00BC7897" w:rsidP="005A6901">
            <w:pPr>
              <w:spacing w:after="0" w:line="240" w:lineRule="auto"/>
              <w:jc w:val="both"/>
              <w:rPr>
                <w:rFonts w:ascii="Times New Roman" w:hAnsi="Times New Roman"/>
                <w:sz w:val="22"/>
                <w:szCs w:val="22"/>
              </w:rPr>
            </w:pPr>
            <w:r w:rsidRPr="004E32F1">
              <w:rPr>
                <w:rFonts w:ascii="Times New Roman" w:hAnsi="Times New Roman"/>
                <w:sz w:val="22"/>
                <w:szCs w:val="22"/>
              </w:rPr>
              <w:t xml:space="preserve">Santa Cruz </w:t>
            </w:r>
          </w:p>
          <w:p w:rsidR="00BC7897" w:rsidRPr="004E32F1" w:rsidRDefault="00BC7897" w:rsidP="005A6901">
            <w:pPr>
              <w:spacing w:after="100" w:line="240" w:lineRule="auto"/>
              <w:jc w:val="both"/>
              <w:rPr>
                <w:rFonts w:ascii="Times New Roman" w:hAnsi="Times New Roman"/>
                <w:sz w:val="22"/>
                <w:szCs w:val="22"/>
              </w:rPr>
            </w:pPr>
          </w:p>
          <w:p w:rsidR="00BC7897" w:rsidRPr="004E32F1" w:rsidRDefault="00BC7897" w:rsidP="005A6901">
            <w:pPr>
              <w:spacing w:after="100" w:line="240" w:lineRule="auto"/>
              <w:jc w:val="both"/>
              <w:rPr>
                <w:rFonts w:ascii="Times New Roman" w:hAnsi="Times New Roman"/>
                <w:sz w:val="22"/>
                <w:szCs w:val="22"/>
              </w:rPr>
            </w:pPr>
            <w:r w:rsidRPr="004E32F1">
              <w:rPr>
                <w:rFonts w:ascii="Times New Roman" w:hAnsi="Times New Roman"/>
                <w:sz w:val="22"/>
                <w:szCs w:val="22"/>
              </w:rPr>
              <w:t>Aviva Systems Biology</w:t>
            </w:r>
          </w:p>
          <w:p w:rsidR="00BC7897" w:rsidRPr="004E32F1" w:rsidRDefault="00BC7897" w:rsidP="005A6901">
            <w:pPr>
              <w:spacing w:after="100" w:line="240" w:lineRule="auto"/>
              <w:jc w:val="both"/>
              <w:rPr>
                <w:rFonts w:ascii="Times New Roman" w:hAnsi="Times New Roman"/>
                <w:sz w:val="22"/>
                <w:szCs w:val="22"/>
              </w:rPr>
            </w:pPr>
            <w:r w:rsidRPr="004E32F1">
              <w:rPr>
                <w:rFonts w:ascii="Times New Roman" w:hAnsi="Times New Roman"/>
                <w:sz w:val="22"/>
                <w:szCs w:val="22"/>
              </w:rPr>
              <w:t>Thermo Fisher</w:t>
            </w:r>
          </w:p>
        </w:tc>
      </w:tr>
    </w:tbl>
    <w:p w:rsidR="00BC7897" w:rsidRPr="004E32F1" w:rsidRDefault="00BC7897" w:rsidP="00BC7897">
      <w:pPr>
        <w:spacing w:after="160" w:line="240" w:lineRule="auto"/>
        <w:jc w:val="both"/>
        <w:rPr>
          <w:rFonts w:ascii="Times New Roman" w:hAnsi="Times New Roman"/>
          <w:b/>
          <w:bCs/>
          <w:sz w:val="20"/>
          <w:szCs w:val="20"/>
        </w:rPr>
      </w:pPr>
      <w:r w:rsidRPr="004E32F1">
        <w:rPr>
          <w:rFonts w:ascii="Times New Roman" w:hAnsi="Times New Roman"/>
          <w:b/>
          <w:bCs/>
          <w:sz w:val="20"/>
          <w:szCs w:val="20"/>
        </w:rPr>
        <w:br w:type="page"/>
      </w:r>
    </w:p>
    <w:p w:rsidR="00446C32" w:rsidRPr="004E32F1" w:rsidRDefault="00D4050F" w:rsidP="00904A3F">
      <w:pPr>
        <w:spacing w:after="400" w:line="360" w:lineRule="auto"/>
        <w:jc w:val="both"/>
        <w:rPr>
          <w:rFonts w:ascii="Times New Roman" w:hAnsi="Times New Roman"/>
          <w:b/>
          <w:sz w:val="28"/>
        </w:rPr>
      </w:pPr>
      <w:r w:rsidRPr="004E32F1">
        <w:rPr>
          <w:rFonts w:ascii="Times New Roman" w:hAnsi="Times New Roman"/>
          <w:b/>
          <w:sz w:val="28"/>
        </w:rPr>
        <w:lastRenderedPageBreak/>
        <w:t>Supplementary figures</w:t>
      </w:r>
    </w:p>
    <w:p w:rsidR="00904A3F" w:rsidRPr="004E32F1" w:rsidRDefault="00446C32" w:rsidP="00904A3F">
      <w:pPr>
        <w:spacing w:after="400" w:line="360" w:lineRule="auto"/>
        <w:jc w:val="both"/>
        <w:rPr>
          <w:rFonts w:ascii="Times New Roman" w:hAnsi="Times New Roman"/>
          <w:sz w:val="20"/>
          <w:szCs w:val="20"/>
        </w:rPr>
      </w:pPr>
      <w:r w:rsidRPr="004E32F1">
        <w:rPr>
          <w:rFonts w:ascii="Times New Roman" w:hAnsi="Times New Roman"/>
          <w:b/>
          <w:noProof/>
          <w:lang w:eastAsia="ko-KR"/>
        </w:rPr>
        <w:drawing>
          <wp:inline distT="0" distB="0" distL="0" distR="0" wp14:anchorId="336E54A3" wp14:editId="2AB1BD45">
            <wp:extent cx="5941997" cy="3732530"/>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a.tif"/>
                    <pic:cNvPicPr/>
                  </pic:nvPicPr>
                  <pic:blipFill rotWithShape="1">
                    <a:blip r:embed="rId7" cstate="print">
                      <a:extLst>
                        <a:ext uri="{28A0092B-C50C-407E-A947-70E740481C1C}">
                          <a14:useLocalDpi xmlns:a14="http://schemas.microsoft.com/office/drawing/2010/main" val="0"/>
                        </a:ext>
                      </a:extLst>
                    </a:blip>
                    <a:srcRect t="3613" b="21008"/>
                    <a:stretch/>
                  </pic:blipFill>
                  <pic:spPr bwMode="auto">
                    <a:xfrm>
                      <a:off x="0" y="0"/>
                      <a:ext cx="5943600" cy="3733537"/>
                    </a:xfrm>
                    <a:prstGeom prst="rect">
                      <a:avLst/>
                    </a:prstGeom>
                    <a:ln>
                      <a:noFill/>
                    </a:ln>
                    <a:extLst>
                      <a:ext uri="{53640926-AAD7-44D8-BBD7-CCE9431645EC}">
                        <a14:shadowObscured xmlns:a14="http://schemas.microsoft.com/office/drawing/2010/main"/>
                      </a:ext>
                    </a:extLst>
                  </pic:spPr>
                </pic:pic>
              </a:graphicData>
            </a:graphic>
          </wp:inline>
        </w:drawing>
      </w:r>
      <w:r w:rsidRPr="004E32F1">
        <w:rPr>
          <w:rFonts w:ascii="Times New Roman" w:hAnsi="Times New Roman"/>
          <w:b/>
          <w:noProof/>
          <w:lang w:eastAsia="ko-KR"/>
        </w:rPr>
        <w:drawing>
          <wp:inline distT="0" distB="0" distL="0" distR="0" wp14:anchorId="7FB6C18D" wp14:editId="212C34FC">
            <wp:extent cx="5943600" cy="283368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b.tif"/>
                    <pic:cNvPicPr/>
                  </pic:nvPicPr>
                  <pic:blipFill rotWithShape="1">
                    <a:blip r:embed="rId8" cstate="print">
                      <a:extLst>
                        <a:ext uri="{28A0092B-C50C-407E-A947-70E740481C1C}">
                          <a14:useLocalDpi xmlns:a14="http://schemas.microsoft.com/office/drawing/2010/main" val="0"/>
                        </a:ext>
                      </a:extLst>
                    </a:blip>
                    <a:srcRect t="2693" b="40096"/>
                    <a:stretch/>
                  </pic:blipFill>
                  <pic:spPr bwMode="auto">
                    <a:xfrm>
                      <a:off x="0" y="0"/>
                      <a:ext cx="5943600" cy="2833688"/>
                    </a:xfrm>
                    <a:prstGeom prst="rect">
                      <a:avLst/>
                    </a:prstGeom>
                    <a:ln>
                      <a:noFill/>
                    </a:ln>
                    <a:extLst>
                      <a:ext uri="{53640926-AAD7-44D8-BBD7-CCE9431645EC}">
                        <a14:shadowObscured xmlns:a14="http://schemas.microsoft.com/office/drawing/2010/main"/>
                      </a:ext>
                    </a:extLst>
                  </pic:spPr>
                </pic:pic>
              </a:graphicData>
            </a:graphic>
          </wp:inline>
        </w:drawing>
      </w:r>
      <w:r w:rsidRPr="004E32F1">
        <w:rPr>
          <w:rFonts w:ascii="Times New Roman" w:hAnsi="Times New Roman"/>
          <w:b/>
        </w:rPr>
        <w:t xml:space="preserve"> </w:t>
      </w:r>
      <w:r w:rsidRPr="004E32F1">
        <w:rPr>
          <w:rFonts w:ascii="Times New Roman" w:hAnsi="Times New Roman"/>
          <w:b/>
          <w:bCs/>
        </w:rPr>
        <w:t>Supplementary Figure S1</w:t>
      </w:r>
      <w:r w:rsidRPr="004E32F1">
        <w:rPr>
          <w:rFonts w:ascii="Times New Roman" w:hAnsi="Times New Roman"/>
          <w:bCs/>
        </w:rPr>
        <w:t xml:space="preserve">. </w:t>
      </w:r>
      <w:r w:rsidRPr="004E32F1">
        <w:rPr>
          <w:rFonts w:ascii="Times New Roman" w:hAnsi="Times New Roman"/>
        </w:rPr>
        <w:t xml:space="preserve">TR3 </w:t>
      </w:r>
      <w:r w:rsidRPr="004E32F1">
        <w:rPr>
          <w:rFonts w:ascii="Times New Roman" w:hAnsi="Times New Roman"/>
          <w:lang w:eastAsia="ko-KR"/>
        </w:rPr>
        <w:t xml:space="preserve">regulates </w:t>
      </w:r>
      <w:r w:rsidRPr="004E32F1">
        <w:rPr>
          <w:rFonts w:ascii="Times New Roman" w:hAnsi="Times New Roman"/>
        </w:rPr>
        <w:t>AR and AR-V expression.</w:t>
      </w:r>
      <w:r w:rsidRPr="004E32F1">
        <w:rPr>
          <w:rFonts w:ascii="Times New Roman" w:hAnsi="Times New Roman"/>
          <w:b/>
        </w:rPr>
        <w:t xml:space="preserve"> </w:t>
      </w:r>
      <w:r w:rsidRPr="004E32F1">
        <w:rPr>
          <w:rFonts w:ascii="Times New Roman" w:hAnsi="Times New Roman"/>
          <w:b/>
          <w:bCs/>
        </w:rPr>
        <w:t>A,</w:t>
      </w:r>
      <w:r w:rsidRPr="004E32F1">
        <w:rPr>
          <w:rFonts w:ascii="Times New Roman" w:hAnsi="Times New Roman"/>
          <w:b/>
        </w:rPr>
        <w:t xml:space="preserve"> </w:t>
      </w:r>
      <w:r w:rsidRPr="004E32F1">
        <w:rPr>
          <w:rFonts w:ascii="Times New Roman" w:hAnsi="Times New Roman"/>
        </w:rPr>
        <w:t xml:space="preserve">RT-PCR analysis showing mRNA levels of TR3, AR, and AR-target gene PSA in prostate cancer cell lines treated with 10 nM DHT or vehicle. </w:t>
      </w:r>
      <w:r w:rsidRPr="004E32F1">
        <w:rPr>
          <w:rFonts w:ascii="Times New Roman" w:hAnsi="Times New Roman"/>
          <w:i/>
        </w:rPr>
        <w:t>β</w:t>
      </w:r>
      <w:r w:rsidRPr="004E32F1">
        <w:rPr>
          <w:rFonts w:ascii="Times New Roman" w:hAnsi="Times New Roman"/>
        </w:rPr>
        <w:t xml:space="preserve">-actin was used as a loading control. </w:t>
      </w:r>
      <w:r w:rsidRPr="004E32F1">
        <w:rPr>
          <w:rFonts w:ascii="Times New Roman" w:hAnsi="Times New Roman"/>
          <w:b/>
        </w:rPr>
        <w:t>B-C</w:t>
      </w:r>
      <w:r w:rsidRPr="004E32F1">
        <w:rPr>
          <w:rFonts w:ascii="Times New Roman" w:hAnsi="Times New Roman"/>
        </w:rPr>
        <w:t xml:space="preserve">, TR3 overexpression increases the expression levels of AR and AR-Vs. </w:t>
      </w:r>
      <w:r w:rsidRPr="004E32F1">
        <w:rPr>
          <w:rFonts w:ascii="Times New Roman" w:hAnsi="Times New Roman"/>
          <w:bCs/>
        </w:rPr>
        <w:t>Western blot (</w:t>
      </w:r>
      <w:r w:rsidRPr="004E32F1">
        <w:rPr>
          <w:rFonts w:ascii="Times New Roman" w:hAnsi="Times New Roman"/>
          <w:b/>
          <w:bCs/>
        </w:rPr>
        <w:t>B</w:t>
      </w:r>
      <w:r w:rsidRPr="004E32F1">
        <w:rPr>
          <w:rFonts w:ascii="Times New Roman" w:hAnsi="Times New Roman"/>
          <w:bCs/>
        </w:rPr>
        <w:t xml:space="preserve">) </w:t>
      </w:r>
      <w:r w:rsidRPr="004E32F1">
        <w:rPr>
          <w:rFonts w:ascii="Times New Roman" w:hAnsi="Times New Roman"/>
        </w:rPr>
        <w:t>RT-PCR (</w:t>
      </w:r>
      <w:r w:rsidRPr="004E32F1">
        <w:rPr>
          <w:rFonts w:ascii="Times New Roman" w:hAnsi="Times New Roman"/>
          <w:b/>
        </w:rPr>
        <w:t>C</w:t>
      </w:r>
      <w:r w:rsidRPr="004E32F1">
        <w:rPr>
          <w:rFonts w:ascii="Times New Roman" w:hAnsi="Times New Roman"/>
        </w:rPr>
        <w:t xml:space="preserve">) analysis showing the protein and mRNA levels of AR, AR-V7, and </w:t>
      </w:r>
      <w:r w:rsidRPr="004E32F1">
        <w:rPr>
          <w:rFonts w:ascii="Times New Roman" w:hAnsi="Times New Roman"/>
        </w:rPr>
        <w:lastRenderedPageBreak/>
        <w:t xml:space="preserve">TR3 in LNCaP and C4-2 cells infected with AdTR3 or AdCtrl in the presence or absence of DHT. </w:t>
      </w:r>
      <w:r w:rsidRPr="004E32F1">
        <w:rPr>
          <w:rFonts w:ascii="Times New Roman" w:hAnsi="Times New Roman"/>
          <w:b/>
        </w:rPr>
        <w:t>D</w:t>
      </w:r>
      <w:r w:rsidRPr="004E32F1">
        <w:rPr>
          <w:rFonts w:ascii="Times New Roman" w:hAnsi="Times New Roman"/>
        </w:rPr>
        <w:t xml:space="preserve">, TR3 silencing </w:t>
      </w:r>
      <w:r w:rsidRPr="004E32F1">
        <w:rPr>
          <w:rFonts w:ascii="Times New Roman" w:hAnsi="Times New Roman"/>
          <w:lang w:eastAsia="ko-KR"/>
        </w:rPr>
        <w:t xml:space="preserve">causes a decrease in </w:t>
      </w:r>
      <w:r w:rsidRPr="004E32F1">
        <w:rPr>
          <w:rFonts w:ascii="Times New Roman" w:hAnsi="Times New Roman"/>
        </w:rPr>
        <w:t xml:space="preserve">AR and AR-V </w:t>
      </w:r>
      <w:r w:rsidRPr="004E32F1">
        <w:rPr>
          <w:rFonts w:ascii="Times New Roman" w:hAnsi="Times New Roman"/>
          <w:lang w:eastAsia="ko-KR"/>
        </w:rPr>
        <w:t>mRNA levels</w:t>
      </w:r>
      <w:r w:rsidRPr="004E32F1">
        <w:rPr>
          <w:rFonts w:ascii="Times New Roman" w:hAnsi="Times New Roman"/>
        </w:rPr>
        <w:t>. qPCR analysis showing AR, AR-V7, and TR3 mRNA levels in LNCaP and C4-2 cells transfected with siTR3 or siCtrl. Data are shown as mean ± SEM. *, p&lt;0.001; one-way ANOVA with Tukey’s post hoc test.</w:t>
      </w:r>
      <w:r w:rsidRPr="004E32F1">
        <w:rPr>
          <w:rFonts w:ascii="Times New Roman" w:hAnsi="Times New Roman"/>
          <w:bCs/>
        </w:rPr>
        <w:t xml:space="preserve"> </w:t>
      </w:r>
      <w:r w:rsidRPr="004E32F1">
        <w:rPr>
          <w:rFonts w:ascii="Times New Roman" w:hAnsi="Times New Roman"/>
          <w:b/>
          <w:bCs/>
        </w:rPr>
        <w:t xml:space="preserve">E, </w:t>
      </w:r>
      <w:r w:rsidRPr="004E32F1">
        <w:rPr>
          <w:rFonts w:ascii="Times New Roman" w:hAnsi="Times New Roman"/>
          <w:bCs/>
        </w:rPr>
        <w:t xml:space="preserve">Western blot analysis showing AR and TR3 protein levels in AR-positive prostate cancer cells (LNCaP, C4-2, and CWR22rv) treated with 20 </w:t>
      </w:r>
      <w:r w:rsidRPr="004E32F1">
        <w:rPr>
          <w:rFonts w:ascii="Times New Roman" w:hAnsi="Times New Roman"/>
          <w:bCs/>
          <w:i/>
          <w:iCs/>
        </w:rPr>
        <w:t>µ</w:t>
      </w:r>
      <w:r w:rsidRPr="004E32F1">
        <w:rPr>
          <w:rFonts w:ascii="Times New Roman" w:hAnsi="Times New Roman"/>
          <w:bCs/>
        </w:rPr>
        <w:t xml:space="preserve">M of TR3-specific antagonist (DIM-C-pPhOH) in the presence or absence of 10 nM DHT. </w:t>
      </w:r>
      <w:r w:rsidRPr="004E32F1">
        <w:rPr>
          <w:rFonts w:ascii="Times New Roman" w:hAnsi="Times New Roman"/>
          <w:b/>
          <w:bCs/>
        </w:rPr>
        <w:t>F</w:t>
      </w:r>
      <w:r w:rsidRPr="004E32F1">
        <w:rPr>
          <w:rFonts w:ascii="Times New Roman" w:hAnsi="Times New Roman"/>
          <w:bCs/>
        </w:rPr>
        <w:t xml:space="preserve">, </w:t>
      </w:r>
      <w:r w:rsidRPr="004E32F1">
        <w:rPr>
          <w:rFonts w:ascii="Times New Roman" w:hAnsi="Times New Roman"/>
        </w:rPr>
        <w:t xml:space="preserve">The decreased AR and AR-V protein levels in TR3-silenced CWR22rv cells were not restored following treatment with MG-132 or chloroquine for 8 h. GAPDH was used as a loading control. </w:t>
      </w:r>
      <w:r w:rsidR="00904A3F" w:rsidRPr="004E32F1">
        <w:rPr>
          <w:rFonts w:ascii="Times New Roman" w:hAnsi="Times New Roman"/>
          <w:sz w:val="20"/>
          <w:szCs w:val="20"/>
        </w:rPr>
        <w:br w:type="page"/>
      </w:r>
    </w:p>
    <w:p w:rsidR="00446C32" w:rsidRPr="004E32F1" w:rsidRDefault="00446C32" w:rsidP="00904A3F">
      <w:pPr>
        <w:spacing w:after="0" w:line="360" w:lineRule="auto"/>
        <w:jc w:val="both"/>
        <w:rPr>
          <w:rFonts w:ascii="Times New Roman" w:hAnsi="Times New Roman"/>
          <w:b/>
        </w:rPr>
      </w:pPr>
      <w:r w:rsidRPr="004E32F1">
        <w:rPr>
          <w:rFonts w:ascii="Times New Roman" w:hAnsi="Times New Roman"/>
          <w:b/>
          <w:noProof/>
          <w:lang w:eastAsia="ko-KR"/>
        </w:rPr>
        <w:lastRenderedPageBreak/>
        <w:drawing>
          <wp:inline distT="0" distB="0" distL="0" distR="0" wp14:anchorId="37F97DA4" wp14:editId="7955CB1A">
            <wp:extent cx="5939593" cy="2114495"/>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tif"/>
                    <pic:cNvPicPr/>
                  </pic:nvPicPr>
                  <pic:blipFill rotWithShape="1">
                    <a:blip r:embed="rId9" cstate="print">
                      <a:extLst>
                        <a:ext uri="{28A0092B-C50C-407E-A947-70E740481C1C}">
                          <a14:useLocalDpi xmlns:a14="http://schemas.microsoft.com/office/drawing/2010/main" val="0"/>
                        </a:ext>
                      </a:extLst>
                    </a:blip>
                    <a:srcRect t="7546" b="49735"/>
                    <a:stretch/>
                  </pic:blipFill>
                  <pic:spPr bwMode="auto">
                    <a:xfrm>
                      <a:off x="0" y="0"/>
                      <a:ext cx="5943600" cy="2115922"/>
                    </a:xfrm>
                    <a:prstGeom prst="rect">
                      <a:avLst/>
                    </a:prstGeom>
                    <a:ln>
                      <a:noFill/>
                    </a:ln>
                    <a:extLst>
                      <a:ext uri="{53640926-AAD7-44D8-BBD7-CCE9431645EC}">
                        <a14:shadowObscured xmlns:a14="http://schemas.microsoft.com/office/drawing/2010/main"/>
                      </a:ext>
                    </a:extLst>
                  </pic:spPr>
                </pic:pic>
              </a:graphicData>
            </a:graphic>
          </wp:inline>
        </w:drawing>
      </w:r>
      <w:r w:rsidRPr="004E32F1">
        <w:rPr>
          <w:rFonts w:ascii="Times New Roman" w:hAnsi="Times New Roman"/>
          <w:b/>
        </w:rPr>
        <w:t xml:space="preserve"> </w:t>
      </w:r>
    </w:p>
    <w:p w:rsidR="00904A3F" w:rsidRPr="004E32F1" w:rsidRDefault="00446C32" w:rsidP="00904A3F">
      <w:pPr>
        <w:spacing w:after="0" w:line="360" w:lineRule="auto"/>
        <w:jc w:val="both"/>
        <w:rPr>
          <w:rFonts w:ascii="Times New Roman" w:hAnsi="Times New Roman"/>
          <w:szCs w:val="20"/>
        </w:rPr>
      </w:pPr>
      <w:r w:rsidRPr="004E32F1">
        <w:rPr>
          <w:rFonts w:ascii="Times New Roman" w:hAnsi="Times New Roman"/>
          <w:b/>
          <w:szCs w:val="20"/>
        </w:rPr>
        <w:t>Supplementary Figure S2</w:t>
      </w:r>
      <w:r w:rsidRPr="004E32F1">
        <w:rPr>
          <w:rFonts w:ascii="Times New Roman" w:hAnsi="Times New Roman"/>
          <w:szCs w:val="20"/>
        </w:rPr>
        <w:t>. TR3 overexpression alters the expression level of AR-Vs</w:t>
      </w:r>
      <w:r w:rsidRPr="004E32F1">
        <w:rPr>
          <w:rFonts w:ascii="Times New Roman" w:hAnsi="Times New Roman"/>
          <w:bCs/>
          <w:szCs w:val="20"/>
        </w:rPr>
        <w:t xml:space="preserve">. RT-PCR analysis showing the levels of </w:t>
      </w:r>
      <w:r w:rsidRPr="004E32F1">
        <w:rPr>
          <w:rFonts w:ascii="Times New Roman" w:hAnsi="Times New Roman"/>
          <w:szCs w:val="20"/>
        </w:rPr>
        <w:t>mRNA containing alternative exons found in AR-Vs in C4-2 (top) and LNCaP (bottom) cells infected with AdTR3 or AdCtrl.</w:t>
      </w:r>
    </w:p>
    <w:p w:rsidR="00904A3F" w:rsidRPr="004E32F1" w:rsidRDefault="00904A3F" w:rsidP="00904A3F">
      <w:pPr>
        <w:spacing w:after="0" w:line="360" w:lineRule="auto"/>
        <w:jc w:val="both"/>
        <w:rPr>
          <w:rFonts w:ascii="Times New Roman" w:hAnsi="Times New Roman"/>
          <w:szCs w:val="20"/>
        </w:rPr>
      </w:pPr>
    </w:p>
    <w:p w:rsidR="00904A3F" w:rsidRPr="004E32F1" w:rsidRDefault="00904A3F" w:rsidP="00904A3F">
      <w:pPr>
        <w:spacing w:after="0" w:line="360" w:lineRule="auto"/>
        <w:jc w:val="both"/>
        <w:rPr>
          <w:rFonts w:ascii="Times New Roman" w:hAnsi="Times New Roman"/>
          <w:szCs w:val="20"/>
        </w:rPr>
      </w:pPr>
    </w:p>
    <w:p w:rsidR="00904A3F" w:rsidRPr="004E32F1" w:rsidRDefault="00904A3F" w:rsidP="00904A3F">
      <w:pPr>
        <w:spacing w:after="0" w:line="360" w:lineRule="auto"/>
        <w:jc w:val="both"/>
        <w:rPr>
          <w:rFonts w:ascii="Times New Roman" w:hAnsi="Times New Roman"/>
          <w:szCs w:val="20"/>
        </w:rPr>
      </w:pPr>
    </w:p>
    <w:p w:rsidR="00904A3F" w:rsidRPr="004E32F1" w:rsidRDefault="00904A3F" w:rsidP="00904A3F">
      <w:pPr>
        <w:spacing w:after="0" w:line="360" w:lineRule="auto"/>
        <w:jc w:val="both"/>
        <w:rPr>
          <w:rFonts w:ascii="Times New Roman" w:hAnsi="Times New Roman"/>
          <w:szCs w:val="20"/>
        </w:rPr>
      </w:pPr>
    </w:p>
    <w:p w:rsidR="00446C32" w:rsidRPr="004E32F1" w:rsidRDefault="00446C32" w:rsidP="00904A3F">
      <w:pPr>
        <w:spacing w:after="0" w:line="360" w:lineRule="auto"/>
        <w:jc w:val="both"/>
        <w:rPr>
          <w:rFonts w:ascii="Times New Roman" w:hAnsi="Times New Roman"/>
          <w:sz w:val="20"/>
          <w:szCs w:val="20"/>
        </w:rPr>
      </w:pPr>
    </w:p>
    <w:p w:rsidR="00446C32" w:rsidRPr="004E32F1" w:rsidRDefault="00446C32" w:rsidP="00904A3F">
      <w:pPr>
        <w:spacing w:after="0" w:line="360" w:lineRule="auto"/>
        <w:jc w:val="both"/>
        <w:rPr>
          <w:rFonts w:ascii="Times New Roman" w:hAnsi="Times New Roman"/>
          <w:b/>
        </w:rPr>
      </w:pPr>
      <w:r w:rsidRPr="004E32F1">
        <w:rPr>
          <w:rFonts w:ascii="Times New Roman" w:hAnsi="Times New Roman"/>
          <w:b/>
          <w:noProof/>
          <w:lang w:eastAsia="ko-KR"/>
        </w:rPr>
        <w:drawing>
          <wp:inline distT="0" distB="0" distL="0" distR="0" wp14:anchorId="6B5D8C12" wp14:editId="7ED37078">
            <wp:extent cx="5939943" cy="20955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3.tif"/>
                    <pic:cNvPicPr/>
                  </pic:nvPicPr>
                  <pic:blipFill rotWithShape="1">
                    <a:blip r:embed="rId10" cstate="print">
                      <a:extLst>
                        <a:ext uri="{28A0092B-C50C-407E-A947-70E740481C1C}">
                          <a14:useLocalDpi xmlns:a14="http://schemas.microsoft.com/office/drawing/2010/main" val="0"/>
                        </a:ext>
                      </a:extLst>
                    </a:blip>
                    <a:srcRect t="12202" b="45466"/>
                    <a:stretch/>
                  </pic:blipFill>
                  <pic:spPr bwMode="auto">
                    <a:xfrm>
                      <a:off x="0" y="0"/>
                      <a:ext cx="5943600" cy="2096790"/>
                    </a:xfrm>
                    <a:prstGeom prst="rect">
                      <a:avLst/>
                    </a:prstGeom>
                    <a:ln>
                      <a:noFill/>
                    </a:ln>
                    <a:extLst>
                      <a:ext uri="{53640926-AAD7-44D8-BBD7-CCE9431645EC}">
                        <a14:shadowObscured xmlns:a14="http://schemas.microsoft.com/office/drawing/2010/main"/>
                      </a:ext>
                    </a:extLst>
                  </pic:spPr>
                </pic:pic>
              </a:graphicData>
            </a:graphic>
          </wp:inline>
        </w:drawing>
      </w:r>
      <w:r w:rsidRPr="004E32F1">
        <w:rPr>
          <w:rFonts w:ascii="Times New Roman" w:hAnsi="Times New Roman"/>
          <w:b/>
        </w:rPr>
        <w:t xml:space="preserve"> </w:t>
      </w:r>
    </w:p>
    <w:p w:rsidR="00446C32" w:rsidRPr="004E32F1" w:rsidRDefault="00446C32" w:rsidP="00904A3F">
      <w:pPr>
        <w:spacing w:line="360" w:lineRule="auto"/>
        <w:jc w:val="both"/>
        <w:rPr>
          <w:rFonts w:ascii="Times New Roman" w:hAnsi="Times New Roman"/>
          <w:b/>
        </w:rPr>
      </w:pPr>
      <w:r w:rsidRPr="004E32F1">
        <w:rPr>
          <w:rFonts w:ascii="Times New Roman" w:hAnsi="Times New Roman"/>
          <w:b/>
        </w:rPr>
        <w:t>Supplementary Figure S3</w:t>
      </w:r>
      <w:r w:rsidRPr="004E32F1">
        <w:rPr>
          <w:rFonts w:ascii="Times New Roman" w:hAnsi="Times New Roman"/>
        </w:rPr>
        <w:t>. Western blot analysis showing the protein levels of several splicing factors (hnRNP A2B1, hnRNP E1/E2, HUB/HUR, and NOVA-2) in CWR22rv cells infected with AdTR3 or AdCtrl.</w:t>
      </w:r>
    </w:p>
    <w:p w:rsidR="00446C32" w:rsidRPr="004E32F1" w:rsidRDefault="00446C32" w:rsidP="00904A3F">
      <w:pPr>
        <w:spacing w:line="360" w:lineRule="auto"/>
        <w:jc w:val="both"/>
        <w:rPr>
          <w:rFonts w:ascii="Times New Roman" w:hAnsi="Times New Roman"/>
          <w:b/>
        </w:rPr>
      </w:pPr>
      <w:r w:rsidRPr="004E32F1">
        <w:rPr>
          <w:rFonts w:ascii="Times New Roman" w:hAnsi="Times New Roman"/>
          <w:b/>
          <w:noProof/>
          <w:lang w:eastAsia="ko-KR"/>
        </w:rPr>
        <w:lastRenderedPageBreak/>
        <w:drawing>
          <wp:inline distT="0" distB="0" distL="0" distR="0" wp14:anchorId="60482D27" wp14:editId="4BF922D5">
            <wp:extent cx="5942575" cy="3178175"/>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5.tif"/>
                    <pic:cNvPicPr/>
                  </pic:nvPicPr>
                  <pic:blipFill rotWithShape="1">
                    <a:blip r:embed="rId11" cstate="print">
                      <a:extLst>
                        <a:ext uri="{28A0092B-C50C-407E-A947-70E740481C1C}">
                          <a14:useLocalDpi xmlns:a14="http://schemas.microsoft.com/office/drawing/2010/main" val="0"/>
                        </a:ext>
                      </a:extLst>
                    </a:blip>
                    <a:srcRect t="4174" b="31647"/>
                    <a:stretch/>
                  </pic:blipFill>
                  <pic:spPr bwMode="auto">
                    <a:xfrm>
                      <a:off x="0" y="0"/>
                      <a:ext cx="5943600" cy="3178723"/>
                    </a:xfrm>
                    <a:prstGeom prst="rect">
                      <a:avLst/>
                    </a:prstGeom>
                    <a:ln>
                      <a:noFill/>
                    </a:ln>
                    <a:extLst>
                      <a:ext uri="{53640926-AAD7-44D8-BBD7-CCE9431645EC}">
                        <a14:shadowObscured xmlns:a14="http://schemas.microsoft.com/office/drawing/2010/main"/>
                      </a:ext>
                    </a:extLst>
                  </pic:spPr>
                </pic:pic>
              </a:graphicData>
            </a:graphic>
          </wp:inline>
        </w:drawing>
      </w:r>
      <w:r w:rsidRPr="004E32F1">
        <w:rPr>
          <w:rFonts w:ascii="Times New Roman" w:hAnsi="Times New Roman"/>
          <w:b/>
        </w:rPr>
        <w:t xml:space="preserve"> </w:t>
      </w:r>
    </w:p>
    <w:p w:rsidR="00446C32" w:rsidRPr="004E32F1" w:rsidRDefault="00446C32" w:rsidP="00904A3F">
      <w:pPr>
        <w:spacing w:line="360" w:lineRule="auto"/>
        <w:jc w:val="both"/>
        <w:rPr>
          <w:rFonts w:ascii="Times New Roman" w:hAnsi="Times New Roman"/>
          <w:b/>
          <w:sz w:val="24"/>
        </w:rPr>
      </w:pPr>
      <w:r w:rsidRPr="004E32F1">
        <w:rPr>
          <w:rFonts w:ascii="Times New Roman" w:hAnsi="Times New Roman"/>
          <w:b/>
          <w:szCs w:val="20"/>
        </w:rPr>
        <w:t>Supplementary Figure S</w:t>
      </w:r>
      <w:r w:rsidR="007B7314" w:rsidRPr="004E32F1">
        <w:rPr>
          <w:rFonts w:ascii="Times New Roman" w:hAnsi="Times New Roman"/>
          <w:b/>
          <w:szCs w:val="20"/>
        </w:rPr>
        <w:t>4</w:t>
      </w:r>
      <w:r w:rsidRPr="004E32F1">
        <w:rPr>
          <w:rFonts w:ascii="Times New Roman" w:hAnsi="Times New Roman"/>
          <w:b/>
          <w:szCs w:val="20"/>
        </w:rPr>
        <w:t>.</w:t>
      </w:r>
      <w:r w:rsidRPr="004E32F1">
        <w:rPr>
          <w:rFonts w:ascii="Times New Roman" w:hAnsi="Times New Roman"/>
          <w:szCs w:val="20"/>
        </w:rPr>
        <w:t xml:space="preserve"> </w:t>
      </w:r>
      <w:r w:rsidRPr="004E32F1">
        <w:rPr>
          <w:rFonts w:ascii="Times New Roman" w:hAnsi="Times New Roman"/>
          <w:bCs/>
          <w:szCs w:val="20"/>
        </w:rPr>
        <w:t xml:space="preserve">TR3 overexpression enhances AR transactivation. </w:t>
      </w:r>
      <w:r w:rsidRPr="004E32F1">
        <w:rPr>
          <w:rFonts w:ascii="Times New Roman" w:hAnsi="Times New Roman"/>
          <w:b/>
          <w:bCs/>
          <w:szCs w:val="20"/>
        </w:rPr>
        <w:t>A-C</w:t>
      </w:r>
      <w:r w:rsidRPr="004E32F1">
        <w:rPr>
          <w:rFonts w:ascii="Times New Roman" w:hAnsi="Times New Roman"/>
          <w:bCs/>
          <w:szCs w:val="20"/>
        </w:rPr>
        <w:t>, TR3 overexpression enhances the transactivation of ARs in a dose-dependent manner. PPC1 c</w:t>
      </w:r>
      <w:r w:rsidRPr="004E32F1">
        <w:rPr>
          <w:rFonts w:ascii="Times New Roman" w:hAnsi="Times New Roman"/>
          <w:szCs w:val="20"/>
        </w:rPr>
        <w:t>ells were transfected with full-length AR (AR-FL) (</w:t>
      </w:r>
      <w:r w:rsidRPr="004E32F1">
        <w:rPr>
          <w:rFonts w:ascii="Times New Roman" w:hAnsi="Times New Roman"/>
          <w:b/>
          <w:bCs/>
          <w:szCs w:val="20"/>
        </w:rPr>
        <w:t>A</w:t>
      </w:r>
      <w:r w:rsidRPr="004E32F1">
        <w:rPr>
          <w:rFonts w:ascii="Times New Roman" w:hAnsi="Times New Roman"/>
          <w:szCs w:val="20"/>
        </w:rPr>
        <w:t>), AR N-terminal domain (AR-NTD) (</w:t>
      </w:r>
      <w:r w:rsidRPr="004E32F1">
        <w:rPr>
          <w:rFonts w:ascii="Times New Roman" w:hAnsi="Times New Roman"/>
          <w:b/>
          <w:bCs/>
          <w:szCs w:val="20"/>
        </w:rPr>
        <w:t>B</w:t>
      </w:r>
      <w:r w:rsidRPr="004E32F1">
        <w:rPr>
          <w:rFonts w:ascii="Times New Roman" w:hAnsi="Times New Roman"/>
          <w:szCs w:val="20"/>
        </w:rPr>
        <w:t>), or AR-V7 (</w:t>
      </w:r>
      <w:r w:rsidRPr="004E32F1">
        <w:rPr>
          <w:rFonts w:ascii="Times New Roman" w:hAnsi="Times New Roman"/>
          <w:b/>
          <w:szCs w:val="20"/>
        </w:rPr>
        <w:t>C</w:t>
      </w:r>
      <w:r w:rsidRPr="004E32F1">
        <w:rPr>
          <w:rFonts w:ascii="Times New Roman" w:hAnsi="Times New Roman"/>
          <w:szCs w:val="20"/>
        </w:rPr>
        <w:t xml:space="preserve">) together with </w:t>
      </w:r>
      <w:r w:rsidRPr="004E32F1">
        <w:rPr>
          <w:rFonts w:ascii="Times New Roman" w:hAnsi="Times New Roman"/>
          <w:bCs/>
          <w:szCs w:val="20"/>
        </w:rPr>
        <w:t xml:space="preserve">different amounts of FLAG-TR3 </w:t>
      </w:r>
      <w:r w:rsidRPr="004E32F1">
        <w:rPr>
          <w:rFonts w:ascii="Times New Roman" w:hAnsi="Times New Roman"/>
          <w:szCs w:val="20"/>
        </w:rPr>
        <w:t xml:space="preserve">expression construct and pARE2-TATA-luc and incubated with or without </w:t>
      </w:r>
      <w:r w:rsidRPr="004E32F1">
        <w:rPr>
          <w:rFonts w:ascii="Times New Roman" w:hAnsi="Times New Roman"/>
          <w:bCs/>
          <w:szCs w:val="20"/>
        </w:rPr>
        <w:t xml:space="preserve">1 nM DHT. </w:t>
      </w:r>
      <w:bookmarkStart w:id="0" w:name="OLE_LINK1"/>
      <w:r w:rsidRPr="004E32F1">
        <w:rPr>
          <w:rFonts w:ascii="Times New Roman" w:hAnsi="Times New Roman"/>
          <w:szCs w:val="20"/>
        </w:rPr>
        <w:t xml:space="preserve">Luciferase activity was normalized to that of </w:t>
      </w:r>
      <w:r w:rsidRPr="004E32F1">
        <w:rPr>
          <w:rFonts w:ascii="Times New Roman" w:hAnsi="Times New Roman"/>
          <w:i/>
          <w:szCs w:val="20"/>
        </w:rPr>
        <w:t>β</w:t>
      </w:r>
      <w:r w:rsidRPr="004E32F1">
        <w:rPr>
          <w:rFonts w:ascii="Times New Roman" w:hAnsi="Times New Roman"/>
          <w:szCs w:val="20"/>
        </w:rPr>
        <w:t xml:space="preserve">-galactosidase. </w:t>
      </w:r>
      <w:bookmarkEnd w:id="0"/>
      <w:r w:rsidRPr="004E32F1">
        <w:rPr>
          <w:rFonts w:ascii="Times New Roman" w:hAnsi="Times New Roman"/>
          <w:szCs w:val="20"/>
        </w:rPr>
        <w:t xml:space="preserve">Data are shown as mean ± SEM. </w:t>
      </w:r>
      <w:r w:rsidRPr="004E32F1">
        <w:rPr>
          <w:rFonts w:ascii="Times New Roman" w:hAnsi="Times New Roman"/>
          <w:bCs/>
          <w:szCs w:val="20"/>
        </w:rPr>
        <w:t>*, p&lt;0.05; **, p&lt;0.01; ***, p&lt;0.001</w:t>
      </w:r>
      <w:r w:rsidRPr="004E32F1">
        <w:rPr>
          <w:rFonts w:ascii="Times New Roman" w:hAnsi="Times New Roman"/>
          <w:szCs w:val="20"/>
        </w:rPr>
        <w:t>; one-way ANOVA with Tukey’s post hoc test.</w:t>
      </w:r>
      <w:r w:rsidRPr="004E32F1">
        <w:rPr>
          <w:rFonts w:ascii="Times New Roman" w:hAnsi="Times New Roman"/>
          <w:bCs/>
          <w:szCs w:val="20"/>
        </w:rPr>
        <w:t xml:space="preserve"> </w:t>
      </w:r>
      <w:r w:rsidRPr="004E32F1">
        <w:rPr>
          <w:rFonts w:ascii="Times New Roman" w:hAnsi="Times New Roman"/>
          <w:b/>
          <w:szCs w:val="20"/>
        </w:rPr>
        <w:t>D,</w:t>
      </w:r>
      <w:r w:rsidRPr="004E32F1">
        <w:rPr>
          <w:rFonts w:ascii="Times New Roman" w:hAnsi="Times New Roman"/>
          <w:bCs/>
          <w:szCs w:val="20"/>
        </w:rPr>
        <w:t xml:space="preserve"> TR3 physically interacts with AR-NTD. PPC1 cells were co-transfected with AR-NTD and TR3 expression constructs. Physical interaction between TR3 and AR-NTD was examined through coimmunoprecipitation performed using anti-TR3 or anti-AR antibodies. Proteins were detected using western blot analysis.</w:t>
      </w:r>
      <w:r w:rsidR="00C14BAD" w:rsidRPr="004E32F1">
        <w:rPr>
          <w:rFonts w:ascii="Times New Roman" w:hAnsi="Times New Roman"/>
          <w:b/>
          <w:sz w:val="24"/>
        </w:rPr>
        <w:br w:type="page"/>
      </w:r>
    </w:p>
    <w:p w:rsidR="00446C32" w:rsidRPr="004E32F1" w:rsidRDefault="0019309E" w:rsidP="00904A3F">
      <w:pPr>
        <w:spacing w:line="360" w:lineRule="auto"/>
        <w:jc w:val="both"/>
        <w:rPr>
          <w:rFonts w:ascii="Times New Roman" w:hAnsi="Times New Roman"/>
          <w:b/>
        </w:rPr>
      </w:pPr>
      <w:r w:rsidRPr="004E32F1">
        <w:rPr>
          <w:rFonts w:ascii="Times New Roman" w:hAnsi="Times New Roman"/>
          <w:b/>
          <w:noProof/>
          <w:lang w:eastAsia="ko-KR"/>
        </w:rPr>
        <w:lastRenderedPageBreak/>
        <w:drawing>
          <wp:inline distT="0" distB="0" distL="0" distR="0">
            <wp:extent cx="5943125" cy="266873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6 nd.tif"/>
                    <pic:cNvPicPr/>
                  </pic:nvPicPr>
                  <pic:blipFill rotWithShape="1">
                    <a:blip r:embed="rId12" cstate="print">
                      <a:extLst>
                        <a:ext uri="{28A0092B-C50C-407E-A947-70E740481C1C}">
                          <a14:useLocalDpi xmlns:a14="http://schemas.microsoft.com/office/drawing/2010/main" val="0"/>
                        </a:ext>
                      </a:extLst>
                    </a:blip>
                    <a:srcRect t="15455" b="30659"/>
                    <a:stretch/>
                  </pic:blipFill>
                  <pic:spPr bwMode="auto">
                    <a:xfrm>
                      <a:off x="0" y="0"/>
                      <a:ext cx="5943600" cy="2668951"/>
                    </a:xfrm>
                    <a:prstGeom prst="rect">
                      <a:avLst/>
                    </a:prstGeom>
                    <a:ln>
                      <a:noFill/>
                    </a:ln>
                    <a:extLst>
                      <a:ext uri="{53640926-AAD7-44D8-BBD7-CCE9431645EC}">
                        <a14:shadowObscured xmlns:a14="http://schemas.microsoft.com/office/drawing/2010/main"/>
                      </a:ext>
                    </a:extLst>
                  </pic:spPr>
                </pic:pic>
              </a:graphicData>
            </a:graphic>
          </wp:inline>
        </w:drawing>
      </w:r>
      <w:r w:rsidR="00446C32" w:rsidRPr="004E32F1">
        <w:rPr>
          <w:rFonts w:ascii="Times New Roman" w:hAnsi="Times New Roman"/>
          <w:b/>
        </w:rPr>
        <w:t xml:space="preserve"> </w:t>
      </w:r>
    </w:p>
    <w:p w:rsidR="00C14BAD" w:rsidRPr="004E32F1" w:rsidRDefault="00446C32" w:rsidP="00904A3F">
      <w:pPr>
        <w:spacing w:line="360" w:lineRule="auto"/>
        <w:jc w:val="both"/>
        <w:rPr>
          <w:rFonts w:ascii="Times New Roman" w:hAnsi="Times New Roman"/>
          <w:b/>
        </w:rPr>
      </w:pPr>
      <w:r w:rsidRPr="004E32F1">
        <w:rPr>
          <w:rFonts w:ascii="Times New Roman" w:hAnsi="Times New Roman"/>
          <w:b/>
        </w:rPr>
        <w:t>Supplementary Figure S</w:t>
      </w:r>
      <w:r w:rsidR="007B7314" w:rsidRPr="004E32F1">
        <w:rPr>
          <w:rFonts w:ascii="Times New Roman" w:hAnsi="Times New Roman"/>
          <w:b/>
        </w:rPr>
        <w:t>5</w:t>
      </w:r>
      <w:r w:rsidRPr="004E32F1">
        <w:rPr>
          <w:rFonts w:ascii="Times New Roman" w:hAnsi="Times New Roman"/>
          <w:b/>
        </w:rPr>
        <w:t xml:space="preserve">. </w:t>
      </w:r>
      <w:r w:rsidRPr="004E32F1">
        <w:rPr>
          <w:rFonts w:ascii="Times New Roman" w:hAnsi="Times New Roman"/>
          <w:bCs/>
        </w:rPr>
        <w:t>TR3 is involved in the regulation of prostate cancer cell proliferation.</w:t>
      </w:r>
      <w:r w:rsidR="00C57CE9" w:rsidRPr="004E32F1">
        <w:rPr>
          <w:rFonts w:ascii="Times New Roman" w:hAnsi="Times New Roman"/>
          <w:bCs/>
        </w:rPr>
        <w:t xml:space="preserve"> </w:t>
      </w:r>
      <w:r w:rsidR="00E10044" w:rsidRPr="004E32F1">
        <w:rPr>
          <w:rFonts w:ascii="Times New Roman" w:hAnsi="Times New Roman"/>
          <w:bCs/>
        </w:rPr>
        <w:t xml:space="preserve">TR3 expression was </w:t>
      </w:r>
      <w:r w:rsidR="00E10044" w:rsidRPr="004E32F1">
        <w:rPr>
          <w:rFonts w:ascii="Times New Roman" w:hAnsi="Times New Roman"/>
        </w:rPr>
        <w:t xml:space="preserve">overexpressed </w:t>
      </w:r>
      <w:r w:rsidRPr="004E32F1">
        <w:rPr>
          <w:rFonts w:ascii="Times New Roman" w:hAnsi="Times New Roman"/>
        </w:rPr>
        <w:t>(</w:t>
      </w:r>
      <w:r w:rsidRPr="004E32F1">
        <w:rPr>
          <w:rFonts w:ascii="Times New Roman" w:hAnsi="Times New Roman"/>
          <w:b/>
        </w:rPr>
        <w:t>A</w:t>
      </w:r>
      <w:r w:rsidRPr="004E32F1">
        <w:rPr>
          <w:rFonts w:ascii="Times New Roman" w:hAnsi="Times New Roman"/>
        </w:rPr>
        <w:t xml:space="preserve">) or </w:t>
      </w:r>
      <w:r w:rsidR="00E10044" w:rsidRPr="004E32F1">
        <w:rPr>
          <w:rFonts w:ascii="Times New Roman" w:hAnsi="Times New Roman"/>
        </w:rPr>
        <w:t xml:space="preserve">silenced </w:t>
      </w:r>
      <w:r w:rsidRPr="004E32F1">
        <w:rPr>
          <w:rFonts w:ascii="Times New Roman" w:hAnsi="Times New Roman"/>
        </w:rPr>
        <w:t>(</w:t>
      </w:r>
      <w:r w:rsidRPr="004E32F1">
        <w:rPr>
          <w:rFonts w:ascii="Times New Roman" w:hAnsi="Times New Roman"/>
          <w:b/>
        </w:rPr>
        <w:t>B</w:t>
      </w:r>
      <w:r w:rsidRPr="004E32F1">
        <w:rPr>
          <w:rFonts w:ascii="Times New Roman" w:hAnsi="Times New Roman"/>
        </w:rPr>
        <w:t xml:space="preserve">) </w:t>
      </w:r>
      <w:r w:rsidR="00E10044" w:rsidRPr="004E32F1">
        <w:rPr>
          <w:rFonts w:ascii="Times New Roman" w:hAnsi="Times New Roman"/>
        </w:rPr>
        <w:t xml:space="preserve">in </w:t>
      </w:r>
      <w:r w:rsidR="00E10044" w:rsidRPr="004E32F1">
        <w:rPr>
          <w:rFonts w:ascii="Times New Roman" w:hAnsi="Times New Roman"/>
          <w:bCs/>
        </w:rPr>
        <w:t>LNCaP cells. Cells were</w:t>
      </w:r>
      <w:r w:rsidRPr="004E32F1">
        <w:rPr>
          <w:rFonts w:ascii="Times New Roman" w:hAnsi="Times New Roman"/>
        </w:rPr>
        <w:t xml:space="preserve"> treated with 1 nM DHT, 50 ng/ml IL-6, 50 </w:t>
      </w:r>
      <w:r w:rsidRPr="004E32F1">
        <w:rPr>
          <w:rFonts w:ascii="Times New Roman" w:hAnsi="Times New Roman"/>
          <w:i/>
        </w:rPr>
        <w:t>µ</w:t>
      </w:r>
      <w:r w:rsidRPr="004E32F1">
        <w:rPr>
          <w:rFonts w:ascii="Times New Roman" w:hAnsi="Times New Roman"/>
        </w:rPr>
        <w:t>M FSK, or vehicle</w:t>
      </w:r>
      <w:r w:rsidR="00081304" w:rsidRPr="004E32F1">
        <w:rPr>
          <w:rFonts w:ascii="Times New Roman" w:hAnsi="Times New Roman"/>
        </w:rPr>
        <w:t>.</w:t>
      </w:r>
      <w:r w:rsidRPr="004E32F1">
        <w:rPr>
          <w:rFonts w:ascii="Times New Roman" w:hAnsi="Times New Roman"/>
        </w:rPr>
        <w:t xml:space="preserve"> Cell growth was assessed using MTS assays. </w:t>
      </w:r>
      <w:bookmarkStart w:id="1" w:name="OLE_LINK2"/>
      <w:r w:rsidRPr="004E32F1">
        <w:rPr>
          <w:rFonts w:ascii="Times New Roman" w:hAnsi="Times New Roman"/>
        </w:rPr>
        <w:t xml:space="preserve">Data are shown as mean ± SEM. </w:t>
      </w:r>
      <w:r w:rsidR="00355FF5" w:rsidRPr="004E32F1">
        <w:rPr>
          <w:rFonts w:ascii="Times New Roman" w:hAnsi="Times New Roman"/>
        </w:rPr>
        <w:t xml:space="preserve">*, </w:t>
      </w:r>
      <w:r w:rsidR="00484B7D" w:rsidRPr="004E32F1">
        <w:rPr>
          <w:rFonts w:ascii="Times New Roman" w:hAnsi="Times New Roman"/>
          <w:bCs/>
        </w:rPr>
        <w:t>p&lt;0.05; **, p&lt;0.01; ***, p&lt;0.001</w:t>
      </w:r>
      <w:r w:rsidRPr="004E32F1">
        <w:rPr>
          <w:rFonts w:ascii="Times New Roman" w:hAnsi="Times New Roman"/>
        </w:rPr>
        <w:t xml:space="preserve">; </w:t>
      </w:r>
      <w:r w:rsidR="00484B7D" w:rsidRPr="004E32F1">
        <w:rPr>
          <w:rFonts w:ascii="Times New Roman" w:hAnsi="Times New Roman"/>
        </w:rPr>
        <w:t xml:space="preserve">ns, not significant; </w:t>
      </w:r>
      <w:r w:rsidRPr="004E32F1">
        <w:rPr>
          <w:rFonts w:ascii="Times New Roman" w:hAnsi="Times New Roman"/>
        </w:rPr>
        <w:t>two-tailed t-test.</w:t>
      </w:r>
      <w:bookmarkEnd w:id="1"/>
      <w:r w:rsidR="0019309E" w:rsidRPr="004E32F1">
        <w:rPr>
          <w:rFonts w:ascii="Times New Roman" w:hAnsi="Times New Roman"/>
        </w:rPr>
        <w:t xml:space="preserve"> </w:t>
      </w:r>
      <w:r w:rsidR="0019309E" w:rsidRPr="004E32F1">
        <w:rPr>
          <w:rFonts w:ascii="Times New Roman" w:hAnsi="Times New Roman"/>
          <w:b/>
        </w:rPr>
        <w:t xml:space="preserve">C-D, </w:t>
      </w:r>
      <w:r w:rsidR="0019309E" w:rsidRPr="004E32F1">
        <w:rPr>
          <w:rFonts w:ascii="Times New Roman" w:hAnsi="Times New Roman"/>
        </w:rPr>
        <w:t>Xenograft mouse model and establishment of a stable cell line overexpressing TR3.</w:t>
      </w:r>
      <w:r w:rsidR="0019309E" w:rsidRPr="004E32F1">
        <w:rPr>
          <w:rFonts w:ascii="Times New Roman" w:hAnsi="Times New Roman"/>
          <w:b/>
        </w:rPr>
        <w:t xml:space="preserve"> </w:t>
      </w:r>
      <w:r w:rsidR="0019309E" w:rsidRPr="004E32F1">
        <w:rPr>
          <w:rFonts w:ascii="Times New Roman" w:hAnsi="Times New Roman"/>
        </w:rPr>
        <w:t>Schematic presentation of the experimental set-up for CWR22rv xenograft mouse models (</w:t>
      </w:r>
      <w:r w:rsidR="0019309E" w:rsidRPr="004E32F1">
        <w:rPr>
          <w:rFonts w:ascii="Times New Roman" w:hAnsi="Times New Roman"/>
          <w:b/>
        </w:rPr>
        <w:t>C</w:t>
      </w:r>
      <w:r w:rsidR="0019309E" w:rsidRPr="004E32F1">
        <w:rPr>
          <w:rFonts w:ascii="Times New Roman" w:hAnsi="Times New Roman"/>
        </w:rPr>
        <w:t xml:space="preserve">). RT-PCR analysis confirmed TR3 expression in the inducible TR3-overexpressing CWR22rv cell sublines (#1, #2, and #3) and the control (EV) treated with 2 </w:t>
      </w:r>
      <w:r w:rsidR="0019309E" w:rsidRPr="004E32F1">
        <w:rPr>
          <w:rFonts w:ascii="Times New Roman" w:hAnsi="Times New Roman"/>
          <w:i/>
        </w:rPr>
        <w:t>µ</w:t>
      </w:r>
      <w:r w:rsidR="0019309E" w:rsidRPr="004E32F1">
        <w:rPr>
          <w:rFonts w:ascii="Times New Roman" w:hAnsi="Times New Roman"/>
        </w:rPr>
        <w:t>g/ml doxycycline (DOX) or vehicle (</w:t>
      </w:r>
      <w:r w:rsidR="0019309E" w:rsidRPr="004E32F1">
        <w:rPr>
          <w:rFonts w:ascii="Times New Roman" w:hAnsi="Times New Roman"/>
          <w:b/>
        </w:rPr>
        <w:t>D</w:t>
      </w:r>
      <w:r w:rsidR="0019309E" w:rsidRPr="004E32F1">
        <w:rPr>
          <w:rFonts w:ascii="Times New Roman" w:hAnsi="Times New Roman"/>
        </w:rPr>
        <w:t xml:space="preserve">). </w:t>
      </w:r>
      <w:r w:rsidR="00C14BAD" w:rsidRPr="004E32F1">
        <w:rPr>
          <w:rFonts w:ascii="Times New Roman" w:hAnsi="Times New Roman"/>
          <w:b/>
        </w:rPr>
        <w:br w:type="page"/>
      </w:r>
    </w:p>
    <w:p w:rsidR="00446C32" w:rsidRPr="004E32F1" w:rsidRDefault="00446C32" w:rsidP="00904A3F">
      <w:pPr>
        <w:spacing w:after="0" w:line="360" w:lineRule="auto"/>
        <w:jc w:val="both"/>
        <w:rPr>
          <w:rFonts w:ascii="Times New Roman" w:hAnsi="Times New Roman"/>
          <w:b/>
        </w:rPr>
      </w:pPr>
      <w:r w:rsidRPr="004E32F1">
        <w:rPr>
          <w:rFonts w:ascii="Times New Roman" w:hAnsi="Times New Roman"/>
          <w:b/>
          <w:noProof/>
          <w:lang w:eastAsia="ko-KR"/>
        </w:rPr>
        <w:lastRenderedPageBreak/>
        <w:drawing>
          <wp:inline distT="0" distB="0" distL="0" distR="0" wp14:anchorId="2615A31F" wp14:editId="271FA0AC">
            <wp:extent cx="5943600" cy="495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rsidR="00446C32" w:rsidRPr="004E32F1" w:rsidRDefault="00446C32" w:rsidP="00904A3F">
      <w:pPr>
        <w:spacing w:after="0" w:line="360" w:lineRule="auto"/>
        <w:jc w:val="both"/>
        <w:rPr>
          <w:rFonts w:ascii="Times New Roman" w:hAnsi="Times New Roman"/>
          <w:b/>
          <w:sz w:val="20"/>
          <w:szCs w:val="20"/>
        </w:rPr>
      </w:pPr>
    </w:p>
    <w:p w:rsidR="00C3604F" w:rsidRPr="004E32F1" w:rsidRDefault="00446C32" w:rsidP="00904A3F">
      <w:pPr>
        <w:spacing w:after="0" w:line="360" w:lineRule="auto"/>
        <w:jc w:val="both"/>
        <w:rPr>
          <w:rFonts w:ascii="Times New Roman" w:hAnsi="Times New Roman"/>
        </w:rPr>
      </w:pPr>
      <w:r w:rsidRPr="004E32F1">
        <w:rPr>
          <w:rFonts w:ascii="Times New Roman" w:hAnsi="Times New Roman"/>
          <w:b/>
        </w:rPr>
        <w:t>Supplementary Figure S</w:t>
      </w:r>
      <w:r w:rsidR="007B7314" w:rsidRPr="004E32F1">
        <w:rPr>
          <w:rFonts w:ascii="Times New Roman" w:hAnsi="Times New Roman"/>
          <w:b/>
        </w:rPr>
        <w:t>6</w:t>
      </w:r>
      <w:r w:rsidRPr="004E32F1">
        <w:rPr>
          <w:rFonts w:ascii="Times New Roman" w:hAnsi="Times New Roman"/>
          <w:b/>
        </w:rPr>
        <w:t>.</w:t>
      </w:r>
      <w:r w:rsidRPr="004E32F1">
        <w:rPr>
          <w:rFonts w:ascii="Times New Roman" w:hAnsi="Times New Roman"/>
        </w:rPr>
        <w:t xml:space="preserve"> TR3 overexpression impairs the immune system and </w:t>
      </w:r>
      <w:r w:rsidRPr="004E32F1">
        <w:rPr>
          <w:rFonts w:ascii="Times New Roman" w:hAnsi="Times New Roman"/>
          <w:bCs/>
        </w:rPr>
        <w:t xml:space="preserve">activates the </w:t>
      </w:r>
      <w:r w:rsidRPr="004E32F1">
        <w:rPr>
          <w:rFonts w:ascii="Times New Roman" w:hAnsi="Times New Roman"/>
        </w:rPr>
        <w:t xml:space="preserve">IL23R/STAT3/RORC axis </w:t>
      </w:r>
      <w:r w:rsidRPr="004E32F1">
        <w:rPr>
          <w:rFonts w:ascii="Times New Roman" w:hAnsi="Times New Roman"/>
          <w:bCs/>
        </w:rPr>
        <w:t xml:space="preserve">involved in </w:t>
      </w:r>
      <w:r w:rsidRPr="004E32F1">
        <w:rPr>
          <w:rFonts w:ascii="Times New Roman" w:hAnsi="Times New Roman"/>
        </w:rPr>
        <w:t xml:space="preserve">prostate cancer progression. </w:t>
      </w:r>
      <w:r w:rsidRPr="004E32F1">
        <w:rPr>
          <w:rFonts w:ascii="Times New Roman" w:hAnsi="Times New Roman"/>
          <w:b/>
        </w:rPr>
        <w:t>A-B,</w:t>
      </w:r>
      <w:r w:rsidRPr="004E32F1">
        <w:rPr>
          <w:rFonts w:ascii="Times New Roman" w:hAnsi="Times New Roman"/>
        </w:rPr>
        <w:t xml:space="preserve"> Gene enrichment analysis (DAVID) of RNA-Seq data showing </w:t>
      </w:r>
      <w:r w:rsidR="003D70B8" w:rsidRPr="004E32F1">
        <w:rPr>
          <w:rFonts w:ascii="Times New Roman" w:hAnsi="Times New Roman"/>
        </w:rPr>
        <w:t xml:space="preserve">the upregulated expression of immune tolerance genes </w:t>
      </w:r>
      <w:r w:rsidRPr="004E32F1">
        <w:rPr>
          <w:rFonts w:ascii="Times New Roman" w:hAnsi="Times New Roman"/>
        </w:rPr>
        <w:t>(</w:t>
      </w:r>
      <w:r w:rsidRPr="004E32F1">
        <w:rPr>
          <w:rFonts w:ascii="Times New Roman" w:hAnsi="Times New Roman"/>
          <w:b/>
        </w:rPr>
        <w:t>A</w:t>
      </w:r>
      <w:r w:rsidRPr="004E32F1">
        <w:rPr>
          <w:rFonts w:ascii="Times New Roman" w:hAnsi="Times New Roman"/>
        </w:rPr>
        <w:t xml:space="preserve">) and </w:t>
      </w:r>
      <w:r w:rsidR="003D70B8" w:rsidRPr="004E32F1">
        <w:rPr>
          <w:rFonts w:ascii="Times New Roman" w:hAnsi="Times New Roman"/>
        </w:rPr>
        <w:t xml:space="preserve">the downregulated expression of inflammatory genes </w:t>
      </w:r>
      <w:r w:rsidRPr="004E32F1">
        <w:rPr>
          <w:rFonts w:ascii="Times New Roman" w:hAnsi="Times New Roman"/>
        </w:rPr>
        <w:t>(</w:t>
      </w:r>
      <w:r w:rsidRPr="004E32F1">
        <w:rPr>
          <w:rFonts w:ascii="Times New Roman" w:hAnsi="Times New Roman"/>
          <w:b/>
        </w:rPr>
        <w:t>B</w:t>
      </w:r>
      <w:r w:rsidRPr="004E32F1">
        <w:rPr>
          <w:rFonts w:ascii="Times New Roman" w:hAnsi="Times New Roman"/>
        </w:rPr>
        <w:t xml:space="preserve">) when TR3 was overexpressed in CWR22rv cells. </w:t>
      </w:r>
      <w:r w:rsidRPr="004E32F1">
        <w:rPr>
          <w:rFonts w:ascii="Times New Roman" w:hAnsi="Times New Roman"/>
          <w:b/>
        </w:rPr>
        <w:t>C-F,</w:t>
      </w:r>
      <w:r w:rsidRPr="004E32F1">
        <w:rPr>
          <w:rFonts w:ascii="Times New Roman" w:hAnsi="Times New Roman"/>
        </w:rPr>
        <w:t xml:space="preserve"> Heatmaps (MeV) presenting the downregulated expression of inflammatory genes (</w:t>
      </w:r>
      <w:r w:rsidRPr="004E32F1">
        <w:rPr>
          <w:rFonts w:ascii="Times New Roman" w:hAnsi="Times New Roman"/>
          <w:b/>
        </w:rPr>
        <w:t>C</w:t>
      </w:r>
      <w:r w:rsidRPr="004E32F1">
        <w:rPr>
          <w:rFonts w:ascii="Times New Roman" w:hAnsi="Times New Roman"/>
        </w:rPr>
        <w:t>) and the upregulated expression of IL23R (</w:t>
      </w:r>
      <w:r w:rsidRPr="004E32F1">
        <w:rPr>
          <w:rFonts w:ascii="Times New Roman" w:hAnsi="Times New Roman"/>
          <w:b/>
        </w:rPr>
        <w:t>D</w:t>
      </w:r>
      <w:r w:rsidRPr="004E32F1">
        <w:rPr>
          <w:rFonts w:ascii="Times New Roman" w:hAnsi="Times New Roman"/>
        </w:rPr>
        <w:t>), STAT3 (</w:t>
      </w:r>
      <w:r w:rsidRPr="004E32F1">
        <w:rPr>
          <w:rFonts w:ascii="Times New Roman" w:hAnsi="Times New Roman"/>
          <w:b/>
        </w:rPr>
        <w:t>E</w:t>
      </w:r>
      <w:r w:rsidRPr="004E32F1">
        <w:rPr>
          <w:rFonts w:ascii="Times New Roman" w:hAnsi="Times New Roman"/>
        </w:rPr>
        <w:t>), and RORC (</w:t>
      </w:r>
      <w:r w:rsidRPr="004E32F1">
        <w:rPr>
          <w:rFonts w:ascii="Times New Roman" w:hAnsi="Times New Roman"/>
          <w:b/>
        </w:rPr>
        <w:t>F</w:t>
      </w:r>
      <w:r w:rsidRPr="004E32F1">
        <w:rPr>
          <w:rFonts w:ascii="Times New Roman" w:hAnsi="Times New Roman"/>
        </w:rPr>
        <w:t xml:space="preserve">) in TR3-overexpressing CWR22rv cells compared with the control.  </w:t>
      </w:r>
      <w:r w:rsidR="00C3604F" w:rsidRPr="004E32F1">
        <w:rPr>
          <w:rFonts w:ascii="Times New Roman" w:hAnsi="Times New Roman"/>
        </w:rPr>
        <w:br w:type="page"/>
      </w:r>
    </w:p>
    <w:p w:rsidR="00D4050F" w:rsidRPr="004E32F1" w:rsidRDefault="005735C5" w:rsidP="00904A3F">
      <w:pPr>
        <w:spacing w:after="100" w:line="360" w:lineRule="auto"/>
        <w:jc w:val="both"/>
        <w:rPr>
          <w:rFonts w:ascii="Times New Roman" w:hAnsi="Times New Roman"/>
          <w:b/>
          <w:sz w:val="28"/>
        </w:rPr>
      </w:pPr>
      <w:r w:rsidRPr="004E32F1">
        <w:rPr>
          <w:rFonts w:ascii="Times New Roman" w:hAnsi="Times New Roman"/>
          <w:b/>
          <w:sz w:val="28"/>
        </w:rPr>
        <w:lastRenderedPageBreak/>
        <w:t>A</w:t>
      </w:r>
      <w:r w:rsidR="00D4050F" w:rsidRPr="004E32F1">
        <w:rPr>
          <w:rFonts w:ascii="Times New Roman" w:hAnsi="Times New Roman"/>
          <w:b/>
          <w:sz w:val="28"/>
        </w:rPr>
        <w:t>dditional methodology details</w:t>
      </w:r>
    </w:p>
    <w:p w:rsidR="00C3604F" w:rsidRPr="004E32F1" w:rsidRDefault="00C3604F" w:rsidP="00904A3F">
      <w:pPr>
        <w:spacing w:after="100" w:line="360" w:lineRule="auto"/>
        <w:jc w:val="both"/>
        <w:rPr>
          <w:rFonts w:ascii="Times New Roman" w:hAnsi="Times New Roman"/>
          <w:sz w:val="28"/>
        </w:rPr>
      </w:pPr>
      <w:r w:rsidRPr="004E32F1">
        <w:rPr>
          <w:rFonts w:ascii="Times New Roman" w:hAnsi="Times New Roman"/>
          <w:sz w:val="28"/>
        </w:rPr>
        <w:t>Reagents</w:t>
      </w:r>
    </w:p>
    <w:p w:rsidR="00C3604F" w:rsidRPr="004E32F1" w:rsidRDefault="00C3604F" w:rsidP="00904A3F">
      <w:pPr>
        <w:spacing w:line="360" w:lineRule="auto"/>
        <w:jc w:val="both"/>
        <w:rPr>
          <w:rFonts w:ascii="Times New Roman" w:hAnsi="Times New Roman"/>
        </w:rPr>
      </w:pPr>
      <w:r w:rsidRPr="004E32F1">
        <w:rPr>
          <w:rFonts w:ascii="Times New Roman" w:hAnsi="Times New Roman"/>
        </w:rPr>
        <w:t>Forskolin (FSK), G418 disulfate salt (Geneticin), doxycyclin and chloroquine diphosphate salt (CQ) were purchased from Sigma-Aldrich (St Louis, MO, USA). The proteasome inhibitor carbobenzoxy-L-leucyl-L-leucyl-L-leucinal (MG-132) was purchased from A.G. Scienctific, Inc. (San Diego, CA, USA). Recombinant human IL-6 was purchased from R&amp;D systems Inc. (</w:t>
      </w:r>
      <w:r w:rsidRPr="004E32F1">
        <w:rPr>
          <w:rFonts w:ascii="Times New Roman" w:hAnsi="Times New Roman"/>
          <w:shd w:val="clear" w:color="auto" w:fill="FFFFFF"/>
        </w:rPr>
        <w:t>Minneapolis, Minnesota, USA), 5</w:t>
      </w:r>
      <w:r w:rsidRPr="004E32F1">
        <w:rPr>
          <w:rFonts w:ascii="Times New Roman" w:hAnsi="Times New Roman"/>
          <w:i/>
          <w:shd w:val="clear" w:color="auto" w:fill="FFFFFF"/>
        </w:rPr>
        <w:t>α</w:t>
      </w:r>
      <w:r w:rsidRPr="004E32F1">
        <w:rPr>
          <w:rFonts w:ascii="Times New Roman" w:hAnsi="Times New Roman"/>
          <w:shd w:val="clear" w:color="auto" w:fill="FFFFFF"/>
        </w:rPr>
        <w:t>-dihydrotestosterone (DHT) was purchased from Sigma (Poole, UK). Enzalutamide (MDV-3100) and Bicalutamide (BIC) were purchased from Sequoia Research Products</w:t>
      </w:r>
      <w:r w:rsidRPr="004E32F1">
        <w:rPr>
          <w:rFonts w:ascii="Times New Roman" w:hAnsi="Times New Roman"/>
        </w:rPr>
        <w:t xml:space="preserve"> Ltd. (St James Close, Pangbourne, UK). 1,1-Bis(3’-indolyl)-1-(ρ-hydroxyphenyl)methane (DIM-c-pPhOH) was purchased from TOCRIS Bioscience (Bristol, UK).  </w:t>
      </w:r>
    </w:p>
    <w:p w:rsidR="00C3604F" w:rsidRPr="004E32F1" w:rsidRDefault="00C3604F" w:rsidP="00904A3F">
      <w:pPr>
        <w:spacing w:after="100" w:line="360" w:lineRule="auto"/>
        <w:jc w:val="both"/>
        <w:rPr>
          <w:rFonts w:ascii="Times New Roman" w:hAnsi="Times New Roman"/>
          <w:sz w:val="28"/>
        </w:rPr>
      </w:pPr>
      <w:r w:rsidRPr="004E32F1">
        <w:rPr>
          <w:rFonts w:ascii="Times New Roman" w:hAnsi="Times New Roman"/>
          <w:sz w:val="28"/>
        </w:rPr>
        <w:t xml:space="preserve">Plasmids </w:t>
      </w:r>
    </w:p>
    <w:p w:rsidR="00C3604F" w:rsidRPr="004E32F1" w:rsidRDefault="00C3604F" w:rsidP="00904A3F">
      <w:pPr>
        <w:spacing w:line="360" w:lineRule="auto"/>
        <w:jc w:val="both"/>
        <w:rPr>
          <w:rFonts w:ascii="Times New Roman" w:hAnsi="Times New Roman"/>
        </w:rPr>
      </w:pPr>
      <w:r w:rsidRPr="004E32F1">
        <w:rPr>
          <w:rFonts w:ascii="Times New Roman" w:hAnsi="Times New Roman"/>
        </w:rPr>
        <w:t xml:space="preserve">pARE2-TATA-Luc, GAL4.AR-LBD658-919, VP16.AR1-660, 5xGAL4-luc3, pcR3.1 SRC-1, pcDNA3.AR, pcDNA3.AR-NTD, pEGFP-AR, and pEGFP-AR-NTD have been previously described </w:t>
      </w:r>
      <w:r w:rsidRPr="004E32F1">
        <w:rPr>
          <w:rFonts w:ascii="Times New Roman" w:hAnsi="Times New Roman"/>
        </w:rPr>
        <w:fldChar w:fldCharType="begin"/>
      </w:r>
      <w:r w:rsidR="00C52E5A" w:rsidRPr="004E32F1">
        <w:rPr>
          <w:rFonts w:ascii="Times New Roman" w:hAnsi="Times New Roman"/>
        </w:rPr>
        <w:instrText xml:space="preserve"> ADDIN EN.CITE &lt;EndNote&gt;&lt;Cite&gt;&lt;Author&gt;Tran&lt;/Author&gt;&lt;Year&gt;2020&lt;/Year&gt;&lt;RecNum&gt;1269&lt;/RecNum&gt;&lt;DisplayText&gt;[1]&lt;/DisplayText&gt;&lt;record&gt;&lt;rec-number&gt;1269&lt;/rec-number&gt;&lt;foreign-keys&gt;&lt;key app="EN" db-id="ftf9w25pjwzxv0est975fawzxx9tpxrpas5a" timestamp="1610960535"&gt;1269&lt;/key&gt;&lt;/foreign-keys&gt;&lt;ref-type name="Journal Article"&gt;17&lt;/ref-type&gt;&lt;contributors&gt;&lt;authors&gt;&lt;author&gt;Tran, T. T.&lt;/author&gt;&lt;author&gt;Song, C. H.&lt;/author&gt;&lt;author&gt;Kim, K. J.&lt;/author&gt;&lt;author&gt;Lee, K.&lt;/author&gt;&lt;/authors&gt;&lt;/contributors&gt;&lt;auth-address&gt;School of Biological Sciences and Technology, Chonnam National University Gwangju, Korea.&lt;/auth-address&gt;&lt;titles&gt;&lt;title&gt;A new compound targets the AF-1 of androgen receptor and decreases its activity and protein levels in prostate cancer cells&lt;/title&gt;&lt;secondary-title&gt;Am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research&lt;/abbr-1&gt;&lt;/alt-periodical&gt;&lt;pages&gt;4607-4623&lt;/pages&gt;&lt;volume&gt;10&lt;/volume&gt;&lt;number&gt;12&lt;/number&gt;&lt;edition&gt;2021/01/09&lt;/edition&gt;&lt;keywords&gt;&lt;keyword&gt;Prostate cancer&lt;/keyword&gt;&lt;keyword&gt;androgen receptor&lt;/keyword&gt;&lt;keyword&gt;androgen-independent activity&lt;/keyword&gt;&lt;keyword&gt;protein degradation&lt;/keyword&gt;&lt;keyword&gt;splice variant&lt;/keyword&gt;&lt;/keywords&gt;&lt;dates&gt;&lt;year&gt;2020&lt;/year&gt;&lt;/dates&gt;&lt;isbn&gt;2156-6976 (Print)&amp;#xD;2156-6976&lt;/isbn&gt;&lt;accession-num&gt;33415022&lt;/accession-num&gt;&lt;urls&gt;&lt;/urls&gt;&lt;custom2&gt;PMC7783748&lt;/custom2&gt;&lt;remote-database-provider&gt;NLM&lt;/remote-database-provider&gt;&lt;language&gt;eng&lt;/language&gt;&lt;/record&gt;&lt;/Cite&gt;&lt;/EndNote&gt;</w:instrText>
      </w:r>
      <w:r w:rsidRPr="004E32F1">
        <w:rPr>
          <w:rFonts w:ascii="Times New Roman" w:hAnsi="Times New Roman"/>
        </w:rPr>
        <w:fldChar w:fldCharType="separate"/>
      </w:r>
      <w:r w:rsidR="00C52E5A" w:rsidRPr="004E32F1">
        <w:rPr>
          <w:rFonts w:ascii="Times New Roman" w:hAnsi="Times New Roman"/>
          <w:noProof/>
        </w:rPr>
        <w:t>[1]</w:t>
      </w:r>
      <w:r w:rsidRPr="004E32F1">
        <w:rPr>
          <w:rFonts w:ascii="Times New Roman" w:hAnsi="Times New Roman"/>
        </w:rPr>
        <w:fldChar w:fldCharType="end"/>
      </w:r>
      <w:r w:rsidRPr="004E32F1">
        <w:rPr>
          <w:rFonts w:ascii="Times New Roman" w:hAnsi="Times New Roman"/>
        </w:rPr>
        <w:t xml:space="preserve">. pcDNA3.AR-V7 was constructed to mimic AR-Vs in CWR22rv cells. Exons 2–8 were excised from pcDNA3.AR using </w:t>
      </w:r>
      <w:r w:rsidRPr="004E32F1">
        <w:rPr>
          <w:rFonts w:ascii="Times New Roman" w:hAnsi="Times New Roman"/>
          <w:i/>
        </w:rPr>
        <w:t>Kpn</w:t>
      </w:r>
      <w:r w:rsidRPr="004E32F1">
        <w:rPr>
          <w:rFonts w:ascii="Times New Roman" w:hAnsi="Times New Roman"/>
        </w:rPr>
        <w:t xml:space="preserve">I and </w:t>
      </w:r>
      <w:r w:rsidRPr="004E32F1">
        <w:rPr>
          <w:rFonts w:ascii="Times New Roman" w:hAnsi="Times New Roman"/>
          <w:i/>
        </w:rPr>
        <w:t>Xba</w:t>
      </w:r>
      <w:r w:rsidRPr="004E32F1">
        <w:rPr>
          <w:rFonts w:ascii="Times New Roman" w:hAnsi="Times New Roman"/>
        </w:rPr>
        <w:t xml:space="preserve">I and then exons 2 and 3 and CE3 amplified from CWR22rv cDNA library were inserted. pcDNA3.FLAG-TR3 was constructed by inserting TR3 PCR fragment into the pcDNA3.FLAG expression vector within </w:t>
      </w:r>
      <w:r w:rsidRPr="004E32F1">
        <w:rPr>
          <w:rFonts w:ascii="Times New Roman" w:hAnsi="Times New Roman"/>
          <w:i/>
        </w:rPr>
        <w:t>Eco</w:t>
      </w:r>
      <w:r w:rsidRPr="004E32F1">
        <w:rPr>
          <w:rFonts w:ascii="Times New Roman" w:hAnsi="Times New Roman"/>
        </w:rPr>
        <w:t xml:space="preserve">RI and </w:t>
      </w:r>
      <w:r w:rsidRPr="004E32F1">
        <w:rPr>
          <w:rFonts w:ascii="Times New Roman" w:hAnsi="Times New Roman"/>
          <w:i/>
        </w:rPr>
        <w:t>Eco</w:t>
      </w:r>
      <w:r w:rsidRPr="004E32F1">
        <w:rPr>
          <w:rFonts w:ascii="Times New Roman" w:hAnsi="Times New Roman"/>
        </w:rPr>
        <w:t xml:space="preserve">RV sites. The primers for PCR to construct the expression vectors are listed in Supplementary Table S1. </w:t>
      </w:r>
    </w:p>
    <w:p w:rsidR="00C3604F" w:rsidRPr="004E32F1" w:rsidRDefault="00C3604F" w:rsidP="00904A3F">
      <w:pPr>
        <w:spacing w:after="100" w:line="360" w:lineRule="auto"/>
        <w:jc w:val="both"/>
        <w:rPr>
          <w:rFonts w:ascii="Times New Roman" w:hAnsi="Times New Roman"/>
          <w:sz w:val="28"/>
        </w:rPr>
      </w:pPr>
      <w:r w:rsidRPr="004E32F1">
        <w:rPr>
          <w:rFonts w:ascii="Times New Roman" w:hAnsi="Times New Roman"/>
          <w:sz w:val="28"/>
        </w:rPr>
        <w:t>Cell Transfection and Reporter Assays</w:t>
      </w:r>
    </w:p>
    <w:p w:rsidR="00904A3F" w:rsidRPr="004E32F1" w:rsidRDefault="00C3604F" w:rsidP="00904A3F">
      <w:pPr>
        <w:spacing w:line="360" w:lineRule="auto"/>
        <w:jc w:val="both"/>
        <w:rPr>
          <w:rFonts w:ascii="Times New Roman" w:hAnsi="Times New Roman"/>
        </w:rPr>
      </w:pPr>
      <w:r w:rsidRPr="004E32F1">
        <w:rPr>
          <w:rFonts w:ascii="Times New Roman" w:hAnsi="Times New Roman"/>
        </w:rPr>
        <w:t>Cells were transiently transfected with expression constructs or siRNAs, and a luciferase reporter construct together with pCMV-LacZ or pRSV-LacZ (Clontech) using lipofectamine 2000 reagent (Invitrogen, Carlsbad, CA) with minor modifications of manufacturer’s instruction. Transfected cells were starved in media containing 5% cFBS for 24 h before stimulating with androgen, growth factors, or antagonists. Cells were then lysed in luciferase lysis buffer [0.2M Tris-Cl (pH 8.0), 0.2% Triton X100, and 1% NP-40] at RT for 15min. Luciferase activity was then analyzed in Beetle Luciferin (Promega Co., Madison, Wisconsin, USA) using a Centro XS3 LB960 Luminometer (Berthold Technologies GmbH &amp; Co. KG, 75323 Bad Wildbad, Germany) and normalized to β-galactosidase activity read by Versa Max microplate reader (Molecular Devices, LLC., San Jose, CA). The duplet siRNA sequences for silencing study are listed in Supplementary Table S1.</w:t>
      </w:r>
      <w:r w:rsidR="00904A3F" w:rsidRPr="004E32F1">
        <w:rPr>
          <w:rFonts w:ascii="Times New Roman" w:hAnsi="Times New Roman"/>
        </w:rPr>
        <w:br w:type="page"/>
      </w:r>
    </w:p>
    <w:p w:rsidR="00C3604F" w:rsidRPr="004E32F1" w:rsidRDefault="00C3604F" w:rsidP="00904A3F">
      <w:pPr>
        <w:spacing w:line="360" w:lineRule="auto"/>
        <w:jc w:val="both"/>
        <w:rPr>
          <w:rFonts w:ascii="Times New Roman" w:hAnsi="Times New Roman"/>
          <w:sz w:val="28"/>
        </w:rPr>
      </w:pPr>
      <w:r w:rsidRPr="004E32F1">
        <w:rPr>
          <w:rFonts w:ascii="Times New Roman" w:hAnsi="Times New Roman"/>
          <w:sz w:val="28"/>
        </w:rPr>
        <w:lastRenderedPageBreak/>
        <w:t xml:space="preserve">RNA Isolation, RT-PCR and qPCR </w:t>
      </w:r>
    </w:p>
    <w:p w:rsidR="00C3604F" w:rsidRPr="004E32F1" w:rsidRDefault="00C3604F" w:rsidP="00904A3F">
      <w:pPr>
        <w:spacing w:line="360" w:lineRule="auto"/>
        <w:jc w:val="both"/>
        <w:rPr>
          <w:rFonts w:ascii="Times New Roman" w:hAnsi="Times New Roman"/>
        </w:rPr>
      </w:pPr>
      <w:r w:rsidRPr="004E32F1">
        <w:rPr>
          <w:rFonts w:ascii="Times New Roman" w:hAnsi="Times New Roman"/>
        </w:rPr>
        <w:t>Total RNA was isolated from prostate cancer cell samples by using TRI reagent® [Molecular Research Center (MRC), Inc. Cincinnati, OH]. Reverse transcription was performed using Oligo d(T)</w:t>
      </w:r>
      <w:r w:rsidRPr="004E32F1">
        <w:rPr>
          <w:rFonts w:ascii="Times New Roman" w:hAnsi="Times New Roman"/>
          <w:vertAlign w:val="subscript"/>
        </w:rPr>
        <w:t>15</w:t>
      </w:r>
      <w:r w:rsidRPr="004E32F1">
        <w:rPr>
          <w:rFonts w:ascii="Times New Roman" w:hAnsi="Times New Roman"/>
        </w:rPr>
        <w:t xml:space="preserve"> (ELPiS, Taejeon, Korea) and M-MLV Reverse transcriptase kit (Promega, </w:t>
      </w:r>
      <w:hyperlink r:id="rId14" w:history="1">
        <w:r w:rsidRPr="004E32F1">
          <w:rPr>
            <w:rFonts w:ascii="Times New Roman" w:hAnsi="Times New Roman"/>
          </w:rPr>
          <w:t xml:space="preserve"> Madison, Wisconsin, USA</w:t>
        </w:r>
      </w:hyperlink>
      <w:r w:rsidRPr="004E32F1">
        <w:rPr>
          <w:rFonts w:ascii="Times New Roman" w:hAnsi="Times New Roman"/>
        </w:rPr>
        <w:t>). The mRNA levels were analyzed by RT-PCR using Taq polymerase and quantified by qPCR using TOPreal</w:t>
      </w:r>
      <w:r w:rsidRPr="004E32F1">
        <w:rPr>
          <w:rFonts w:ascii="Times New Roman" w:hAnsi="Times New Roman"/>
          <w:vertAlign w:val="superscript"/>
        </w:rPr>
        <w:t>TM</w:t>
      </w:r>
      <w:r w:rsidRPr="004E32F1">
        <w:rPr>
          <w:rFonts w:ascii="Times New Roman" w:hAnsi="Times New Roman"/>
        </w:rPr>
        <w:t xml:space="preserve"> qPCR 2X preMIX (Enzynomics, Daejeon, Republic of Korea). The primer sequences for analysis of gene expression profile and alternative transcripts of ARs are listed in Supplementary Table </w:t>
      </w:r>
      <w:r w:rsidR="0040318A" w:rsidRPr="004E32F1">
        <w:rPr>
          <w:rFonts w:ascii="Times New Roman" w:hAnsi="Times New Roman"/>
        </w:rPr>
        <w:t>S1.</w:t>
      </w:r>
    </w:p>
    <w:p w:rsidR="00C3604F" w:rsidRPr="004E32F1" w:rsidRDefault="00C3604F" w:rsidP="00904A3F">
      <w:pPr>
        <w:spacing w:after="100" w:line="360" w:lineRule="auto"/>
        <w:jc w:val="both"/>
        <w:rPr>
          <w:rFonts w:ascii="Times New Roman" w:hAnsi="Times New Roman"/>
          <w:sz w:val="28"/>
        </w:rPr>
      </w:pPr>
      <w:r w:rsidRPr="004E32F1">
        <w:rPr>
          <w:rFonts w:ascii="Times New Roman" w:hAnsi="Times New Roman"/>
          <w:sz w:val="28"/>
        </w:rPr>
        <w:t>Western Blot Analysis</w:t>
      </w:r>
    </w:p>
    <w:p w:rsidR="00C3604F" w:rsidRPr="004E32F1" w:rsidRDefault="00C3604F" w:rsidP="00904A3F">
      <w:pPr>
        <w:spacing w:line="360" w:lineRule="auto"/>
        <w:jc w:val="both"/>
        <w:rPr>
          <w:rFonts w:ascii="Times New Roman" w:hAnsi="Times New Roman"/>
          <w:shd w:val="clear" w:color="auto" w:fill="FFFFFF"/>
        </w:rPr>
      </w:pPr>
      <w:r w:rsidRPr="004E32F1">
        <w:rPr>
          <w:rFonts w:ascii="Times New Roman" w:hAnsi="Times New Roman"/>
        </w:rPr>
        <w:t xml:space="preserve">Western blot assays were performed as previous described </w:t>
      </w:r>
      <w:r w:rsidRPr="004E32F1">
        <w:rPr>
          <w:rFonts w:ascii="Times New Roman" w:hAnsi="Times New Roman"/>
        </w:rPr>
        <w:fldChar w:fldCharType="begin"/>
      </w:r>
      <w:r w:rsidR="00C52E5A" w:rsidRPr="004E32F1">
        <w:rPr>
          <w:rFonts w:ascii="Times New Roman" w:hAnsi="Times New Roman"/>
        </w:rPr>
        <w:instrText xml:space="preserve"> ADDIN EN.CITE &lt;EndNote&gt;&lt;Cite&gt;&lt;Author&gt;Tran&lt;/Author&gt;&lt;Year&gt;2020&lt;/Year&gt;&lt;RecNum&gt;1269&lt;/RecNum&gt;&lt;DisplayText&gt;[1]&lt;/DisplayText&gt;&lt;record&gt;&lt;rec-number&gt;1269&lt;/rec-number&gt;&lt;foreign-keys&gt;&lt;key app="EN" db-id="ftf9w25pjwzxv0est975fawzxx9tpxrpas5a" timestamp="1610960535"&gt;1269&lt;/key&gt;&lt;/foreign-keys&gt;&lt;ref-type name="Journal Article"&gt;17&lt;/ref-type&gt;&lt;contributors&gt;&lt;authors&gt;&lt;author&gt;Tran, T. T.&lt;/author&gt;&lt;author&gt;Song, C. H.&lt;/author&gt;&lt;author&gt;Kim, K. J.&lt;/author&gt;&lt;author&gt;Lee, K.&lt;/author&gt;&lt;/authors&gt;&lt;/contributors&gt;&lt;auth-address&gt;School of Biological Sciences and Technology, Chonnam National University Gwangju, Korea.&lt;/auth-address&gt;&lt;titles&gt;&lt;title&gt;A new compound targets the AF-1 of androgen receptor and decreases its activity and protein levels in prostate cancer cells&lt;/title&gt;&lt;secondary-title&gt;Am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research&lt;/abbr-1&gt;&lt;/alt-periodical&gt;&lt;pages&gt;4607-4623&lt;/pages&gt;&lt;volume&gt;10&lt;/volume&gt;&lt;number&gt;12&lt;/number&gt;&lt;edition&gt;2021/01/09&lt;/edition&gt;&lt;keywords&gt;&lt;keyword&gt;Prostate cancer&lt;/keyword&gt;&lt;keyword&gt;androgen receptor&lt;/keyword&gt;&lt;keyword&gt;androgen-independent activity&lt;/keyword&gt;&lt;keyword&gt;protein degradation&lt;/keyword&gt;&lt;keyword&gt;splice variant&lt;/keyword&gt;&lt;/keywords&gt;&lt;dates&gt;&lt;year&gt;2020&lt;/year&gt;&lt;/dates&gt;&lt;isbn&gt;2156-6976 (Print)&amp;#xD;2156-6976&lt;/isbn&gt;&lt;accession-num&gt;33415022&lt;/accession-num&gt;&lt;urls&gt;&lt;/urls&gt;&lt;custom2&gt;PMC7783748&lt;/custom2&gt;&lt;remote-database-provider&gt;NLM&lt;/remote-database-provider&gt;&lt;language&gt;eng&lt;/language&gt;&lt;/record&gt;&lt;/Cite&gt;&lt;/EndNote&gt;</w:instrText>
      </w:r>
      <w:r w:rsidRPr="004E32F1">
        <w:rPr>
          <w:rFonts w:ascii="Times New Roman" w:hAnsi="Times New Roman"/>
        </w:rPr>
        <w:fldChar w:fldCharType="separate"/>
      </w:r>
      <w:r w:rsidR="00C52E5A" w:rsidRPr="004E32F1">
        <w:rPr>
          <w:rFonts w:ascii="Times New Roman" w:hAnsi="Times New Roman"/>
          <w:noProof/>
        </w:rPr>
        <w:t>[1]</w:t>
      </w:r>
      <w:r w:rsidRPr="004E32F1">
        <w:rPr>
          <w:rFonts w:ascii="Times New Roman" w:hAnsi="Times New Roman"/>
        </w:rPr>
        <w:fldChar w:fldCharType="end"/>
      </w:r>
      <w:r w:rsidRPr="004E32F1">
        <w:rPr>
          <w:rFonts w:ascii="Times New Roman" w:hAnsi="Times New Roman"/>
        </w:rPr>
        <w:t>.</w:t>
      </w:r>
      <w:r w:rsidRPr="004E32F1">
        <w:rPr>
          <w:rFonts w:ascii="Times New Roman" w:hAnsi="Times New Roman"/>
          <w:shd w:val="clear" w:color="auto" w:fill="FFFFFF"/>
        </w:rPr>
        <w:t xml:space="preserve"> Proteins were separated by SDS-PAGE, and then transferred onto a nitrocellulose blotting membrane (Amersham</w:t>
      </w:r>
      <w:r w:rsidRPr="004E32F1">
        <w:rPr>
          <w:rFonts w:ascii="Times New Roman" w:hAnsi="Times New Roman"/>
          <w:shd w:val="clear" w:color="auto" w:fill="FFFFFF"/>
          <w:vertAlign w:val="superscript"/>
        </w:rPr>
        <w:t>TM</w:t>
      </w:r>
      <w:r w:rsidRPr="004E32F1">
        <w:rPr>
          <w:rFonts w:ascii="Times New Roman" w:hAnsi="Times New Roman"/>
          <w:shd w:val="clear" w:color="auto" w:fill="FFFFFF"/>
        </w:rPr>
        <w:t xml:space="preserve"> Portran</w:t>
      </w:r>
      <w:r w:rsidRPr="004E32F1">
        <w:rPr>
          <w:rFonts w:ascii="Times New Roman" w:hAnsi="Times New Roman"/>
          <w:shd w:val="clear" w:color="auto" w:fill="FFFFFF"/>
          <w:vertAlign w:val="superscript"/>
        </w:rPr>
        <w:t>TM</w:t>
      </w:r>
      <w:r w:rsidRPr="004E32F1">
        <w:rPr>
          <w:rFonts w:ascii="Times New Roman" w:hAnsi="Times New Roman"/>
          <w:shd w:val="clear" w:color="auto" w:fill="FFFFFF"/>
        </w:rPr>
        <w:t xml:space="preserve"> Preminum 0.2 µM; GE healthcare, Little Chalfont, UK). The membrane was blocked, incubated with primary antibodies at 4oC overnight, and then incubated with secondary antibodies for 1 h. Band signals were visualized on X-ray films with ECLTM western blotting analysis system (GE Healthcare). The antibodies are listed in Supplementary Table S2.</w:t>
      </w:r>
    </w:p>
    <w:p w:rsidR="00C3604F" w:rsidRPr="004E32F1" w:rsidRDefault="00C3604F" w:rsidP="00904A3F">
      <w:pPr>
        <w:spacing w:after="100" w:line="360" w:lineRule="auto"/>
        <w:jc w:val="both"/>
        <w:rPr>
          <w:rFonts w:ascii="Times New Roman" w:hAnsi="Times New Roman"/>
          <w:sz w:val="28"/>
        </w:rPr>
      </w:pPr>
      <w:r w:rsidRPr="004E32F1">
        <w:rPr>
          <w:rFonts w:ascii="Times New Roman" w:hAnsi="Times New Roman"/>
          <w:sz w:val="28"/>
        </w:rPr>
        <w:t>CoImmunoprecipitation (Co-IP)</w:t>
      </w:r>
    </w:p>
    <w:p w:rsidR="00C3604F" w:rsidRPr="004E32F1" w:rsidRDefault="00C3604F" w:rsidP="00904A3F">
      <w:pPr>
        <w:spacing w:line="360" w:lineRule="auto"/>
        <w:jc w:val="both"/>
        <w:rPr>
          <w:rFonts w:ascii="Times New Roman" w:hAnsi="Times New Roman"/>
        </w:rPr>
      </w:pPr>
      <w:r w:rsidRPr="004E32F1">
        <w:rPr>
          <w:rFonts w:ascii="Times New Roman" w:hAnsi="Times New Roman"/>
        </w:rPr>
        <w:t xml:space="preserve">Co-IP assays were performed as previous described </w:t>
      </w:r>
      <w:r w:rsidRPr="004E32F1">
        <w:rPr>
          <w:rFonts w:ascii="Times New Roman" w:hAnsi="Times New Roman"/>
        </w:rPr>
        <w:fldChar w:fldCharType="begin"/>
      </w:r>
      <w:r w:rsidR="00C52E5A" w:rsidRPr="004E32F1">
        <w:rPr>
          <w:rFonts w:ascii="Times New Roman" w:hAnsi="Times New Roman"/>
        </w:rPr>
        <w:instrText xml:space="preserve"> ADDIN EN.CITE &lt;EndNote&gt;&lt;Cite&gt;&lt;Author&gt;Tran&lt;/Author&gt;&lt;Year&gt;2020&lt;/Year&gt;&lt;RecNum&gt;1269&lt;/RecNum&gt;&lt;DisplayText&gt;[1]&lt;/DisplayText&gt;&lt;record&gt;&lt;rec-number&gt;1269&lt;/rec-number&gt;&lt;foreign-keys&gt;&lt;key app="EN" db-id="ftf9w25pjwzxv0est975fawzxx9tpxrpas5a" timestamp="1610960535"&gt;1269&lt;/key&gt;&lt;/foreign-keys&gt;&lt;ref-type name="Journal Article"&gt;17&lt;/ref-type&gt;&lt;contributors&gt;&lt;authors&gt;&lt;author&gt;Tran, T. T.&lt;/author&gt;&lt;author&gt;Song, C. H.&lt;/author&gt;&lt;author&gt;Kim, K. J.&lt;/author&gt;&lt;author&gt;Lee, K.&lt;/author&gt;&lt;/authors&gt;&lt;/contributors&gt;&lt;auth-address&gt;School of Biological Sciences and Technology, Chonnam National University Gwangju, Korea.&lt;/auth-address&gt;&lt;titles&gt;&lt;title&gt;A new compound targets the AF-1 of androgen receptor and decreases its activity and protein levels in prostate cancer cells&lt;/title&gt;&lt;secondary-title&gt;Am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research&lt;/abbr-1&gt;&lt;/alt-periodical&gt;&lt;pages&gt;4607-4623&lt;/pages&gt;&lt;volume&gt;10&lt;/volume&gt;&lt;number&gt;12&lt;/number&gt;&lt;edition&gt;2021/01/09&lt;/edition&gt;&lt;keywords&gt;&lt;keyword&gt;Prostate cancer&lt;/keyword&gt;&lt;keyword&gt;androgen receptor&lt;/keyword&gt;&lt;keyword&gt;androgen-independent activity&lt;/keyword&gt;&lt;keyword&gt;protein degradation&lt;/keyword&gt;&lt;keyword&gt;splice variant&lt;/keyword&gt;&lt;/keywords&gt;&lt;dates&gt;&lt;year&gt;2020&lt;/year&gt;&lt;/dates&gt;&lt;isbn&gt;2156-6976 (Print)&amp;#xD;2156-6976&lt;/isbn&gt;&lt;accession-num&gt;33415022&lt;/accession-num&gt;&lt;urls&gt;&lt;/urls&gt;&lt;custom2&gt;PMC7783748&lt;/custom2&gt;&lt;remote-database-provider&gt;NLM&lt;/remote-database-provider&gt;&lt;language&gt;eng&lt;/language&gt;&lt;/record&gt;&lt;/Cite&gt;&lt;/EndNote&gt;</w:instrText>
      </w:r>
      <w:r w:rsidRPr="004E32F1">
        <w:rPr>
          <w:rFonts w:ascii="Times New Roman" w:hAnsi="Times New Roman"/>
        </w:rPr>
        <w:fldChar w:fldCharType="separate"/>
      </w:r>
      <w:r w:rsidR="00C52E5A" w:rsidRPr="004E32F1">
        <w:rPr>
          <w:rFonts w:ascii="Times New Roman" w:hAnsi="Times New Roman"/>
          <w:noProof/>
        </w:rPr>
        <w:t>[1]</w:t>
      </w:r>
      <w:r w:rsidRPr="004E32F1">
        <w:rPr>
          <w:rFonts w:ascii="Times New Roman" w:hAnsi="Times New Roman"/>
        </w:rPr>
        <w:fldChar w:fldCharType="end"/>
      </w:r>
      <w:r w:rsidRPr="004E32F1">
        <w:rPr>
          <w:rFonts w:ascii="Times New Roman" w:hAnsi="Times New Roman"/>
        </w:rPr>
        <w:t xml:space="preserve">. Cells were sonicated in 25 mM Tris-Cl (pH 8.0) buffer containing protease inhibitors. Supernatant was collected and then processed to Co-IP assays using protein A/G PLUS-Agarose beads (Santa Cruz Biotechnology, Dallas, Texas, USA) and anti-hnRNP A2B1, anti-hnRNP E1/E2, anti-HUR, anti-AR or anti-TR3 antibodies. Proteins were then detected by western blot analysis. </w:t>
      </w:r>
    </w:p>
    <w:p w:rsidR="00C3604F" w:rsidRPr="004E32F1" w:rsidRDefault="00C3604F" w:rsidP="00904A3F">
      <w:pPr>
        <w:spacing w:after="100" w:line="360" w:lineRule="auto"/>
        <w:jc w:val="both"/>
        <w:rPr>
          <w:rFonts w:ascii="Times New Roman" w:hAnsi="Times New Roman"/>
          <w:sz w:val="28"/>
        </w:rPr>
      </w:pPr>
      <w:r w:rsidRPr="004E32F1">
        <w:rPr>
          <w:rFonts w:ascii="Times New Roman" w:hAnsi="Times New Roman"/>
          <w:sz w:val="28"/>
        </w:rPr>
        <w:t>Chromatin Immunoprecipitation (ChIP)</w:t>
      </w:r>
    </w:p>
    <w:p w:rsidR="00904A3F" w:rsidRPr="004E32F1" w:rsidRDefault="00C3604F" w:rsidP="00904A3F">
      <w:pPr>
        <w:spacing w:line="360" w:lineRule="auto"/>
        <w:jc w:val="both"/>
        <w:rPr>
          <w:rFonts w:ascii="Times New Roman" w:hAnsi="Times New Roman"/>
        </w:rPr>
      </w:pPr>
      <w:r w:rsidRPr="004E32F1">
        <w:rPr>
          <w:rFonts w:ascii="Times New Roman" w:hAnsi="Times New Roman"/>
        </w:rPr>
        <w:t xml:space="preserve">Chromatin immunoprecipitation assay was performed as previously described </w:t>
      </w:r>
      <w:r w:rsidRPr="004E32F1">
        <w:rPr>
          <w:rFonts w:ascii="Times New Roman" w:hAnsi="Times New Roman"/>
        </w:rPr>
        <w:fldChar w:fldCharType="begin"/>
      </w:r>
      <w:r w:rsidR="00C52E5A" w:rsidRPr="004E32F1">
        <w:rPr>
          <w:rFonts w:ascii="Times New Roman" w:hAnsi="Times New Roman"/>
        </w:rPr>
        <w:instrText xml:space="preserve"> ADDIN EN.CITE &lt;EndNote&gt;&lt;Cite&gt;&lt;Author&gt;Tran&lt;/Author&gt;&lt;Year&gt;2020&lt;/Year&gt;&lt;RecNum&gt;1269&lt;/RecNum&gt;&lt;DisplayText&gt;[1]&lt;/DisplayText&gt;&lt;record&gt;&lt;rec-number&gt;1269&lt;/rec-number&gt;&lt;foreign-keys&gt;&lt;key app="EN" db-id="ftf9w25pjwzxv0est975fawzxx9tpxrpas5a" timestamp="1610960535"&gt;1269&lt;/key&gt;&lt;/foreign-keys&gt;&lt;ref-type name="Journal Article"&gt;17&lt;/ref-type&gt;&lt;contributors&gt;&lt;authors&gt;&lt;author&gt;Tran, T. T.&lt;/author&gt;&lt;author&gt;Song, C. H.&lt;/author&gt;&lt;author&gt;Kim, K. J.&lt;/author&gt;&lt;author&gt;Lee, K.&lt;/author&gt;&lt;/authors&gt;&lt;/contributors&gt;&lt;auth-address&gt;School of Biological Sciences and Technology, Chonnam National University Gwangju, Korea.&lt;/auth-address&gt;&lt;titles&gt;&lt;title&gt;A new compound targets the AF-1 of androgen receptor and decreases its activity and protein levels in prostate cancer cells&lt;/title&gt;&lt;secondary-title&gt;Am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research&lt;/abbr-1&gt;&lt;/alt-periodical&gt;&lt;pages&gt;4607-4623&lt;/pages&gt;&lt;volume&gt;10&lt;/volume&gt;&lt;number&gt;12&lt;/number&gt;&lt;edition&gt;2021/01/09&lt;/edition&gt;&lt;keywords&gt;&lt;keyword&gt;Prostate cancer&lt;/keyword&gt;&lt;keyword&gt;androgen receptor&lt;/keyword&gt;&lt;keyword&gt;androgen-independent activity&lt;/keyword&gt;&lt;keyword&gt;protein degradation&lt;/keyword&gt;&lt;keyword&gt;splice variant&lt;/keyword&gt;&lt;/keywords&gt;&lt;dates&gt;&lt;year&gt;2020&lt;/year&gt;&lt;/dates&gt;&lt;isbn&gt;2156-6976 (Print)&amp;#xD;2156-6976&lt;/isbn&gt;&lt;accession-num&gt;33415022&lt;/accession-num&gt;&lt;urls&gt;&lt;/urls&gt;&lt;custom2&gt;PMC7783748&lt;/custom2&gt;&lt;remote-database-provider&gt;NLM&lt;/remote-database-provider&gt;&lt;language&gt;eng&lt;/language&gt;&lt;/record&gt;&lt;/Cite&gt;&lt;/EndNote&gt;</w:instrText>
      </w:r>
      <w:r w:rsidRPr="004E32F1">
        <w:rPr>
          <w:rFonts w:ascii="Times New Roman" w:hAnsi="Times New Roman"/>
        </w:rPr>
        <w:fldChar w:fldCharType="separate"/>
      </w:r>
      <w:r w:rsidR="00C52E5A" w:rsidRPr="004E32F1">
        <w:rPr>
          <w:rFonts w:ascii="Times New Roman" w:hAnsi="Times New Roman"/>
          <w:noProof/>
        </w:rPr>
        <w:t>[1]</w:t>
      </w:r>
      <w:r w:rsidRPr="004E32F1">
        <w:rPr>
          <w:rFonts w:ascii="Times New Roman" w:hAnsi="Times New Roman"/>
        </w:rPr>
        <w:fldChar w:fldCharType="end"/>
      </w:r>
      <w:r w:rsidRPr="004E32F1">
        <w:rPr>
          <w:rFonts w:ascii="Times New Roman" w:hAnsi="Times New Roman"/>
        </w:rPr>
        <w:t xml:space="preserve">. ChIP assays were performed using CWR22rv cells infected with AdTR3 or Ad-Ctrl. Recruitment of TR3 protein to putative TR3 binding sites within the promoter and intron regions of AR gene (P and A–C regions) was determined by ChIP assays using anti-TR3 antibody. Changes in TR3 enrichment at putative TR3 binding sites (P, A, B, and C) were examined using PCR. The loading control (Ctrl) was </w:t>
      </w:r>
      <w:r w:rsidRPr="004E32F1">
        <w:rPr>
          <w:rFonts w:ascii="Times New Roman" w:hAnsi="Times New Roman"/>
          <w:i/>
        </w:rPr>
        <w:t>β</w:t>
      </w:r>
      <w:r w:rsidRPr="004E32F1">
        <w:rPr>
          <w:rFonts w:ascii="Times New Roman" w:hAnsi="Times New Roman"/>
        </w:rPr>
        <w:t>-actin. The primers for ChIP</w:t>
      </w:r>
      <w:r w:rsidR="008C00D8" w:rsidRPr="004E32F1">
        <w:rPr>
          <w:rFonts w:ascii="Times New Roman" w:hAnsi="Times New Roman"/>
        </w:rPr>
        <w:t xml:space="preserve"> assay</w:t>
      </w:r>
      <w:r w:rsidRPr="004E32F1">
        <w:rPr>
          <w:rFonts w:ascii="Times New Roman" w:hAnsi="Times New Roman"/>
        </w:rPr>
        <w:t xml:space="preserve"> are listed in Table S1. </w:t>
      </w:r>
      <w:r w:rsidR="00904A3F" w:rsidRPr="004E32F1">
        <w:rPr>
          <w:rFonts w:ascii="Times New Roman" w:hAnsi="Times New Roman"/>
        </w:rPr>
        <w:br w:type="page"/>
      </w:r>
    </w:p>
    <w:p w:rsidR="00C3604F" w:rsidRPr="004E32F1" w:rsidRDefault="00C3604F" w:rsidP="00904A3F">
      <w:pPr>
        <w:spacing w:after="100" w:line="360" w:lineRule="auto"/>
        <w:jc w:val="both"/>
        <w:rPr>
          <w:rFonts w:ascii="Times New Roman" w:hAnsi="Times New Roman"/>
          <w:sz w:val="28"/>
        </w:rPr>
      </w:pPr>
      <w:r w:rsidRPr="004E32F1">
        <w:rPr>
          <w:rFonts w:ascii="Times New Roman" w:hAnsi="Times New Roman"/>
          <w:sz w:val="28"/>
        </w:rPr>
        <w:lastRenderedPageBreak/>
        <w:t>Generation of TR3-overexpressing adenoviral (AdTR3) constructs</w:t>
      </w:r>
    </w:p>
    <w:p w:rsidR="00C3604F" w:rsidRPr="004E32F1" w:rsidRDefault="00C3604F" w:rsidP="00904A3F">
      <w:pPr>
        <w:spacing w:line="360" w:lineRule="auto"/>
        <w:jc w:val="both"/>
        <w:rPr>
          <w:rFonts w:ascii="Times New Roman" w:hAnsi="Times New Roman"/>
        </w:rPr>
      </w:pPr>
      <w:r w:rsidRPr="004E32F1">
        <w:rPr>
          <w:rFonts w:ascii="Times New Roman" w:hAnsi="Times New Roman"/>
          <w:sz w:val="24"/>
        </w:rPr>
        <w:t xml:space="preserve">TR3-overexpressing adenovirus (AdTR3) </w:t>
      </w:r>
      <w:r w:rsidRPr="004E32F1">
        <w:rPr>
          <w:rFonts w:ascii="Times New Roman" w:hAnsi="Times New Roman"/>
        </w:rPr>
        <w:t xml:space="preserve">was generated as previously described </w:t>
      </w:r>
      <w:r w:rsidRPr="004E32F1">
        <w:rPr>
          <w:rFonts w:ascii="Times New Roman" w:hAnsi="Times New Roman"/>
        </w:rPr>
        <w:fldChar w:fldCharType="begin"/>
      </w:r>
      <w:r w:rsidR="00C52E5A" w:rsidRPr="004E32F1">
        <w:rPr>
          <w:rFonts w:ascii="Times New Roman" w:hAnsi="Times New Roman"/>
        </w:rPr>
        <w:instrText xml:space="preserve"> ADDIN EN.CITE &lt;EndNote&gt;&lt;Cite&gt;&lt;Author&gt;inyong Luo&lt;/Author&gt;&lt;Year&gt;2007&lt;/Year&gt;&lt;RecNum&gt;1&lt;/RecNum&gt;&lt;DisplayText&gt;[2]&lt;/DisplayText&gt;&lt;record&gt;&lt;rec-number&gt;1&lt;/rec-number&gt;&lt;foreign-keys&gt;&lt;key app="EN" db-id="ftf9w25pjwzxv0est975fawzxx9tpxrpas5a" timestamp="1536225974"&gt;1&lt;/key&gt;&lt;key app="ENWeb" db-id=""&gt;0&lt;/key&gt;&lt;/foreign-keys&gt;&lt;ref-type name="Journal Article"&gt;17&lt;/ref-type&gt;&lt;contributors&gt;&lt;authors&gt;&lt;author&gt;Jinyong Luo, ZhongLiang Deng, Xiaoji Luo, Ni Tang, WenXin Song, Jin Chen, Katie A Sharff, Hue H Luu, Rex C Haydon, Kenneth W Kinzler, Bert Vogelstein and TongChuan He&lt;/author&gt;&lt;/authors&gt;&lt;/contributors&gt;&lt;titles&gt;&lt;title&gt;A protocol for rapid generation of recombinant adenoviruses using the AdEasy system&lt;/title&gt;&lt;secondary-title&gt;Nature Protocols&lt;/secondary-title&gt;&lt;/titles&gt;&lt;periodical&gt;&lt;full-title&gt;Nature Protocols&lt;/full-title&gt;&lt;/periodical&gt;&lt;pages&gt;1236-1247&lt;/pages&gt;&lt;volume&gt;2&lt;/volume&gt;&lt;dates&gt;&lt;year&gt;2007&lt;/year&gt;&lt;/dates&gt;&lt;urls&gt;&lt;/urls&gt;&lt;electronic-resource-num&gt;10.1038/nprot.2007.135&lt;/electronic-resource-num&gt;&lt;/record&gt;&lt;/Cite&gt;&lt;/EndNote&gt;</w:instrText>
      </w:r>
      <w:r w:rsidRPr="004E32F1">
        <w:rPr>
          <w:rFonts w:ascii="Times New Roman" w:hAnsi="Times New Roman"/>
        </w:rPr>
        <w:fldChar w:fldCharType="separate"/>
      </w:r>
      <w:r w:rsidR="00C52E5A" w:rsidRPr="004E32F1">
        <w:rPr>
          <w:rFonts w:ascii="Times New Roman" w:hAnsi="Times New Roman"/>
          <w:noProof/>
        </w:rPr>
        <w:t>[2]</w:t>
      </w:r>
      <w:r w:rsidRPr="004E32F1">
        <w:rPr>
          <w:rFonts w:ascii="Times New Roman" w:hAnsi="Times New Roman"/>
        </w:rPr>
        <w:fldChar w:fldCharType="end"/>
      </w:r>
      <w:r w:rsidRPr="004E32F1">
        <w:rPr>
          <w:rFonts w:ascii="Times New Roman" w:hAnsi="Times New Roman"/>
        </w:rPr>
        <w:t xml:space="preserve">. FLAG-TR3 fragment was excised from pcDNA3.FLAG-TR3 using </w:t>
      </w:r>
      <w:r w:rsidRPr="004E32F1">
        <w:rPr>
          <w:rFonts w:ascii="Times New Roman" w:hAnsi="Times New Roman"/>
          <w:i/>
        </w:rPr>
        <w:t>Kpn</w:t>
      </w:r>
      <w:r w:rsidRPr="004E32F1">
        <w:rPr>
          <w:rFonts w:ascii="Times New Roman" w:hAnsi="Times New Roman"/>
        </w:rPr>
        <w:t xml:space="preserve">I and </w:t>
      </w:r>
      <w:r w:rsidRPr="004E32F1">
        <w:rPr>
          <w:rFonts w:ascii="Times New Roman" w:hAnsi="Times New Roman"/>
          <w:i/>
        </w:rPr>
        <w:t>Xho</w:t>
      </w:r>
      <w:r w:rsidRPr="004E32F1">
        <w:rPr>
          <w:rFonts w:ascii="Times New Roman" w:hAnsi="Times New Roman"/>
        </w:rPr>
        <w:t xml:space="preserve">I and inserted into pAdTrack-CMV within </w:t>
      </w:r>
      <w:r w:rsidRPr="004E32F1">
        <w:rPr>
          <w:rFonts w:ascii="Times New Roman" w:hAnsi="Times New Roman"/>
          <w:i/>
        </w:rPr>
        <w:t>Kpn</w:t>
      </w:r>
      <w:r w:rsidRPr="004E32F1">
        <w:rPr>
          <w:rFonts w:ascii="Times New Roman" w:hAnsi="Times New Roman"/>
        </w:rPr>
        <w:t xml:space="preserve">I and </w:t>
      </w:r>
      <w:r w:rsidRPr="004E32F1">
        <w:rPr>
          <w:rFonts w:ascii="Times New Roman" w:hAnsi="Times New Roman"/>
          <w:i/>
        </w:rPr>
        <w:t>Xho</w:t>
      </w:r>
      <w:r w:rsidRPr="004E32F1">
        <w:rPr>
          <w:rFonts w:ascii="Times New Roman" w:hAnsi="Times New Roman"/>
        </w:rPr>
        <w:t xml:space="preserve">I sites to generate pAdTrack-CMV.FLAG-TR3. To generate the stable homologous recombinant adenovirus, purified </w:t>
      </w:r>
      <w:r w:rsidRPr="004E32F1">
        <w:rPr>
          <w:rFonts w:ascii="Times New Roman" w:hAnsi="Times New Roman"/>
          <w:i/>
        </w:rPr>
        <w:t>Pme</w:t>
      </w:r>
      <w:r w:rsidRPr="004E32F1">
        <w:rPr>
          <w:rFonts w:ascii="Times New Roman" w:hAnsi="Times New Roman"/>
        </w:rPr>
        <w:t xml:space="preserve">I-linearized pAdTrack-CMV.FLAG-TR3 was introduced into BJ5183 bacterial cells harboring the supercoiled backbone vector (AdEasy-1 cells). The recombinant adenoviral construct was screened using </w:t>
      </w:r>
      <w:r w:rsidRPr="004E32F1">
        <w:rPr>
          <w:rFonts w:ascii="Times New Roman" w:hAnsi="Times New Roman"/>
          <w:i/>
        </w:rPr>
        <w:t>Pac</w:t>
      </w:r>
      <w:r w:rsidRPr="004E32F1">
        <w:rPr>
          <w:rFonts w:ascii="Times New Roman" w:hAnsi="Times New Roman"/>
        </w:rPr>
        <w:t xml:space="preserve">I digestion and then transiently transfected into recombinant adenovirus E1-expressing HEK-293 (Ad293) cells (Agilent Technologies, Inc., Santa Clara, CA 95051, USA) to generate the first virus generation (AdTR3). Viruses were further amplified and purified for infection experiments. </w:t>
      </w:r>
    </w:p>
    <w:p w:rsidR="00C3604F" w:rsidRPr="004E32F1" w:rsidRDefault="00C3604F" w:rsidP="00904A3F">
      <w:pPr>
        <w:spacing w:after="100" w:line="360" w:lineRule="auto"/>
        <w:jc w:val="both"/>
        <w:rPr>
          <w:rFonts w:ascii="Times New Roman" w:hAnsi="Times New Roman"/>
          <w:sz w:val="28"/>
        </w:rPr>
      </w:pPr>
      <w:r w:rsidRPr="004E32F1">
        <w:rPr>
          <w:rFonts w:ascii="Times New Roman" w:hAnsi="Times New Roman"/>
          <w:sz w:val="28"/>
        </w:rPr>
        <w:t>Subcellular localization</w:t>
      </w:r>
    </w:p>
    <w:p w:rsidR="00C3604F" w:rsidRPr="004E32F1" w:rsidRDefault="00C3604F" w:rsidP="00904A3F">
      <w:pPr>
        <w:spacing w:line="360" w:lineRule="auto"/>
        <w:jc w:val="both"/>
        <w:rPr>
          <w:rFonts w:ascii="Times New Roman" w:hAnsi="Times New Roman"/>
        </w:rPr>
      </w:pPr>
      <w:r w:rsidRPr="004E32F1">
        <w:rPr>
          <w:rFonts w:ascii="Times New Roman" w:hAnsi="Times New Roman"/>
        </w:rPr>
        <w:t xml:space="preserve">HEK 293T cells were transiently transfected with GFP-AR-FL or GFP-AR-NTD, with or without TR3, for 12 h. The cells were fixed using 3.7% paraformaldehyde in PBS, blocked with BSA, incubated with primary mouse anti-TR3 antibodies overnight at 4 °C, and then incubated with secondary goat anti-mouse </w:t>
      </w:r>
      <w:r w:rsidRPr="004E32F1">
        <w:rPr>
          <w:rFonts w:ascii="Times New Roman" w:hAnsi="Times New Roman"/>
          <w:bCs/>
        </w:rPr>
        <w:t>Alexa Fluor568</w:t>
      </w:r>
      <w:r w:rsidRPr="004E32F1">
        <w:rPr>
          <w:rFonts w:ascii="Times New Roman" w:hAnsi="Times New Roman"/>
        </w:rPr>
        <w:t xml:space="preserve">. Nuclei were stained using TOPRO-3. Subcellular localizations of ARs (green GFP signal) and TR3 (red </w:t>
      </w:r>
      <w:r w:rsidRPr="004E32F1">
        <w:rPr>
          <w:rFonts w:ascii="Times New Roman" w:hAnsi="Times New Roman"/>
          <w:bCs/>
        </w:rPr>
        <w:t xml:space="preserve">Alexa Fluor568 signal) </w:t>
      </w:r>
      <w:r w:rsidRPr="004E32F1">
        <w:rPr>
          <w:rFonts w:ascii="Times New Roman" w:hAnsi="Times New Roman"/>
        </w:rPr>
        <w:t xml:space="preserve">were analyzed using a Nikon A1 laser-scanning Leica TCS SPE confocal microscope equipped with an ACS APO </w:t>
      </w:r>
      <w:bookmarkStart w:id="2" w:name="_Hlk38291737"/>
      <w:r w:rsidRPr="004E32F1">
        <w:rPr>
          <w:rFonts w:ascii="Times New Roman" w:eastAsia="JansonText-Roman" w:hAnsi="Times New Roman"/>
        </w:rPr>
        <w:t>×</w:t>
      </w:r>
      <w:bookmarkEnd w:id="2"/>
      <w:r w:rsidRPr="004E32F1">
        <w:rPr>
          <w:rFonts w:ascii="Times New Roman" w:hAnsi="Times New Roman"/>
        </w:rPr>
        <w:t>63/1.30 numerical aperture immersion objective. Images were analyzed using the ImageJ software (</w:t>
      </w:r>
      <w:hyperlink r:id="rId15" w:history="1">
        <w:r w:rsidRPr="004E32F1">
          <w:rPr>
            <w:rStyle w:val="Hyperlink"/>
            <w:rFonts w:ascii="Times New Roman" w:hAnsi="Times New Roman"/>
            <w:color w:val="auto"/>
          </w:rPr>
          <w:t>http://imagej.nih.gov/ij</w:t>
        </w:r>
      </w:hyperlink>
      <w:r w:rsidRPr="004E32F1">
        <w:rPr>
          <w:rFonts w:ascii="Times New Roman" w:hAnsi="Times New Roman"/>
        </w:rPr>
        <w:t>, ImageJ 1.46r, Wayne Rasband, National Institutes of Health, USA).</w:t>
      </w:r>
    </w:p>
    <w:p w:rsidR="00D4050F" w:rsidRPr="004E32F1" w:rsidRDefault="00D4050F" w:rsidP="00904A3F">
      <w:pPr>
        <w:spacing w:after="100" w:line="360" w:lineRule="auto"/>
        <w:jc w:val="both"/>
        <w:rPr>
          <w:rFonts w:ascii="Times New Roman" w:hAnsi="Times New Roman"/>
          <w:sz w:val="28"/>
        </w:rPr>
      </w:pPr>
      <w:r w:rsidRPr="004E32F1">
        <w:rPr>
          <w:rFonts w:ascii="Times New Roman" w:hAnsi="Times New Roman"/>
          <w:sz w:val="28"/>
        </w:rPr>
        <w:t>Protein purification</w:t>
      </w:r>
    </w:p>
    <w:p w:rsidR="00D4050F" w:rsidRPr="004E32F1" w:rsidRDefault="00D4050F" w:rsidP="00904A3F">
      <w:pPr>
        <w:spacing w:line="360" w:lineRule="auto"/>
        <w:jc w:val="both"/>
        <w:rPr>
          <w:rFonts w:ascii="Times New Roman" w:hAnsi="Times New Roman"/>
        </w:rPr>
      </w:pPr>
      <w:r w:rsidRPr="004E32F1">
        <w:rPr>
          <w:rFonts w:ascii="Times New Roman" w:hAnsi="Times New Roman"/>
        </w:rPr>
        <w:t xml:space="preserve">HEK 293T cells were infected with AdTR3 for 24 h and harvested for the purification of TR3 and splicing factors (hnRNP A2B1, hnRNP E1/E2, and HUB/HUR). Proteins were purified through two-step gradient anion-cation exchange chromatography. The purity of eluted fractions was examined using Coomassie Brilliant Blue R-250 staining following separation using SDS-PAGE. The fractions containing TR3 or each splicing factor (hnRNP A2B1, hnRNP E1/E2, and HUB/HUR) were confirmed through western blot analysis and then used in </w:t>
      </w:r>
      <w:r w:rsidRPr="004E32F1">
        <w:rPr>
          <w:rFonts w:ascii="Times New Roman" w:hAnsi="Times New Roman"/>
          <w:i/>
        </w:rPr>
        <w:t xml:space="preserve">in vitro </w:t>
      </w:r>
      <w:r w:rsidRPr="004E32F1">
        <w:rPr>
          <w:rFonts w:ascii="Times New Roman" w:hAnsi="Times New Roman"/>
        </w:rPr>
        <w:t>RNA-protein interaction assays.</w:t>
      </w:r>
    </w:p>
    <w:p w:rsidR="00C3604F" w:rsidRPr="004E32F1" w:rsidRDefault="00C3604F" w:rsidP="00904A3F">
      <w:pPr>
        <w:spacing w:after="100" w:line="360" w:lineRule="auto"/>
        <w:jc w:val="both"/>
        <w:rPr>
          <w:rFonts w:ascii="Times New Roman" w:hAnsi="Times New Roman"/>
          <w:sz w:val="28"/>
        </w:rPr>
      </w:pPr>
      <w:r w:rsidRPr="004E32F1">
        <w:rPr>
          <w:rFonts w:ascii="Times New Roman" w:hAnsi="Times New Roman"/>
          <w:sz w:val="28"/>
        </w:rPr>
        <w:t>Cell proliferation and mobility assays</w:t>
      </w:r>
    </w:p>
    <w:p w:rsidR="00C3604F" w:rsidRPr="004E32F1" w:rsidRDefault="00C3604F" w:rsidP="00904A3F">
      <w:pPr>
        <w:spacing w:after="100" w:line="360" w:lineRule="auto"/>
        <w:jc w:val="both"/>
        <w:rPr>
          <w:rFonts w:ascii="Times New Roman" w:hAnsi="Times New Roman"/>
        </w:rPr>
      </w:pPr>
      <w:r w:rsidRPr="004E32F1">
        <w:rPr>
          <w:rFonts w:ascii="Times New Roman" w:hAnsi="Times New Roman"/>
        </w:rPr>
        <w:t xml:space="preserve">For cell proliferation assays, cells were transfected with expression constructs or siRNA, or infected with adenovirus. After 12 h starvation, cells were treated with 1 nM DHT, 100 ng/ml IL6, or 50 </w:t>
      </w:r>
      <w:r w:rsidRPr="004E32F1">
        <w:rPr>
          <w:rFonts w:ascii="Times New Roman" w:hAnsi="Times New Roman"/>
          <w:i/>
        </w:rPr>
        <w:t>µ</w:t>
      </w:r>
      <w:r w:rsidRPr="004E32F1">
        <w:rPr>
          <w:rFonts w:ascii="Times New Roman" w:hAnsi="Times New Roman"/>
        </w:rPr>
        <w:t xml:space="preserve">M FSK for 24-72 h. The medium was replaced each day using fresh media containing inducers. The percent cell growth </w:t>
      </w:r>
      <w:r w:rsidRPr="004E32F1">
        <w:rPr>
          <w:rFonts w:ascii="Times New Roman" w:hAnsi="Times New Roman"/>
        </w:rPr>
        <w:lastRenderedPageBreak/>
        <w:t xml:space="preserve">and cell numbers were obtained using MTS assays, which were measured using a microplate reader system at λ of 490 nm. </w:t>
      </w:r>
    </w:p>
    <w:p w:rsidR="00C3604F" w:rsidRPr="004E32F1" w:rsidRDefault="00C3604F" w:rsidP="00904A3F">
      <w:pPr>
        <w:spacing w:after="100" w:line="360" w:lineRule="auto"/>
        <w:jc w:val="both"/>
        <w:rPr>
          <w:rFonts w:ascii="Times New Roman" w:hAnsi="Times New Roman"/>
        </w:rPr>
      </w:pPr>
      <w:r w:rsidRPr="004E32F1">
        <w:rPr>
          <w:rFonts w:ascii="Times New Roman" w:hAnsi="Times New Roman"/>
        </w:rPr>
        <w:t>For cell viability assays, CWR22rv cells were infected with AdTR3 or AdCtrl, or transfected with siTR3 or siCtrl. Cells were maintained for 24 h, seeded on coverslips (10</w:t>
      </w:r>
      <w:r w:rsidRPr="004E32F1">
        <w:rPr>
          <w:rFonts w:ascii="Times New Roman" w:hAnsi="Times New Roman"/>
          <w:vertAlign w:val="superscript"/>
        </w:rPr>
        <w:t>4</w:t>
      </w:r>
      <w:r w:rsidRPr="004E32F1">
        <w:rPr>
          <w:rFonts w:ascii="Times New Roman" w:hAnsi="Times New Roman"/>
        </w:rPr>
        <w:t xml:space="preserve"> cells per well) for 24–72 h, and then processed for cell viability assays. Three random fields of 0.5% crystal violet-stained cells were imaged using ZEISS microscopy at 20X magnification and average cell numbers per field were plotted using Graphpad Prism 5. </w:t>
      </w:r>
    </w:p>
    <w:p w:rsidR="00C3604F" w:rsidRPr="004E32F1" w:rsidRDefault="00C3604F" w:rsidP="00904A3F">
      <w:pPr>
        <w:spacing w:after="100" w:line="360" w:lineRule="auto"/>
        <w:jc w:val="both"/>
        <w:rPr>
          <w:rFonts w:ascii="Times New Roman" w:hAnsi="Times New Roman"/>
        </w:rPr>
      </w:pPr>
      <w:r w:rsidRPr="004E32F1">
        <w:rPr>
          <w:rFonts w:ascii="Times New Roman" w:hAnsi="Times New Roman"/>
        </w:rPr>
        <w:t>For cell migration assays, CWR22rv cells were infected with AdTR3 or AdCtrl, or transfected with siTR3 or siCtrl. Cells were maintained for 24 h and then seeded in 12-well plates (16 x 10</w:t>
      </w:r>
      <w:r w:rsidRPr="004E32F1">
        <w:rPr>
          <w:rFonts w:ascii="Times New Roman" w:hAnsi="Times New Roman"/>
          <w:vertAlign w:val="superscript"/>
        </w:rPr>
        <w:t>4</w:t>
      </w:r>
      <w:r w:rsidRPr="004E32F1">
        <w:rPr>
          <w:rFonts w:ascii="Times New Roman" w:hAnsi="Times New Roman"/>
        </w:rPr>
        <w:t xml:space="preserve"> cells per well). The scratch wounds were generated when cell confluence reached 70%. The floating cells were removed through replacement with fresh medium. The scratch spaces were monitored and imaged daily.</w:t>
      </w:r>
    </w:p>
    <w:p w:rsidR="00C3604F" w:rsidRPr="004E32F1" w:rsidRDefault="00C3604F" w:rsidP="00904A3F">
      <w:pPr>
        <w:spacing w:line="360" w:lineRule="auto"/>
        <w:jc w:val="both"/>
        <w:rPr>
          <w:rFonts w:ascii="Times New Roman" w:hAnsi="Times New Roman"/>
        </w:rPr>
      </w:pPr>
      <w:r w:rsidRPr="004E32F1">
        <w:rPr>
          <w:rFonts w:ascii="Times New Roman" w:hAnsi="Times New Roman"/>
        </w:rPr>
        <w:t>For cell invasion, TR3-overexpressing or -silenced CWR22rv cells were seeded onto a 24-well Costar chamber comprising a 8-</w:t>
      </w:r>
      <w:r w:rsidRPr="004E32F1">
        <w:rPr>
          <w:rFonts w:ascii="Times New Roman" w:hAnsi="Times New Roman"/>
          <w:i/>
        </w:rPr>
        <w:t>µ</w:t>
      </w:r>
      <w:r w:rsidRPr="004E32F1">
        <w:rPr>
          <w:rFonts w:ascii="Times New Roman" w:hAnsi="Times New Roman"/>
        </w:rPr>
        <w:t>m polycarbonate membrane, which was precoated with 20% phenol red-free Matrix gel (8×10</w:t>
      </w:r>
      <w:r w:rsidRPr="004E32F1">
        <w:rPr>
          <w:rFonts w:ascii="Times New Roman" w:hAnsi="Times New Roman"/>
          <w:vertAlign w:val="superscript"/>
        </w:rPr>
        <w:t>4</w:t>
      </w:r>
      <w:r w:rsidRPr="004E32F1">
        <w:rPr>
          <w:rFonts w:ascii="Times New Roman" w:hAnsi="Times New Roman"/>
        </w:rPr>
        <w:t xml:space="preserve"> cells per well), and then allowed to grow and invade for 48 h. Cells were then stained using 0.5% crystal violet. Cells on the inner side of the chamber were gently removed by scraping with a cotton swab and rinsed several times with PBS to remove excess dye. Three random fields of stained cells were imaged using ZEISS microscopy at 20X magnification, and the average cell numbers per field were plotted in Graphpad Prism 5.</w:t>
      </w:r>
    </w:p>
    <w:p w:rsidR="00C3604F" w:rsidRPr="004E32F1" w:rsidRDefault="00D4050F" w:rsidP="00904A3F">
      <w:pPr>
        <w:spacing w:after="0" w:line="360" w:lineRule="auto"/>
        <w:jc w:val="both"/>
        <w:rPr>
          <w:rFonts w:ascii="Times New Roman" w:hAnsi="Times New Roman"/>
          <w:b/>
          <w:sz w:val="28"/>
        </w:rPr>
      </w:pPr>
      <w:r w:rsidRPr="004E32F1">
        <w:rPr>
          <w:rFonts w:ascii="Times New Roman" w:hAnsi="Times New Roman"/>
          <w:b/>
          <w:sz w:val="28"/>
        </w:rPr>
        <w:t>Supplementary reference</w:t>
      </w:r>
      <w:r w:rsidR="00EE0654" w:rsidRPr="004E32F1">
        <w:rPr>
          <w:rFonts w:ascii="Times New Roman" w:hAnsi="Times New Roman"/>
          <w:b/>
          <w:sz w:val="28"/>
        </w:rPr>
        <w:t>s</w:t>
      </w:r>
    </w:p>
    <w:p w:rsidR="00C52E5A" w:rsidRPr="004E32F1" w:rsidRDefault="00C3604F" w:rsidP="00904A3F">
      <w:pPr>
        <w:pStyle w:val="EndNoteBibliography"/>
        <w:spacing w:after="0" w:line="360" w:lineRule="auto"/>
        <w:rPr>
          <w:rFonts w:ascii="Times New Roman" w:hAnsi="Times New Roman" w:cs="Times New Roman"/>
        </w:rPr>
      </w:pPr>
      <w:r w:rsidRPr="004E32F1">
        <w:rPr>
          <w:rFonts w:ascii="Times New Roman" w:hAnsi="Times New Roman" w:cs="Times New Roman"/>
          <w:b/>
        </w:rPr>
        <w:fldChar w:fldCharType="begin"/>
      </w:r>
      <w:r w:rsidRPr="004E32F1">
        <w:rPr>
          <w:rFonts w:ascii="Times New Roman" w:hAnsi="Times New Roman" w:cs="Times New Roman"/>
          <w:b/>
        </w:rPr>
        <w:instrText xml:space="preserve"> ADDIN EN.REFLIST </w:instrText>
      </w:r>
      <w:r w:rsidRPr="004E32F1">
        <w:rPr>
          <w:rFonts w:ascii="Times New Roman" w:hAnsi="Times New Roman" w:cs="Times New Roman"/>
          <w:b/>
        </w:rPr>
        <w:fldChar w:fldCharType="separate"/>
      </w:r>
      <w:r w:rsidR="00C52E5A" w:rsidRPr="004E32F1">
        <w:rPr>
          <w:rFonts w:ascii="Times New Roman" w:hAnsi="Times New Roman" w:cs="Times New Roman"/>
        </w:rPr>
        <w:t>[1] T.T. Tran, C.H. Song, K.J. Kim, K. Lee, A new compound targets the AF-1 of androgen receptor and decreases its activity and protein levels in prostate cancer cells, American journal of cancer research, 10 (2020) 4607-4623.</w:t>
      </w:r>
    </w:p>
    <w:p w:rsidR="00FA3CBC" w:rsidRPr="004E32F1" w:rsidRDefault="00C52E5A" w:rsidP="00904A3F">
      <w:pPr>
        <w:pStyle w:val="EndNoteBibliography"/>
        <w:spacing w:line="360" w:lineRule="auto"/>
        <w:rPr>
          <w:rFonts w:ascii="Times New Roman" w:hAnsi="Times New Roman" w:cs="Times New Roman"/>
          <w:b/>
        </w:rPr>
      </w:pPr>
      <w:r w:rsidRPr="004E32F1">
        <w:rPr>
          <w:rFonts w:ascii="Times New Roman" w:hAnsi="Times New Roman" w:cs="Times New Roman"/>
        </w:rPr>
        <w:t>[2] Z.D. Jinyong Luo, Xiaoji Luo, Ni Tang, WenXin Song, Jin Chen, Katie A Sharff, Hue H Luu, Rex C Haydon, Kenneth W Kinzler, Bert Vogelstein and TongChuan He, A protocol for rapid generation of recombinant adenoviruses using the AdEasy system, Nature Protocols, 2 (2007) 1236-1247.</w:t>
      </w:r>
      <w:r w:rsidR="00C3604F" w:rsidRPr="004E32F1">
        <w:rPr>
          <w:rFonts w:ascii="Times New Roman" w:hAnsi="Times New Roman" w:cs="Times New Roman"/>
          <w:b/>
        </w:rPr>
        <w:fldChar w:fldCharType="end"/>
      </w:r>
      <w:bookmarkStart w:id="3" w:name="_GoBack"/>
      <w:bookmarkEnd w:id="3"/>
    </w:p>
    <w:sectPr w:rsidR="00FA3CBC" w:rsidRPr="004E32F1" w:rsidSect="006107D3">
      <w:footerReference w:type="defaul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984" w:rsidRDefault="00CC1984">
      <w:pPr>
        <w:spacing w:after="0" w:line="240" w:lineRule="auto"/>
      </w:pPr>
      <w:r>
        <w:separator/>
      </w:r>
    </w:p>
  </w:endnote>
  <w:endnote w:type="continuationSeparator" w:id="0">
    <w:p w:rsidR="00CC1984" w:rsidRDefault="00CC1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JansonText-Roman">
    <w:altName w:val="Yu Gothic UI"/>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830016"/>
      <w:docPartObj>
        <w:docPartGallery w:val="Page Numbers (Bottom of Page)"/>
        <w:docPartUnique/>
      </w:docPartObj>
    </w:sdtPr>
    <w:sdtEndPr/>
    <w:sdtContent>
      <w:p w:rsidR="00E7179A" w:rsidRPr="00762323" w:rsidRDefault="00BC7897">
        <w:pPr>
          <w:pStyle w:val="Footer"/>
          <w:jc w:val="center"/>
        </w:pPr>
        <w:r w:rsidRPr="00762323">
          <w:fldChar w:fldCharType="begin"/>
        </w:r>
        <w:r w:rsidRPr="00762323">
          <w:instrText xml:space="preserve"> PAGE   \* MERGEFORMAT </w:instrText>
        </w:r>
        <w:r w:rsidRPr="00762323">
          <w:fldChar w:fldCharType="separate"/>
        </w:r>
        <w:r w:rsidR="004E32F1">
          <w:rPr>
            <w:noProof/>
          </w:rPr>
          <w:t>1</w:t>
        </w:r>
        <w:r w:rsidRPr="00762323">
          <w:fldChar w:fldCharType="end"/>
        </w:r>
      </w:p>
    </w:sdtContent>
  </w:sdt>
  <w:p w:rsidR="00E7179A" w:rsidRPr="00762323" w:rsidRDefault="00CC1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984" w:rsidRDefault="00CC1984">
      <w:pPr>
        <w:spacing w:after="0" w:line="240" w:lineRule="auto"/>
      </w:pPr>
      <w:r>
        <w:separator/>
      </w:r>
    </w:p>
  </w:footnote>
  <w:footnote w:type="continuationSeparator" w:id="0">
    <w:p w:rsidR="00CC1984" w:rsidRDefault="00CC19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Lett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f9w25pjwzxv0est975fawzxx9tpxrpas5a&quot;&gt;My EndNote Library-201809 PCa Reg factors Copy&lt;record-ids&gt;&lt;item&gt;1&lt;/item&gt;&lt;item&gt;1269&lt;/item&gt;&lt;/record-ids&gt;&lt;/item&gt;&lt;/Libraries&gt;"/>
  </w:docVars>
  <w:rsids>
    <w:rsidRoot w:val="00BC7897"/>
    <w:rsid w:val="00046D14"/>
    <w:rsid w:val="00077802"/>
    <w:rsid w:val="00077BB4"/>
    <w:rsid w:val="00081304"/>
    <w:rsid w:val="000A5743"/>
    <w:rsid w:val="000D10E2"/>
    <w:rsid w:val="00133040"/>
    <w:rsid w:val="00147272"/>
    <w:rsid w:val="00164830"/>
    <w:rsid w:val="0019309E"/>
    <w:rsid w:val="0019414F"/>
    <w:rsid w:val="001F057E"/>
    <w:rsid w:val="00237C5A"/>
    <w:rsid w:val="00247A80"/>
    <w:rsid w:val="00293D85"/>
    <w:rsid w:val="002F054E"/>
    <w:rsid w:val="00355FF5"/>
    <w:rsid w:val="00393A31"/>
    <w:rsid w:val="003D70B8"/>
    <w:rsid w:val="003F1748"/>
    <w:rsid w:val="003F42F6"/>
    <w:rsid w:val="0040318A"/>
    <w:rsid w:val="00446C32"/>
    <w:rsid w:val="00484B7D"/>
    <w:rsid w:val="004E2108"/>
    <w:rsid w:val="004E32F1"/>
    <w:rsid w:val="005444B3"/>
    <w:rsid w:val="00550D2E"/>
    <w:rsid w:val="00572A31"/>
    <w:rsid w:val="005735C5"/>
    <w:rsid w:val="00582D5D"/>
    <w:rsid w:val="005D6C80"/>
    <w:rsid w:val="0061164E"/>
    <w:rsid w:val="00667EA3"/>
    <w:rsid w:val="00677795"/>
    <w:rsid w:val="00692E77"/>
    <w:rsid w:val="006A2B16"/>
    <w:rsid w:val="006B4E88"/>
    <w:rsid w:val="006F3A65"/>
    <w:rsid w:val="006F4CFB"/>
    <w:rsid w:val="006F5624"/>
    <w:rsid w:val="00701BD2"/>
    <w:rsid w:val="007230D2"/>
    <w:rsid w:val="00741963"/>
    <w:rsid w:val="007B289C"/>
    <w:rsid w:val="007B7314"/>
    <w:rsid w:val="008316BD"/>
    <w:rsid w:val="008513D2"/>
    <w:rsid w:val="00864A42"/>
    <w:rsid w:val="00870D2F"/>
    <w:rsid w:val="008C00D8"/>
    <w:rsid w:val="008C6FE9"/>
    <w:rsid w:val="00904A3F"/>
    <w:rsid w:val="009321D3"/>
    <w:rsid w:val="009E6781"/>
    <w:rsid w:val="009F24D8"/>
    <w:rsid w:val="00A1747F"/>
    <w:rsid w:val="00A37B40"/>
    <w:rsid w:val="00A61ABC"/>
    <w:rsid w:val="00A9578B"/>
    <w:rsid w:val="00AE2FB1"/>
    <w:rsid w:val="00AE740A"/>
    <w:rsid w:val="00AF5880"/>
    <w:rsid w:val="00B2564F"/>
    <w:rsid w:val="00B57C5B"/>
    <w:rsid w:val="00B6514C"/>
    <w:rsid w:val="00B83642"/>
    <w:rsid w:val="00B93882"/>
    <w:rsid w:val="00B9452E"/>
    <w:rsid w:val="00BB58E9"/>
    <w:rsid w:val="00BC7897"/>
    <w:rsid w:val="00BD55F7"/>
    <w:rsid w:val="00BF1543"/>
    <w:rsid w:val="00BF497F"/>
    <w:rsid w:val="00C14BAD"/>
    <w:rsid w:val="00C26E4E"/>
    <w:rsid w:val="00C3604F"/>
    <w:rsid w:val="00C52E5A"/>
    <w:rsid w:val="00C57CE9"/>
    <w:rsid w:val="00C759BD"/>
    <w:rsid w:val="00C8454A"/>
    <w:rsid w:val="00CB7AAF"/>
    <w:rsid w:val="00CC1984"/>
    <w:rsid w:val="00D11186"/>
    <w:rsid w:val="00D15066"/>
    <w:rsid w:val="00D4050F"/>
    <w:rsid w:val="00DA07EB"/>
    <w:rsid w:val="00DD11CD"/>
    <w:rsid w:val="00DF5679"/>
    <w:rsid w:val="00E10044"/>
    <w:rsid w:val="00E47CF4"/>
    <w:rsid w:val="00EE0654"/>
    <w:rsid w:val="00F40164"/>
    <w:rsid w:val="00F42E35"/>
    <w:rsid w:val="00F4605F"/>
    <w:rsid w:val="00F77F3A"/>
    <w:rsid w:val="00FA3C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0B2E4-E215-4074-BC26-BA3F3545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164"/>
    <w:pPr>
      <w:spacing w:after="200" w:line="276" w:lineRule="auto"/>
    </w:pPr>
    <w:rPr>
      <w:rFonts w:ascii="Calibri" w:eastAsia="Malgun Gothic"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BC7897"/>
    <w:pPr>
      <w:spacing w:line="240" w:lineRule="auto"/>
      <w:jc w:val="both"/>
    </w:pPr>
    <w:rPr>
      <w:rFonts w:cs="Calibri"/>
      <w:noProof/>
    </w:rPr>
  </w:style>
  <w:style w:type="character" w:customStyle="1" w:styleId="EndNoteBibliographyChar">
    <w:name w:val="EndNote Bibliography Char"/>
    <w:link w:val="EndNoteBibliography"/>
    <w:rsid w:val="00BC7897"/>
    <w:rPr>
      <w:rFonts w:ascii="Calibri" w:eastAsia="Malgun Gothic" w:hAnsi="Calibri" w:cs="Calibri"/>
      <w:noProof/>
      <w:lang w:eastAsia="en-US"/>
    </w:rPr>
  </w:style>
  <w:style w:type="character" w:styleId="Hyperlink">
    <w:name w:val="Hyperlink"/>
    <w:uiPriority w:val="99"/>
    <w:unhideWhenUsed/>
    <w:rsid w:val="00BC7897"/>
    <w:rPr>
      <w:color w:val="0000FF"/>
      <w:u w:val="single"/>
    </w:rPr>
  </w:style>
  <w:style w:type="table" w:styleId="TableGrid">
    <w:name w:val="Table Grid"/>
    <w:basedOn w:val="TableNormal"/>
    <w:uiPriority w:val="59"/>
    <w:rsid w:val="00BC7897"/>
    <w:pPr>
      <w:spacing w:after="0" w:line="240" w:lineRule="auto"/>
    </w:pPr>
    <w:rPr>
      <w:rFonts w:ascii="Calibri" w:eastAsia="Malgun Gothic" w:hAnsi="Calibri" w:cs="Times New Roman"/>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style>
  <w:style w:type="paragraph" w:styleId="Footer">
    <w:name w:val="footer"/>
    <w:basedOn w:val="Normal"/>
    <w:link w:val="FooterChar"/>
    <w:uiPriority w:val="99"/>
    <w:unhideWhenUsed/>
    <w:rsid w:val="00BC7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897"/>
    <w:rPr>
      <w:rFonts w:ascii="Calibri" w:eastAsia="Malgun Gothic" w:hAnsi="Calibri" w:cs="Times New Roman"/>
      <w:lang w:eastAsia="en-US"/>
    </w:rPr>
  </w:style>
  <w:style w:type="character" w:styleId="LineNumber">
    <w:name w:val="line number"/>
    <w:basedOn w:val="DefaultParagraphFont"/>
    <w:uiPriority w:val="99"/>
    <w:semiHidden/>
    <w:unhideWhenUsed/>
    <w:rsid w:val="00BC7897"/>
  </w:style>
  <w:style w:type="paragraph" w:customStyle="1" w:styleId="EndNoteBibliographyTitle">
    <w:name w:val="EndNote Bibliography Title"/>
    <w:basedOn w:val="Normal"/>
    <w:link w:val="EndNoteBibliographyTitleChar"/>
    <w:rsid w:val="00046D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046D14"/>
    <w:rPr>
      <w:rFonts w:ascii="Calibri" w:eastAsia="Malgun Gothic" w:hAnsi="Calibri" w:cs="Calibri"/>
      <w:noProof/>
      <w:lang w:eastAsia="en-US"/>
    </w:rPr>
  </w:style>
  <w:style w:type="paragraph" w:styleId="ListParagraph">
    <w:name w:val="List Paragraph"/>
    <w:basedOn w:val="Normal"/>
    <w:uiPriority w:val="34"/>
    <w:qFormat/>
    <w:rsid w:val="00C36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hyperlink" Target="http://imagej.nih.gov/ij" TargetMode="Externa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google.com/search?sxsrf=ALeKk003Tb5rEARHYsaWF5RkyWvVdk0mdw:1616406675104&amp;q=Madison,+Wisconsin&amp;stick=H4sIAAAAAAAAAOPgE-LUz9U3MKswKilR4gAx08qNKrW0spOt9POL0hPzMqsSSzLz81A4VhmpiSmFpYlFJalFxYtYhXwTUzKL8_N0FMIzi5Pz84oz83awMgIARRb-T1sAAAA&amp;sa=X&amp;ved=2ahUKEwjn_rmN0MPvAhUTE4gKHePWBNQQmxMoATAlegQIGh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663C6-96FE-43A7-910F-841DC25C3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12</Pages>
  <Words>3588</Words>
  <Characters>20456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TUYEN</dc:creator>
  <cp:keywords/>
  <dc:description/>
  <cp:lastModifiedBy>TRAN TUYEN</cp:lastModifiedBy>
  <cp:revision>76</cp:revision>
  <dcterms:created xsi:type="dcterms:W3CDTF">2021-03-09T02:05:00Z</dcterms:created>
  <dcterms:modified xsi:type="dcterms:W3CDTF">2021-04-20T03:52:00Z</dcterms:modified>
</cp:coreProperties>
</file>