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6DD14" w14:textId="77777777" w:rsidR="00F82628" w:rsidRDefault="00F82628" w:rsidP="00F82628">
      <w:pPr>
        <w:pStyle w:val="Heading1"/>
      </w:pPr>
      <w:r w:rsidRPr="00B4232A">
        <w:t xml:space="preserve">Supplementary </w:t>
      </w:r>
      <w:r>
        <w:t>methods</w:t>
      </w:r>
    </w:p>
    <w:p w14:paraId="59CC12F8" w14:textId="77777777" w:rsidR="00F82628" w:rsidRDefault="00F82628" w:rsidP="00F82628">
      <w:pPr>
        <w:rPr>
          <w:i/>
          <w:iCs/>
          <w:u w:val="single"/>
        </w:rPr>
      </w:pPr>
      <w:r>
        <w:rPr>
          <w:i/>
          <w:iCs/>
          <w:u w:val="single"/>
        </w:rPr>
        <w:t>Co-localization of CERTs and APP/</w:t>
      </w:r>
      <w:r w:rsidRPr="004A2EA7">
        <w:rPr>
          <w:rFonts w:cs="Arial"/>
          <w:i/>
          <w:iCs/>
          <w:u w:val="single"/>
        </w:rPr>
        <w:t>A</w:t>
      </w:r>
      <w:r w:rsidRPr="004B10E5">
        <w:rPr>
          <w:rFonts w:cs="Arial"/>
          <w:i/>
          <w:iCs/>
          <w:u w:val="single"/>
        </w:rPr>
        <w:t>β</w:t>
      </w:r>
      <w:r>
        <w:rPr>
          <w:i/>
          <w:iCs/>
          <w:u w:val="single"/>
        </w:rPr>
        <w:t xml:space="preserve"> in 5xFAD brain</w:t>
      </w:r>
    </w:p>
    <w:p w14:paraId="0500919C" w14:textId="77777777" w:rsidR="00F82628" w:rsidRPr="004B10E5" w:rsidRDefault="00F82628" w:rsidP="00F82628">
      <w:r w:rsidRPr="004A2EA7">
        <w:rPr>
          <w:iCs/>
        </w:rPr>
        <w:t xml:space="preserve">Immunofluorescent staining was performed in 10 </w:t>
      </w:r>
      <w:r w:rsidRPr="004A2EA7">
        <w:rPr>
          <w:rFonts w:cs="Arial"/>
          <w:iCs/>
        </w:rPr>
        <w:t>µ</w:t>
      </w:r>
      <w:r w:rsidRPr="004A2EA7">
        <w:rPr>
          <w:iCs/>
        </w:rPr>
        <w:t xml:space="preserve">m thin sagittal brain section of </w:t>
      </w:r>
      <w:r>
        <w:rPr>
          <w:iCs/>
        </w:rPr>
        <w:t xml:space="preserve">3 months old males </w:t>
      </w:r>
      <w:r w:rsidRPr="004A2EA7">
        <w:rPr>
          <w:iCs/>
        </w:rPr>
        <w:t xml:space="preserve">5xFAD. </w:t>
      </w:r>
      <w:r>
        <w:t>T</w:t>
      </w:r>
      <w:r w:rsidRPr="004A2EA7">
        <w:rPr>
          <w:rFonts w:hint="eastAsia"/>
        </w:rPr>
        <w:t>he sections were fixed with acetone 10 min</w:t>
      </w:r>
      <w:r w:rsidRPr="004A2EA7">
        <w:t>utes</w:t>
      </w:r>
      <w:r>
        <w:t xml:space="preserve">, </w:t>
      </w:r>
      <w:r w:rsidRPr="004A2EA7">
        <w:rPr>
          <w:rFonts w:hint="eastAsia"/>
        </w:rPr>
        <w:t xml:space="preserve">blocked with 3% </w:t>
      </w:r>
      <w:r>
        <w:t>BSA</w:t>
      </w:r>
      <w:r w:rsidRPr="004A2EA7">
        <w:rPr>
          <w:rFonts w:hint="eastAsia"/>
        </w:rPr>
        <w:t xml:space="preserve"> for 1h</w:t>
      </w:r>
      <w:r>
        <w:t xml:space="preserve"> and incubated </w:t>
      </w:r>
      <w:r w:rsidRPr="004A2EA7">
        <w:rPr>
          <w:rFonts w:hint="eastAsia"/>
        </w:rPr>
        <w:t xml:space="preserve">overnight at 4 </w:t>
      </w:r>
      <w:r w:rsidRPr="004A2EA7">
        <w:rPr>
          <w:vertAlign w:val="superscript"/>
        </w:rPr>
        <w:t>o</w:t>
      </w:r>
      <w:r w:rsidRPr="004A2EA7">
        <w:t>C</w:t>
      </w:r>
      <w:r>
        <w:t xml:space="preserve"> with </w:t>
      </w:r>
      <w:r w:rsidRPr="004A2EA7">
        <w:rPr>
          <w:rFonts w:hint="eastAsia"/>
        </w:rPr>
        <w:t>rabbit polyclonal anti-CERT</w:t>
      </w:r>
      <w:r w:rsidRPr="004A2EA7">
        <w:rPr>
          <w:sz w:val="13"/>
          <w:szCs w:val="16"/>
        </w:rPr>
        <w:t>S</w:t>
      </w:r>
      <w:r w:rsidRPr="004A2EA7">
        <w:rPr>
          <w:rFonts w:hint="eastAsia"/>
        </w:rPr>
        <w:t xml:space="preserve"> (epitope 300-350, Bethyl Laboratories) diluted 1:</w:t>
      </w:r>
      <w:r>
        <w:t>50</w:t>
      </w:r>
      <w:r w:rsidRPr="004A2EA7">
        <w:rPr>
          <w:rFonts w:hint="eastAsia"/>
        </w:rPr>
        <w:t>0</w:t>
      </w:r>
      <w:r>
        <w:t xml:space="preserve"> and anti </w:t>
      </w:r>
      <w:r w:rsidRPr="00903BB0">
        <w:rPr>
          <w:iCs/>
        </w:rPr>
        <w:t>APP/</w:t>
      </w:r>
      <w:r w:rsidRPr="00903BB0">
        <w:rPr>
          <w:rFonts w:cs="Arial"/>
          <w:iCs/>
        </w:rPr>
        <w:t>Aβ</w:t>
      </w:r>
      <w:r>
        <w:t xml:space="preserve"> (clone 6E10 Covance) </w:t>
      </w:r>
      <w:r w:rsidRPr="004A2EA7">
        <w:rPr>
          <w:rFonts w:hint="eastAsia"/>
        </w:rPr>
        <w:t>diluted 1:</w:t>
      </w:r>
      <w:r>
        <w:t>50</w:t>
      </w:r>
      <w:r w:rsidRPr="004A2EA7">
        <w:rPr>
          <w:rFonts w:hint="eastAsia"/>
        </w:rPr>
        <w:t xml:space="preserve">0. </w:t>
      </w:r>
      <w:r>
        <w:t>Next day s</w:t>
      </w:r>
      <w:r w:rsidRPr="004A2EA7">
        <w:rPr>
          <w:rFonts w:hint="eastAsia"/>
        </w:rPr>
        <w:t xml:space="preserve">ections were washed 3 times and the corresponding secondary </w:t>
      </w:r>
      <w:r>
        <w:t>antibodies conjugated to</w:t>
      </w:r>
      <w:r w:rsidRPr="004A2EA7">
        <w:rPr>
          <w:rFonts w:hint="eastAsia"/>
        </w:rPr>
        <w:t xml:space="preserve"> </w:t>
      </w:r>
      <w:r>
        <w:t xml:space="preserve">Cy2 or Cy3 </w:t>
      </w:r>
      <w:r w:rsidRPr="004A2EA7">
        <w:rPr>
          <w:rFonts w:hint="eastAsia"/>
        </w:rPr>
        <w:t>(1:</w:t>
      </w:r>
      <w:r>
        <w:t>5</w:t>
      </w:r>
      <w:r w:rsidRPr="004A2EA7">
        <w:rPr>
          <w:rFonts w:hint="eastAsia"/>
        </w:rPr>
        <w:t>00) w</w:t>
      </w:r>
      <w:r>
        <w:t>ere</w:t>
      </w:r>
      <w:r w:rsidRPr="004A2EA7">
        <w:rPr>
          <w:rFonts w:hint="eastAsia"/>
        </w:rPr>
        <w:t xml:space="preserve"> applied for 1h at RT. </w:t>
      </w:r>
      <w:r>
        <w:t xml:space="preserve">After washing, the </w:t>
      </w:r>
      <w:r w:rsidRPr="008E0BB0">
        <w:t>NeuroTrace 640/660</w:t>
      </w:r>
      <w:r>
        <w:t xml:space="preserve"> (ThermoFisher) was used following manufacturer instruction. Hoechst staining was performed for nuclei visualization. </w:t>
      </w:r>
      <w:r w:rsidRPr="004A2EA7">
        <w:rPr>
          <w:rFonts w:hint="eastAsia"/>
        </w:rPr>
        <w:t>The slices were mounted</w:t>
      </w:r>
      <w:r>
        <w:t xml:space="preserve"> with 80% glycerol and imaged</w:t>
      </w:r>
      <w:r w:rsidRPr="004B10E5">
        <w:t xml:space="preserve">. </w:t>
      </w:r>
    </w:p>
    <w:p w14:paraId="01DEB52A" w14:textId="77777777" w:rsidR="00F82628" w:rsidRPr="004A2EA7" w:rsidRDefault="00F82628" w:rsidP="00F82628">
      <w:pPr>
        <w:rPr>
          <w:i/>
          <w:iCs/>
          <w:u w:val="single"/>
        </w:rPr>
      </w:pPr>
      <w:r w:rsidRPr="004A2EA7">
        <w:rPr>
          <w:i/>
          <w:iCs/>
          <w:u w:val="single"/>
        </w:rPr>
        <w:t>Lipidomics in CERT</w:t>
      </w:r>
      <w:r w:rsidRPr="004A2EA7">
        <w:rPr>
          <w:i/>
          <w:iCs/>
          <w:u w:val="single"/>
          <w:vertAlign w:val="subscript"/>
        </w:rPr>
        <w:t>L</w:t>
      </w:r>
      <w:r w:rsidRPr="004A2EA7">
        <w:rPr>
          <w:i/>
          <w:iCs/>
          <w:u w:val="single"/>
        </w:rPr>
        <w:t xml:space="preserve"> transfected neuroblastoma cells </w:t>
      </w:r>
    </w:p>
    <w:p w14:paraId="57D8B52B" w14:textId="77777777" w:rsidR="00F82628" w:rsidRPr="00341076" w:rsidRDefault="00F82628" w:rsidP="00F82628">
      <w:r w:rsidRPr="00D11072">
        <w:rPr>
          <w:rFonts w:cs="Arial"/>
        </w:rPr>
        <w:t>Neuro-2a (N2a)</w:t>
      </w:r>
      <w:r>
        <w:rPr>
          <w:rFonts w:cs="Arial"/>
        </w:rPr>
        <w:t xml:space="preserve"> obtained from ATCC (CCL-131™)</w:t>
      </w:r>
      <w:r w:rsidRPr="00341076">
        <w:t>were cultured in DMEM supplemented with fetal bovine serum (FBS), Pen/Strep</w:t>
      </w:r>
      <w:r>
        <w:t>,</w:t>
      </w:r>
      <w:r w:rsidRPr="00341076">
        <w:t xml:space="preserve"> and L-glutamine. Cells were seeded in </w:t>
      </w:r>
      <w:r>
        <w:t>7</w:t>
      </w:r>
      <w:r w:rsidRPr="00341076">
        <w:t xml:space="preserve">5 cm2 flasks and maintained in complete DMEM for 24 hours prior </w:t>
      </w:r>
      <w:r>
        <w:t>to</w:t>
      </w:r>
      <w:r w:rsidRPr="00341076">
        <w:t xml:space="preserve"> the transfection. Cells were transfected with </w:t>
      </w:r>
      <w:r>
        <w:t>2</w:t>
      </w:r>
      <w:r w:rsidRPr="00341076">
        <w:t xml:space="preserve"> µg </w:t>
      </w:r>
      <w:r>
        <w:t>p</w:t>
      </w:r>
      <w:r w:rsidRPr="00341076">
        <w:t>cDNA3.1</w:t>
      </w:r>
      <w:r>
        <w:t>-</w:t>
      </w:r>
      <w:r w:rsidRPr="00341076">
        <w:t>CERT</w:t>
      </w:r>
      <w:r w:rsidRPr="009C35E2">
        <w:rPr>
          <w:vertAlign w:val="subscript"/>
        </w:rPr>
        <w:t>L</w:t>
      </w:r>
      <w:r w:rsidRPr="00341076">
        <w:t xml:space="preserve"> (NM_005713.3) by </w:t>
      </w:r>
      <w:r>
        <w:t xml:space="preserve">Effectene Reagent </w:t>
      </w:r>
      <w:r w:rsidRPr="00341076">
        <w:t xml:space="preserve"> (</w:t>
      </w:r>
      <w:r>
        <w:t>Qiagen</w:t>
      </w:r>
      <w:r w:rsidRPr="00341076">
        <w:t xml:space="preserve">) following the manufacturer’s instructions. Cells transfected with </w:t>
      </w:r>
      <w:r>
        <w:t>2</w:t>
      </w:r>
      <w:r w:rsidRPr="00341076">
        <w:t xml:space="preserve"> µg </w:t>
      </w:r>
      <w:r>
        <w:t>of plasmid expressing GFP</w:t>
      </w:r>
      <w:r w:rsidRPr="00341076">
        <w:t xml:space="preserve"> were used as control. After </w:t>
      </w:r>
      <w:r>
        <w:t>48</w:t>
      </w:r>
      <w:r w:rsidRPr="00341076">
        <w:t xml:space="preserve"> hours, cells were washed three times with PBS, trypsinized</w:t>
      </w:r>
      <w:r>
        <w:t>,</w:t>
      </w:r>
      <w:r w:rsidRPr="00341076">
        <w:t xml:space="preserve"> and centrifuged at </w:t>
      </w:r>
      <w:r>
        <w:t>3</w:t>
      </w:r>
      <w:r w:rsidRPr="00341076">
        <w:t xml:space="preserve">00 x g for 5 min. Pellet was stored at -80 before the lipid analysis. </w:t>
      </w:r>
      <w:r>
        <w:t>Sphingolipid analysis was performed as explained in Material and Methods section.</w:t>
      </w:r>
    </w:p>
    <w:p w14:paraId="2FAB1335" w14:textId="77777777" w:rsidR="00F82628" w:rsidRDefault="00F82628" w:rsidP="00F82628">
      <w:pPr>
        <w:rPr>
          <w:rFonts w:cs="Arial"/>
        </w:rPr>
      </w:pPr>
      <w:r w:rsidRPr="004C7AC8">
        <w:rPr>
          <w:rStyle w:val="SubtitleChar"/>
        </w:rPr>
        <w:t xml:space="preserve">Far </w:t>
      </w:r>
      <w:r>
        <w:rPr>
          <w:rStyle w:val="SubtitleChar"/>
        </w:rPr>
        <w:t>W</w:t>
      </w:r>
      <w:r w:rsidRPr="004C7AC8">
        <w:rPr>
          <w:rStyle w:val="SubtitleChar"/>
        </w:rPr>
        <w:t>estern blot</w:t>
      </w:r>
      <w:r>
        <w:rPr>
          <w:rFonts w:cs="Arial"/>
        </w:rPr>
        <w:t xml:space="preserve"> </w:t>
      </w:r>
    </w:p>
    <w:p w14:paraId="510CA7E7" w14:textId="77777777" w:rsidR="00F82628" w:rsidRDefault="00F82628" w:rsidP="00F82628">
      <w:pPr>
        <w:rPr>
          <w:rFonts w:cs="Arial"/>
        </w:rPr>
      </w:pPr>
      <w:r>
        <w:rPr>
          <w:rFonts w:cs="Arial"/>
        </w:rPr>
        <w:t>For Far Western experiments, human recombinant CERT</w:t>
      </w:r>
      <w:r w:rsidRPr="00322BDC">
        <w:rPr>
          <w:rFonts w:cs="Arial"/>
          <w:vertAlign w:val="subscript"/>
        </w:rPr>
        <w:t>L</w:t>
      </w:r>
      <w:r>
        <w:rPr>
          <w:rFonts w:cs="Arial"/>
        </w:rPr>
        <w:t xml:space="preserve"> </w:t>
      </w:r>
      <w:r w:rsidRPr="00FA7E65">
        <w:rPr>
          <w:rFonts w:cs="Arial"/>
        </w:rPr>
        <w:t>(hCERT</w:t>
      </w:r>
      <w:r w:rsidRPr="00A40406">
        <w:rPr>
          <w:rFonts w:cs="Arial"/>
          <w:vertAlign w:val="subscript"/>
        </w:rPr>
        <w:t>L</w:t>
      </w:r>
      <w:r w:rsidRPr="00FA7E65">
        <w:rPr>
          <w:rFonts w:cs="Arial"/>
        </w:rPr>
        <w:t>, 1875bp NP_005704.1)</w:t>
      </w:r>
      <w:r>
        <w:rPr>
          <w:rFonts w:cs="Arial"/>
        </w:rPr>
        <w:t xml:space="preserve"> (80ng), produced as previously described </w:t>
      </w:r>
      <w:r>
        <w:rPr>
          <w:rFonts w:cs="Arial"/>
        </w:rPr>
        <w:fldChar w:fldCharType="begin">
          <w:fldData xml:space="preserve">PEVuZE5vdGU+PENpdGU+PEF1dGhvcj5NZW5jYXJlbGxpPC9BdXRob3I+PFllYXI+MjAxMjwvWWVh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==
</w:fldData>
        </w:fldChar>
      </w:r>
      <w:r>
        <w:rPr>
          <w:rFonts w:cs="Arial"/>
        </w:rPr>
        <w:instrText xml:space="preserve"> ADDIN EN.CITE </w:instrText>
      </w:r>
      <w:r>
        <w:rPr>
          <w:rFonts w:cs="Arial"/>
        </w:rPr>
        <w:fldChar w:fldCharType="begin">
          <w:fldData xml:space="preserve">PEVuZE5vdGU+PENpdGU+PEF1dGhvcj5NZW5jYXJlbGxpPC9BdXRob3I+PFllYXI+MjAxMjwvWWVh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==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Pr>
          <w:rFonts w:cs="Arial"/>
          <w:noProof/>
        </w:rPr>
        <w:t>(</w:t>
      </w:r>
      <w:hyperlink w:anchor="_ENREF_29" w:tooltip="Mencarelli, 2012 #24" w:history="1">
        <w:r>
          <w:rPr>
            <w:rFonts w:cs="Arial"/>
            <w:noProof/>
          </w:rPr>
          <w:t>29</w:t>
        </w:r>
      </w:hyperlink>
      <w:r>
        <w:rPr>
          <w:rFonts w:cs="Arial"/>
          <w:noProof/>
        </w:rPr>
        <w:t>)</w:t>
      </w:r>
      <w:r>
        <w:rPr>
          <w:rFonts w:cs="Arial"/>
        </w:rPr>
        <w:fldChar w:fldCharType="end"/>
      </w:r>
      <w:r>
        <w:rPr>
          <w:rFonts w:cs="Arial"/>
        </w:rPr>
        <w:t>, and A</w:t>
      </w:r>
      <w:r>
        <w:rPr>
          <w:rFonts w:ascii="Calibri" w:hAnsi="Calibri" w:cs="Calibri"/>
        </w:rPr>
        <w:t>β</w:t>
      </w:r>
      <w:r>
        <w:rPr>
          <w:rFonts w:cs="Arial"/>
        </w:rPr>
        <w:t xml:space="preserve"> peptide 1-42 (80ng) (Anaspec) were analyzed by SDSPAGE under reducing conditions. A 17kDa Lama antibody fragment (H6) with </w:t>
      </w:r>
      <w:r>
        <w:rPr>
          <w:rFonts w:cs="Arial"/>
        </w:rPr>
        <w:lastRenderedPageBreak/>
        <w:t>myc and hist6 tags (a kind gift of Dr A.J. Groot), was used as a negative control (80ng). Proteins were transferred to nitrocellulose membranes renatured in Tris-buffered saline (TBS) in the presence of Tween20 (0.05%) and probed for 1 hour at 37°C with 30µg/mL of CERT</w:t>
      </w:r>
      <w:r w:rsidRPr="00322BDC">
        <w:rPr>
          <w:rFonts w:cs="Arial"/>
          <w:vertAlign w:val="subscript"/>
        </w:rPr>
        <w:t>L</w:t>
      </w:r>
      <w:r>
        <w:rPr>
          <w:rFonts w:cs="Arial"/>
        </w:rPr>
        <w:t xml:space="preserve"> or A</w:t>
      </w:r>
      <w:r w:rsidRPr="0094010E">
        <w:rPr>
          <w:rFonts w:cs="Arial"/>
        </w:rPr>
        <w:t>β</w:t>
      </w:r>
      <w:r>
        <w:rPr>
          <w:rFonts w:cs="Arial"/>
        </w:rPr>
        <w:t xml:space="preserve"> peptide in the same buffer. Bound complexes were detected using polyclonal rabbit anti-CERTs </w:t>
      </w:r>
      <w:r w:rsidRPr="00EF04BC">
        <w:rPr>
          <w:rFonts w:cs="Arial"/>
        </w:rPr>
        <w:t>(epitope 1-50 of human CERT</w:t>
      </w:r>
      <w:r>
        <w:rPr>
          <w:rFonts w:cs="Arial"/>
        </w:rPr>
        <w:t>s</w:t>
      </w:r>
      <w:r w:rsidRPr="00EF04BC">
        <w:rPr>
          <w:rFonts w:cs="Arial"/>
        </w:rPr>
        <w:t>,</w:t>
      </w:r>
      <w:r>
        <w:rPr>
          <w:rFonts w:cs="Arial"/>
        </w:rPr>
        <w:t xml:space="preserve"> Bethyl Laboratories), mouse </w:t>
      </w:r>
      <w:r w:rsidRPr="00EF04BC">
        <w:rPr>
          <w:rFonts w:cs="Arial"/>
        </w:rPr>
        <w:t>anti-A</w:t>
      </w:r>
      <w:r>
        <w:rPr>
          <w:rFonts w:cs="Arial"/>
        </w:rPr>
        <w:t>β</w:t>
      </w:r>
      <w:r w:rsidRPr="00EF04BC">
        <w:rPr>
          <w:rFonts w:cs="Arial"/>
        </w:rPr>
        <w:t xml:space="preserve"> mAb 6E</w:t>
      </w:r>
      <w:r>
        <w:rPr>
          <w:rFonts w:cs="Arial"/>
        </w:rPr>
        <w:t>10 (Covance) and mouse mAb anti-human c-Myc (clone 9E10, Invitrogen). Finally, incubation with secondary goat anti-rabbit IRdye 800 and donkey anti-mouse IRdye 680 (Rockland Immunochemicals) was followed as described above.</w:t>
      </w:r>
    </w:p>
    <w:p w14:paraId="6D9225FA" w14:textId="77777777" w:rsidR="00F82628" w:rsidRDefault="00F82628" w:rsidP="00F82628">
      <w:r w:rsidRPr="00FB43C6">
        <w:rPr>
          <w:i/>
          <w:u w:val="single"/>
        </w:rPr>
        <w:t>Neuronal primary cell culture</w:t>
      </w:r>
      <w:r w:rsidRPr="00FB43C6">
        <w:t>.</w:t>
      </w:r>
      <w:r>
        <w:t xml:space="preserve"> </w:t>
      </w:r>
    </w:p>
    <w:p w14:paraId="1AC7D897" w14:textId="77777777" w:rsidR="00F82628" w:rsidRDefault="00F82628" w:rsidP="00F82628">
      <w:r w:rsidRPr="00DE256C">
        <w:t>Rat hippocampal neuronal cultures were prepared as reported elsewhere</w:t>
      </w:r>
      <w:r>
        <w:t xml:space="preserve"> </w:t>
      </w:r>
      <w:r>
        <w:fldChar w:fldCharType="begin"/>
      </w:r>
      <w:r>
        <w:instrText xml:space="preserve"> ADDIN EN.CITE &lt;EndNote&gt;&lt;Cite&gt;&lt;Author&gt;Buchhalter&lt;/Author&gt;&lt;Year&gt;1991&lt;/Year&gt;&lt;RecNum&gt;110&lt;/RecNum&gt;&lt;DisplayText&gt;(86)&lt;/DisplayText&gt;&lt;record&gt;&lt;rec-number&gt;110&lt;/rec-number&gt;&lt;foreign-keys&gt;&lt;key app="EN" db-id="0d2xxavz1z92t1ed0vlv99t1fasvpfs55r2d" timestamp="1603210874"&gt;110&lt;/key&gt;&lt;/foreign-keys&gt;&lt;ref-type name="Journal Article"&gt;17&lt;/ref-type&gt;&lt;contributors&gt;&lt;authors&gt;&lt;author&gt;Buchhalter, J. R.&lt;/author&gt;&lt;author&gt;Dichter, M. A.&lt;/author&gt;&lt;/authors&gt;&lt;/contributors&gt;&lt;auth-address&gt;Division of Neurology, Childrens Hospital of Philadelphia, PA 19104.&lt;/auth-address&gt;&lt;titles&gt;&lt;title&gt;Electrophysiological comparison of pyramidal and stellate nonpyramidal neurons in dissociated cell culture of rat hippocampus&lt;/title&gt;&lt;secondary-title&gt;Brain Res Bull&lt;/secondary-title&gt;&lt;/titles&gt;&lt;periodical&gt;&lt;full-title&gt;Brain Res Bull&lt;/full-title&gt;&lt;/periodical&gt;&lt;pages&gt;333-8&lt;/pages&gt;&lt;volume&gt;26&lt;/volume&gt;&lt;number&gt;3&lt;/number&gt;&lt;keywords&gt;&lt;keyword&gt;Animals&lt;/keyword&gt;&lt;keyword&gt;Cells, Cultured&lt;/keyword&gt;&lt;keyword&gt;*Electrophysiology&lt;/keyword&gt;&lt;keyword&gt;Embryo, Mammalian/physiology&lt;/keyword&gt;&lt;keyword&gt;Female&lt;/keyword&gt;&lt;keyword&gt;Hippocampus/cytology/*physiology&lt;/keyword&gt;&lt;keyword&gt;Neurons/*physiology&lt;/keyword&gt;&lt;keyword&gt;Pregnancy&lt;/keyword&gt;&lt;keyword&gt;Pyramidal Tracts/cytology/*physiology&lt;/keyword&gt;&lt;keyword&gt;Rats&lt;/keyword&gt;&lt;keyword&gt;Rats, Inbred Strains&lt;/keyword&gt;&lt;keyword&gt;Stellate Ganglion/cytology/*physiology&lt;/keyword&gt;&lt;keyword&gt;Temperature&lt;/keyword&gt;&lt;/keywords&gt;&lt;dates&gt;&lt;year&gt;1991&lt;/year&gt;&lt;pub-dates&gt;&lt;date&gt;Mar&lt;/date&gt;&lt;/pub-dates&gt;&lt;/dates&gt;&lt;isbn&gt;0361-9230 (Print)&amp;#xD;0361-9230 (Linking)&lt;/isbn&gt;&lt;accession-num&gt;2049599&lt;/accession-num&gt;&lt;urls&gt;&lt;related-urls&gt;&lt;url&gt;https://www.ncbi.nlm.nih.gov/pubmed/2049599&lt;/url&gt;&lt;/related-urls&gt;&lt;/urls&gt;&lt;/record&gt;&lt;/Cite&gt;&lt;/EndNote&gt;</w:instrText>
      </w:r>
      <w:r>
        <w:fldChar w:fldCharType="separate"/>
      </w:r>
      <w:r>
        <w:rPr>
          <w:noProof/>
        </w:rPr>
        <w:t>(</w:t>
      </w:r>
      <w:hyperlink w:anchor="_ENREF_86" w:tooltip="Buchhalter, 1991 #110" w:history="1">
        <w:r>
          <w:rPr>
            <w:noProof/>
          </w:rPr>
          <w:t>86</w:t>
        </w:r>
      </w:hyperlink>
      <w:r>
        <w:rPr>
          <w:noProof/>
        </w:rPr>
        <w:t>)</w:t>
      </w:r>
      <w:r>
        <w:fldChar w:fldCharType="end"/>
      </w:r>
      <w:r>
        <w:t>. In brief, embryos from pregnant Wistar rats (Charles River) were removed on embryonic day 18. After removing the meninges, the hippocampi were insolated under the lupa preserved in the hibernate medium. Subsequently, they were incubated with trypsin for 20 minutes</w:t>
      </w:r>
      <w:r w:rsidRPr="00856A52">
        <w:t xml:space="preserve"> </w:t>
      </w:r>
      <w:r>
        <w:t>at 37</w:t>
      </w:r>
      <w:r w:rsidRPr="00856A52">
        <w:rPr>
          <w:rFonts w:cs="Arial"/>
        </w:rPr>
        <w:t xml:space="preserve"> </w:t>
      </w:r>
      <w:r>
        <w:rPr>
          <w:rFonts w:cs="Arial"/>
        </w:rPr>
        <w:t>º</w:t>
      </w:r>
      <w:r>
        <w:t xml:space="preserve">C. Hippocampus were then transferred to a tube with DMEM complete medium. With a sterile glass pipette, the cells were disbanded doing up and down until the tissue was disaggregated/disintegrated and homogeneous. Cells were plated at </w:t>
      </w:r>
      <w:r>
        <w:rPr>
          <w:rFonts w:cs="Arial"/>
        </w:rPr>
        <w:t xml:space="preserve">~80,000 cell/ 35mm Ø plate containing coverslips and incubated in </w:t>
      </w:r>
      <w:r>
        <w:t>Neurobasal medium (supplemented with B27) (Thermo Fisher Scientific) for 2-3 weeks</w:t>
      </w:r>
      <w:r>
        <w:rPr>
          <w:rFonts w:cs="Arial"/>
        </w:rPr>
        <w:t xml:space="preserve">. </w:t>
      </w:r>
      <w:r>
        <w:t xml:space="preserve">The medium was partially exchanged </w:t>
      </w:r>
      <w:r>
        <w:rPr>
          <w:rFonts w:cs="AdvP800D"/>
          <w:color w:val="000000"/>
        </w:rPr>
        <w:t>24 hours after and then once a week</w:t>
      </w:r>
      <w:r>
        <w:t xml:space="preserve">. </w:t>
      </w:r>
    </w:p>
    <w:p w14:paraId="7FCCDA90" w14:textId="77777777" w:rsidR="00F82628" w:rsidRDefault="00F82628" w:rsidP="00F82628">
      <w:r>
        <w:rPr>
          <w:i/>
          <w:u w:val="single"/>
        </w:rPr>
        <w:t>I</w:t>
      </w:r>
      <w:r w:rsidRPr="00FB43C6">
        <w:rPr>
          <w:i/>
          <w:u w:val="single"/>
        </w:rPr>
        <w:t>mmunoassay for CERTs detection.</w:t>
      </w:r>
      <w:r>
        <w:t xml:space="preserve"> </w:t>
      </w:r>
    </w:p>
    <w:p w14:paraId="70E9D1FA" w14:textId="77777777" w:rsidR="00F82628" w:rsidRPr="00C962EC" w:rsidRDefault="00F82628" w:rsidP="00F82628">
      <w:r>
        <w:t>CERTs were quantified by e</w:t>
      </w:r>
      <w:r w:rsidRPr="001A62CE">
        <w:t>nzyme-linked immunoassay</w:t>
      </w:r>
      <w:r>
        <w:t xml:space="preserve"> or Western blot. In brief, m</w:t>
      </w:r>
      <w:r w:rsidRPr="00BF5A7F">
        <w:rPr>
          <w:rFonts w:cs="Arial"/>
        </w:rPr>
        <w:t xml:space="preserve">icroplates were coated with 100 μL of </w:t>
      </w:r>
      <w:r>
        <w:rPr>
          <w:rFonts w:cs="Arial"/>
        </w:rPr>
        <w:t>polyclonal r</w:t>
      </w:r>
      <w:r w:rsidRPr="00BF5A7F">
        <w:rPr>
          <w:rFonts w:cs="Arial"/>
        </w:rPr>
        <w:t>abbit 01 (2,46 mg/mL) diluted 1:1000 using coating buffer (50 mM carbonate pH 9.6), sealed with a plastic sticker and incubated for 1 h at 37ºC. To build up the standard curve</w:t>
      </w:r>
      <w:r>
        <w:rPr>
          <w:rFonts w:cs="Arial"/>
        </w:rPr>
        <w:t xml:space="preserve"> </w:t>
      </w:r>
      <w:r w:rsidRPr="00BF5A7F">
        <w:rPr>
          <w:rFonts w:cs="Arial"/>
        </w:rPr>
        <w:t xml:space="preserve">serial dilutions of </w:t>
      </w:r>
      <w:r>
        <w:rPr>
          <w:rFonts w:cs="Arial"/>
        </w:rPr>
        <w:t xml:space="preserve">recombinant </w:t>
      </w:r>
      <w:r w:rsidRPr="00BF5A7F">
        <w:rPr>
          <w:rFonts w:cs="Arial"/>
        </w:rPr>
        <w:t>CERT</w:t>
      </w:r>
      <w:r>
        <w:rPr>
          <w:rFonts w:cs="Arial"/>
        </w:rPr>
        <w:t xml:space="preserve">s, produced as previously explained </w:t>
      </w:r>
      <w:r>
        <w:rPr>
          <w:rFonts w:cs="Arial"/>
        </w:rPr>
        <w:fldChar w:fldCharType="begin">
          <w:fldData xml:space="preserve">PEVuZE5vdGU+PENpdGU+PEF1dGhvcj5NZW5jYXJlbGxpPC9BdXRob3I+PFllYXI+MjAxMjwvWWVh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==
</w:fldData>
        </w:fldChar>
      </w:r>
      <w:r>
        <w:rPr>
          <w:rFonts w:cs="Arial"/>
        </w:rPr>
        <w:instrText xml:space="preserve"> ADDIN EN.CITE </w:instrText>
      </w:r>
      <w:r>
        <w:rPr>
          <w:rFonts w:cs="Arial"/>
        </w:rPr>
        <w:fldChar w:fldCharType="begin">
          <w:fldData xml:space="preserve">PEVuZE5vdGU+PENpdGU+PEF1dGhvcj5NZW5jYXJlbGxpPC9BdXRob3I+PFllYXI+MjAxMjwvWWVh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==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Pr>
          <w:rFonts w:cs="Arial"/>
          <w:noProof/>
        </w:rPr>
        <w:t>(</w:t>
      </w:r>
      <w:hyperlink w:anchor="_ENREF_29" w:tooltip="Mencarelli, 2012 #24" w:history="1">
        <w:r>
          <w:rPr>
            <w:rFonts w:cs="Arial"/>
            <w:noProof/>
          </w:rPr>
          <w:t>29</w:t>
        </w:r>
      </w:hyperlink>
      <w:r>
        <w:rPr>
          <w:rFonts w:cs="Arial"/>
          <w:noProof/>
        </w:rPr>
        <w:t>)</w:t>
      </w:r>
      <w:r>
        <w:rPr>
          <w:rFonts w:cs="Arial"/>
        </w:rPr>
        <w:fldChar w:fldCharType="end"/>
      </w:r>
      <w:r>
        <w:rPr>
          <w:rFonts w:cs="Arial"/>
        </w:rPr>
        <w:t>,</w:t>
      </w:r>
      <w:r w:rsidRPr="00BF5A7F">
        <w:rPr>
          <w:rFonts w:cs="Arial"/>
        </w:rPr>
        <w:t xml:space="preserve"> </w:t>
      </w:r>
      <w:r>
        <w:rPr>
          <w:rFonts w:cs="Arial"/>
        </w:rPr>
        <w:t xml:space="preserve">were </w:t>
      </w:r>
      <w:r w:rsidRPr="00BF5A7F">
        <w:rPr>
          <w:rFonts w:cs="Arial"/>
        </w:rPr>
        <w:t>diluted in 10% BSA</w:t>
      </w:r>
      <w:r>
        <w:rPr>
          <w:rFonts w:cs="Arial"/>
        </w:rPr>
        <w:t xml:space="preserve">, </w:t>
      </w:r>
      <w:r w:rsidRPr="00BF5A7F">
        <w:rPr>
          <w:rFonts w:cs="Arial"/>
        </w:rPr>
        <w:t xml:space="preserve">0.02% Tween-20 in PBS. Biotinylated </w:t>
      </w:r>
      <w:r>
        <w:rPr>
          <w:rFonts w:cs="Arial"/>
        </w:rPr>
        <w:t>polyclonal r</w:t>
      </w:r>
      <w:r w:rsidRPr="00BF5A7F">
        <w:rPr>
          <w:rFonts w:cs="Arial"/>
        </w:rPr>
        <w:t>abbit anti-</w:t>
      </w:r>
      <w:r>
        <w:rPr>
          <w:rFonts w:cs="Arial"/>
        </w:rPr>
        <w:lastRenderedPageBreak/>
        <w:t>CERTs</w:t>
      </w:r>
      <w:r w:rsidRPr="00BF5A7F">
        <w:rPr>
          <w:rFonts w:cs="Arial"/>
        </w:rPr>
        <w:t xml:space="preserve"> </w:t>
      </w:r>
      <w:r>
        <w:rPr>
          <w:rFonts w:cs="Arial"/>
        </w:rPr>
        <w:t>02</w:t>
      </w:r>
      <w:r w:rsidRPr="00BF5A7F">
        <w:rPr>
          <w:rFonts w:cs="Arial"/>
        </w:rPr>
        <w:t xml:space="preserve">, was used as </w:t>
      </w:r>
      <w:r>
        <w:rPr>
          <w:rFonts w:cs="Arial"/>
        </w:rPr>
        <w:t xml:space="preserve">a </w:t>
      </w:r>
      <w:r w:rsidRPr="00BF5A7F">
        <w:rPr>
          <w:rFonts w:cs="Arial"/>
        </w:rPr>
        <w:t>detection antibody diluted 1:500 in 1% BSA and 0.02% Tween-20 in PBS</w:t>
      </w:r>
      <w:r>
        <w:rPr>
          <w:rFonts w:cs="Arial"/>
        </w:rPr>
        <w:t xml:space="preserve"> and incubated </w:t>
      </w:r>
      <w:r w:rsidRPr="00BF5A7F">
        <w:rPr>
          <w:rFonts w:cs="Arial"/>
        </w:rPr>
        <w:t xml:space="preserve">for 1 h at 37 ºC. </w:t>
      </w:r>
      <w:r>
        <w:rPr>
          <w:rFonts w:cs="Arial"/>
        </w:rPr>
        <w:t xml:space="preserve">Blocking, washes, and absorbance were performed as described in method sections immunoassays. Cortex sample were lysed in composed by 0.1% SDS, 0.1% Triton X-100, 1% glycerol, 1 mM EDTA, </w:t>
      </w:r>
      <w:r w:rsidRPr="001A62CE">
        <w:rPr>
          <w:rFonts w:cs="Arial"/>
        </w:rPr>
        <w:t>1 mM EGTA</w:t>
      </w:r>
      <w:r>
        <w:rPr>
          <w:rFonts w:cs="Arial"/>
        </w:rPr>
        <w:t xml:space="preserve">, </w:t>
      </w:r>
      <w:r w:rsidRPr="001A62CE">
        <w:rPr>
          <w:rFonts w:cs="Arial"/>
        </w:rPr>
        <w:t xml:space="preserve">PhosSTOP </w:t>
      </w:r>
      <w:r>
        <w:rPr>
          <w:rFonts w:cs="Arial"/>
        </w:rPr>
        <w:t xml:space="preserve">and protein inhibitors </w:t>
      </w:r>
      <w:r w:rsidRPr="001A62CE">
        <w:rPr>
          <w:rFonts w:cs="Arial"/>
        </w:rPr>
        <w:t>(Roche)</w:t>
      </w:r>
      <w:r>
        <w:rPr>
          <w:rFonts w:cs="Arial"/>
        </w:rPr>
        <w:t>. 40µg of protein extracted separated in SDS-PAGE electrophoresis and blotted onto nitrocellulose membrane. The membrane was probed with anti-GAPDH antibody (</w:t>
      </w:r>
      <w:r w:rsidRPr="006F3C24">
        <w:rPr>
          <w:rFonts w:cs="Arial"/>
        </w:rPr>
        <w:t>10R-G109A, Fitzgerald</w:t>
      </w:r>
      <w:r>
        <w:rPr>
          <w:rFonts w:cs="Arial"/>
        </w:rPr>
        <w:t>) as internal control and anti CERTs (</w:t>
      </w:r>
      <w:r w:rsidRPr="00EF04BC">
        <w:rPr>
          <w:rFonts w:cs="Arial"/>
        </w:rPr>
        <w:t xml:space="preserve">epitope </w:t>
      </w:r>
      <w:r>
        <w:rPr>
          <w:rFonts w:cs="Arial"/>
        </w:rPr>
        <w:t>300</w:t>
      </w:r>
      <w:r w:rsidRPr="00EF04BC">
        <w:rPr>
          <w:rFonts w:cs="Arial"/>
        </w:rPr>
        <w:t>-</w:t>
      </w:r>
      <w:r>
        <w:rPr>
          <w:rFonts w:cs="Arial"/>
        </w:rPr>
        <w:t>3</w:t>
      </w:r>
      <w:r w:rsidRPr="00EF04BC">
        <w:rPr>
          <w:rFonts w:cs="Arial"/>
        </w:rPr>
        <w:t>50 of human CERT</w:t>
      </w:r>
      <w:r>
        <w:rPr>
          <w:rFonts w:cs="Arial"/>
        </w:rPr>
        <w:t>s</w:t>
      </w:r>
      <w:r w:rsidRPr="00EF04BC">
        <w:rPr>
          <w:rFonts w:cs="Arial"/>
        </w:rPr>
        <w:t>,</w:t>
      </w:r>
      <w:r>
        <w:rPr>
          <w:rFonts w:cs="Arial"/>
        </w:rPr>
        <w:t xml:space="preserve"> Bethyl Laboratories). After incubation with donkey anti-mouse, IRdye680, and anti-rabbit IRdye800 (Rockland Immunochemicals) diluted 1:10,000 in Odyssey blocking buffer, the membrane was scanned and analyzed with Odyssey imager Li-Cor. The intensities were measured with Odyssey imager Li-Cor.</w:t>
      </w:r>
    </w:p>
    <w:p w14:paraId="552953D6" w14:textId="77777777" w:rsidR="00F82628" w:rsidRPr="00400881" w:rsidRDefault="00F82628" w:rsidP="00F82628">
      <w:pPr>
        <w:pStyle w:val="Subtitle"/>
      </w:pPr>
      <w:r>
        <w:t>CERTs inhibitor administration</w:t>
      </w:r>
    </w:p>
    <w:p w14:paraId="2D8227DD" w14:textId="77777777" w:rsidR="00F82628" w:rsidRDefault="00F82628" w:rsidP="00F82628">
      <w:pPr>
        <w:rPr>
          <w:rFonts w:cs="Arial"/>
        </w:rPr>
      </w:pPr>
      <w:r>
        <w:rPr>
          <w:rFonts w:cs="Arial"/>
        </w:rPr>
        <w:t>HPA-12 wa</w:t>
      </w:r>
      <w:r w:rsidRPr="00DD0D02">
        <w:rPr>
          <w:rFonts w:cs="Arial"/>
        </w:rPr>
        <w:t>s</w:t>
      </w:r>
      <w:r>
        <w:rPr>
          <w:rFonts w:cs="Arial"/>
        </w:rPr>
        <w:t xml:space="preserve"> prepared </w:t>
      </w:r>
      <w:r w:rsidRPr="00DD0D02">
        <w:rPr>
          <w:rFonts w:cs="Arial"/>
        </w:rPr>
        <w:t xml:space="preserve">in </w:t>
      </w:r>
      <w:r>
        <w:rPr>
          <w:rFonts w:cs="Arial"/>
        </w:rPr>
        <w:t xml:space="preserve">control solution </w:t>
      </w:r>
      <w:r w:rsidRPr="00DD0D02">
        <w:rPr>
          <w:rFonts w:cs="Arial"/>
        </w:rPr>
        <w:t>PEG400/PBS 1:</w:t>
      </w:r>
      <w:r>
        <w:rPr>
          <w:rFonts w:cs="Arial"/>
        </w:rPr>
        <w:t xml:space="preserve">4 </w:t>
      </w:r>
      <w:r w:rsidRPr="00DD0D02">
        <w:rPr>
          <w:rFonts w:cs="Arial"/>
        </w:rPr>
        <w:t>(V/V)</w:t>
      </w:r>
      <w:r>
        <w:rPr>
          <w:rFonts w:cs="Arial"/>
        </w:rPr>
        <w:t>.  Before re-suspension vehicle was</w:t>
      </w:r>
      <w:r w:rsidRPr="00DD0D02">
        <w:rPr>
          <w:rFonts w:cs="Arial"/>
        </w:rPr>
        <w:t xml:space="preserve"> </w:t>
      </w:r>
      <w:r>
        <w:rPr>
          <w:rFonts w:cs="Arial"/>
        </w:rPr>
        <w:t>sterilized</w:t>
      </w:r>
      <w:r w:rsidRPr="00DD0D02">
        <w:rPr>
          <w:rFonts w:cs="Arial"/>
        </w:rPr>
        <w:t xml:space="preserve"> by filtration and pH </w:t>
      </w:r>
      <w:r>
        <w:rPr>
          <w:rFonts w:cs="Arial"/>
        </w:rPr>
        <w:t xml:space="preserve">was </w:t>
      </w:r>
      <w:r w:rsidRPr="00DD0D02">
        <w:rPr>
          <w:rFonts w:cs="Arial"/>
        </w:rPr>
        <w:t>adjust</w:t>
      </w:r>
      <w:r>
        <w:rPr>
          <w:rFonts w:cs="Arial"/>
        </w:rPr>
        <w:t>ed</w:t>
      </w:r>
      <w:r w:rsidRPr="00DD0D02">
        <w:rPr>
          <w:rFonts w:cs="Arial"/>
        </w:rPr>
        <w:t xml:space="preserve"> to 7.4. PEG400</w:t>
      </w:r>
      <w:r>
        <w:rPr>
          <w:rFonts w:cs="Arial"/>
        </w:rPr>
        <w:t xml:space="preserve"> </w:t>
      </w:r>
      <w:r w:rsidRPr="00DD0D02">
        <w:rPr>
          <w:rFonts w:cs="Arial"/>
        </w:rPr>
        <w:t>/</w:t>
      </w:r>
      <w:r>
        <w:rPr>
          <w:rFonts w:cs="Arial"/>
        </w:rPr>
        <w:t xml:space="preserve"> </w:t>
      </w:r>
      <w:r w:rsidRPr="00DD0D02">
        <w:rPr>
          <w:rFonts w:cs="Arial"/>
        </w:rPr>
        <w:t xml:space="preserve">PBS </w:t>
      </w:r>
      <w:r>
        <w:rPr>
          <w:rFonts w:cs="Arial"/>
        </w:rPr>
        <w:t xml:space="preserve">was </w:t>
      </w:r>
      <w:r w:rsidRPr="00DD0D02">
        <w:rPr>
          <w:rFonts w:cs="Arial"/>
        </w:rPr>
        <w:t xml:space="preserve">warmed </w:t>
      </w:r>
      <w:r>
        <w:rPr>
          <w:rFonts w:cs="Arial"/>
        </w:rPr>
        <w:t>up to 37°C and vortexed to</w:t>
      </w:r>
      <w:r w:rsidRPr="00DD0D02">
        <w:rPr>
          <w:rFonts w:cs="Arial"/>
        </w:rPr>
        <w:t xml:space="preserve"> </w:t>
      </w:r>
      <w:r>
        <w:rPr>
          <w:rFonts w:cs="Arial"/>
        </w:rPr>
        <w:t xml:space="preserve">completely </w:t>
      </w:r>
      <w:r w:rsidRPr="00DD0D02">
        <w:rPr>
          <w:rFonts w:cs="Arial"/>
        </w:rPr>
        <w:t>dissolve</w:t>
      </w:r>
      <w:r>
        <w:rPr>
          <w:rFonts w:cs="Arial"/>
        </w:rPr>
        <w:t xml:space="preserve"> the compound</w:t>
      </w:r>
      <w:r w:rsidRPr="00DD0D02">
        <w:rPr>
          <w:rFonts w:cs="Arial"/>
        </w:rPr>
        <w:t xml:space="preserve">. </w:t>
      </w:r>
      <w:r>
        <w:rPr>
          <w:rFonts w:cs="Arial"/>
        </w:rPr>
        <w:t xml:space="preserve">HPA-12 </w:t>
      </w:r>
      <w:r w:rsidRPr="006D7743">
        <w:t>was administered subcutaneously (SC)</w:t>
      </w:r>
      <w:r>
        <w:t xml:space="preserve"> for 4-weeks at the dose 4 </w:t>
      </w:r>
      <w:r>
        <w:rPr>
          <w:rFonts w:cs="Arial"/>
        </w:rPr>
        <w:t>µ</w:t>
      </w:r>
      <w:r>
        <w:t>g / g animals every 48 hours.</w:t>
      </w:r>
      <w:r w:rsidRPr="00EC7400">
        <w:t xml:space="preserve"> </w:t>
      </w:r>
      <w:r w:rsidRPr="006D7743">
        <w:t>The volume injected per animal was of 0.15</w:t>
      </w:r>
      <w:r>
        <w:t xml:space="preserve"> mL with insulin syringes</w:t>
      </w:r>
      <w:r w:rsidRPr="006D7743">
        <w:t>.</w:t>
      </w:r>
      <w:r>
        <w:t xml:space="preserve"> </w:t>
      </w:r>
      <w:r>
        <w:rPr>
          <w:rFonts w:cs="Arial"/>
        </w:rPr>
        <w:t>HPA-12</w:t>
      </w:r>
      <w:r>
        <w:t xml:space="preserve"> was tested on</w:t>
      </w:r>
      <w:r w:rsidRPr="006D7743">
        <w:t xml:space="preserve"> </w:t>
      </w:r>
      <w:r>
        <w:t>8-14 months old mice</w:t>
      </w:r>
      <w:r w:rsidRPr="006D7743">
        <w:t>.</w:t>
      </w:r>
      <w:r>
        <w:t xml:space="preserve"> The AD transgenic (E4FAD and E3FAD) mice were purchased from </w:t>
      </w:r>
      <w:r>
        <w:rPr>
          <w:color w:val="000000"/>
          <w:shd w:val="clear" w:color="auto" w:fill="FFFFFF"/>
        </w:rPr>
        <w:t xml:space="preserve">Dr. Mary Jo LaDu (University of Illinois at Chicago) </w:t>
      </w:r>
      <w:r>
        <w:t xml:space="preserve">and bred in house as described elsewhere </w:t>
      </w:r>
      <w:r>
        <w:fldChar w:fldCharType="begin"/>
      </w:r>
      <w:r>
        <w:instrText xml:space="preserve"> ADDIN EN.CITE &lt;EndNote&gt;&lt;Cite&gt;&lt;Author&gt;Youmans&lt;/Author&gt;&lt;Year&gt;2012&lt;/Year&gt;&lt;RecNum&gt;111&lt;/RecNum&gt;&lt;DisplayText&gt;(87)&lt;/DisplayText&gt;&lt;record&gt;&lt;rec-number&gt;111&lt;/rec-number&gt;&lt;foreign-keys&gt;&lt;key app="EN" db-id="0d2xxavz1z92t1ed0vlv99t1fasvpfs55r2d" timestamp="1603210874"&gt;111&lt;/key&gt;&lt;/foreign-keys&gt;&lt;ref-type name="Journal Article"&gt;17&lt;/ref-type&gt;&lt;contributors&gt;&lt;authors&gt;&lt;author&gt;Youmans, K. L.&lt;/author&gt;&lt;author&gt;Tai, L. M.&lt;/author&gt;&lt;author&gt;Nwabuisi-Heath, E.&lt;/author&gt;&lt;author&gt;Jungbauer, L.&lt;/author&gt;&lt;author&gt;Kanekiyo, T.&lt;/author&gt;&lt;author&gt;Gan, M.&lt;/author&gt;&lt;author&gt;Kim, J.&lt;/author&gt;&lt;author&gt;Eimer, W. A.&lt;/author&gt;&lt;author&gt;Estus, S.&lt;/author&gt;&lt;author&gt;Rebeck, G. W.&lt;/author&gt;&lt;author&gt;Weeber, E. J.&lt;/author&gt;&lt;author&gt;Bu, G.&lt;/author&gt;&lt;author&gt;Yu, C.&lt;/author&gt;&lt;author&gt;Ladu, M. J.&lt;/author&gt;&lt;/authors&gt;&lt;/contributors&gt;&lt;auth-address&gt;Department of Anatomy and Cell Biology, University of Illinois at Chicago, Chicago, Illinois 60612, USA.&lt;/auth-address&gt;&lt;titles&gt;&lt;title&gt;APOE4-specific changes in Abeta accumulation in a new transgenic mouse model of Alzheimer disease&lt;/title&gt;&lt;secondary-title&gt;J Biol Chem&lt;/secondary-title&gt;&lt;/titles&gt;&lt;periodical&gt;&lt;full-title&gt;J Biol Chem&lt;/full-title&gt;&lt;/periodical&gt;&lt;pages&gt;41774-86&lt;/pages&gt;&lt;volume&gt;287&lt;/volume&gt;&lt;number&gt;50&lt;/number&gt;&lt;keywords&gt;&lt;keyword&gt;Alzheimer Disease/genetics/*metabolism/pathology&lt;/keyword&gt;&lt;keyword&gt;Amyloid beta-Peptides/genetics/*metabolism&lt;/keyword&gt;&lt;keyword&gt;Animals&lt;/keyword&gt;&lt;keyword&gt;Apolipoprotein E4/genetics/*metabolism&lt;/keyword&gt;&lt;keyword&gt;Disease Models, Animal&lt;/keyword&gt;&lt;keyword&gt;*Genotype&lt;/keyword&gt;&lt;keyword&gt;Humans&lt;/keyword&gt;&lt;keyword&gt;Mice&lt;/keyword&gt;&lt;keyword&gt;Mice, Transgenic&lt;/keyword&gt;&lt;keyword&gt;Mutation&lt;/keyword&gt;&lt;keyword&gt;Protein Isoforms/genetics/metabolism&lt;/keyword&gt;&lt;/keywords&gt;&lt;dates&gt;&lt;year&gt;2012&lt;/year&gt;&lt;pub-dates&gt;&lt;date&gt;Dec 7&lt;/date&gt;&lt;/pub-dates&gt;&lt;/dates&gt;&lt;isbn&gt;1083-351X (Electronic)&amp;#xD;0021-9258 (Linking)&lt;/isbn&gt;&lt;accession-num&gt;23060451&lt;/accession-num&gt;&lt;urls&gt;&lt;related-urls&gt;&lt;url&gt;https://www.ncbi.nlm.nih.gov/pubmed/23060451&lt;/url&gt;&lt;/related-urls&gt;&lt;/urls&gt;&lt;custom2&gt;PMC3516726&lt;/custom2&gt;&lt;electronic-resource-num&gt;10.1074/jbc.M112.407957&lt;/electronic-resource-num&gt;&lt;/record&gt;&lt;/Cite&gt;&lt;/EndNote&gt;</w:instrText>
      </w:r>
      <w:r>
        <w:fldChar w:fldCharType="separate"/>
      </w:r>
      <w:r>
        <w:rPr>
          <w:noProof/>
        </w:rPr>
        <w:t>(</w:t>
      </w:r>
      <w:hyperlink w:anchor="_ENREF_87" w:tooltip="Youmans, 2012 #111" w:history="1">
        <w:r>
          <w:rPr>
            <w:noProof/>
          </w:rPr>
          <w:t>87</w:t>
        </w:r>
      </w:hyperlink>
      <w:r>
        <w:rPr>
          <w:noProof/>
        </w:rPr>
        <w:t>)</w:t>
      </w:r>
      <w:r>
        <w:fldChar w:fldCharType="end"/>
      </w:r>
      <w:r>
        <w:t>.</w:t>
      </w:r>
      <w:r w:rsidRPr="006D7743">
        <w:t xml:space="preserve"> </w:t>
      </w:r>
      <w:r>
        <w:t>The mice were</w:t>
      </w:r>
      <w:r w:rsidRPr="005C4FF1">
        <w:rPr>
          <w:rFonts w:cs="Arial"/>
        </w:rPr>
        <w:t xml:space="preserve"> housed socially on a 12-hour day-night cycle and had </w:t>
      </w:r>
      <w:r w:rsidRPr="005C4FF1">
        <w:rPr>
          <w:rFonts w:cs="Arial"/>
          <w:i/>
        </w:rPr>
        <w:t>ad libitum</w:t>
      </w:r>
      <w:r w:rsidRPr="005C4FF1">
        <w:rPr>
          <w:rFonts w:cs="Arial"/>
        </w:rPr>
        <w:t xml:space="preserve"> access to food and water. All experiments were approved by the Animal Welfare Committee of Maastricht University and followed the laws, rules, and guidelines of the Netherlands.</w:t>
      </w:r>
    </w:p>
    <w:p w14:paraId="75400B12" w14:textId="77777777" w:rsidR="00F82628" w:rsidRPr="0003761C" w:rsidRDefault="00F82628" w:rsidP="00F82628">
      <w:pPr>
        <w:pStyle w:val="Heading2"/>
        <w:rPr>
          <w:rFonts w:cs="Arial"/>
          <w:b w:val="0"/>
          <w:bCs/>
          <w:i/>
          <w:iCs/>
          <w:u w:val="single"/>
        </w:rPr>
      </w:pPr>
      <w:r w:rsidRPr="0003761C">
        <w:rPr>
          <w:b w:val="0"/>
          <w:bCs/>
          <w:i/>
          <w:iCs/>
          <w:u w:val="single"/>
        </w:rPr>
        <w:t>Cytokines analysis</w:t>
      </w:r>
    </w:p>
    <w:p w14:paraId="34F59DD0" w14:textId="77777777" w:rsidR="00F82628" w:rsidRDefault="00F82628" w:rsidP="00F82628">
      <w:pPr>
        <w:rPr>
          <w:rFonts w:cs="Arial"/>
        </w:rPr>
      </w:pPr>
      <w:r w:rsidRPr="00FB43C6">
        <w:rPr>
          <w:rFonts w:cs="Arial"/>
        </w:rPr>
        <w:t xml:space="preserve">Cytokines were measured in total protein homogenate extracted </w:t>
      </w:r>
      <w:r>
        <w:rPr>
          <w:rFonts w:cs="Arial"/>
        </w:rPr>
        <w:t xml:space="preserve">from the cortex </w:t>
      </w:r>
      <w:r w:rsidRPr="00FB43C6">
        <w:rPr>
          <w:rFonts w:cs="Arial"/>
        </w:rPr>
        <w:t xml:space="preserve">in lysis buffer containing 0.1% SDS, 0.1% </w:t>
      </w:r>
      <w:r>
        <w:rPr>
          <w:rFonts w:cs="Arial"/>
        </w:rPr>
        <w:t>T</w:t>
      </w:r>
      <w:r w:rsidRPr="00FB43C6">
        <w:rPr>
          <w:rFonts w:cs="Arial"/>
        </w:rPr>
        <w:t xml:space="preserve">riton X-100, 1% glycerol, 1 mM EDTA, 1 mM EGTA, phosphatase </w:t>
      </w:r>
      <w:r w:rsidRPr="00FB43C6">
        <w:rPr>
          <w:rFonts w:cs="Arial"/>
        </w:rPr>
        <w:lastRenderedPageBreak/>
        <w:t>and protease inhibitors.</w:t>
      </w:r>
      <w:r>
        <w:rPr>
          <w:rFonts w:cs="Arial"/>
        </w:rPr>
        <w:t xml:space="preserve"> Samples were diluted to 0.1mg / mL total protein and cytokines (</w:t>
      </w:r>
      <w:r w:rsidRPr="00997D57">
        <w:rPr>
          <w:rFonts w:cs="Arial"/>
        </w:rPr>
        <w:t>IFN-</w:t>
      </w:r>
      <w:r>
        <w:rPr>
          <w:rFonts w:cs="Arial"/>
        </w:rPr>
        <w:t xml:space="preserve">γ, </w:t>
      </w:r>
      <w:r w:rsidRPr="00997D57">
        <w:rPr>
          <w:rFonts w:cs="Arial"/>
        </w:rPr>
        <w:t>IL-1</w:t>
      </w:r>
      <w:r w:rsidRPr="00FB43C6">
        <w:rPr>
          <w:rFonts w:cs="Arial"/>
          <w:lang w:val="it-IT"/>
        </w:rPr>
        <w:t>β</w:t>
      </w:r>
      <w:r w:rsidRPr="00FB43C6">
        <w:rPr>
          <w:rFonts w:cs="Arial"/>
        </w:rPr>
        <w:t xml:space="preserve">, </w:t>
      </w:r>
      <w:r w:rsidRPr="00997D57">
        <w:rPr>
          <w:rFonts w:cs="Arial"/>
        </w:rPr>
        <w:t>TNF-</w:t>
      </w:r>
      <w:r>
        <w:rPr>
          <w:rFonts w:cs="Arial"/>
        </w:rPr>
        <w:t>α,</w:t>
      </w:r>
      <w:r w:rsidRPr="00997D57">
        <w:rPr>
          <w:rFonts w:cs="Arial"/>
        </w:rPr>
        <w:t xml:space="preserve"> IL-6</w:t>
      </w:r>
      <w:r>
        <w:rPr>
          <w:rFonts w:cs="Arial"/>
        </w:rPr>
        <w:t>,</w:t>
      </w:r>
      <w:r w:rsidRPr="00FB43C6">
        <w:rPr>
          <w:rFonts w:cs="Arial"/>
        </w:rPr>
        <w:t xml:space="preserve"> IL-4</w:t>
      </w:r>
      <w:r>
        <w:rPr>
          <w:rFonts w:cs="Arial"/>
        </w:rPr>
        <w:t>,</w:t>
      </w:r>
      <w:r w:rsidRPr="00997D57">
        <w:rPr>
          <w:rFonts w:cs="Arial"/>
        </w:rPr>
        <w:t xml:space="preserve"> IL-10</w:t>
      </w:r>
      <w:r>
        <w:rPr>
          <w:rFonts w:cs="Arial"/>
        </w:rPr>
        <w:t xml:space="preserve">, and </w:t>
      </w:r>
      <w:r w:rsidRPr="00997D57">
        <w:rPr>
          <w:rFonts w:cs="Arial"/>
        </w:rPr>
        <w:t>IL-33</w:t>
      </w:r>
      <w:r>
        <w:rPr>
          <w:rFonts w:cs="Arial"/>
        </w:rPr>
        <w:t xml:space="preserve">) were measured on </w:t>
      </w:r>
      <w:r w:rsidRPr="003225FC">
        <w:rPr>
          <w:rFonts w:cs="Arial"/>
        </w:rPr>
        <w:t xml:space="preserve">Meso Scale Discovery V-PLEX </w:t>
      </w:r>
      <w:r>
        <w:rPr>
          <w:rFonts w:cs="Arial"/>
        </w:rPr>
        <w:t>custom mice (</w:t>
      </w:r>
      <w:r w:rsidRPr="003225FC">
        <w:rPr>
          <w:rFonts w:cs="Arial"/>
        </w:rPr>
        <w:t>K152A0H-1)</w:t>
      </w:r>
      <w:r>
        <w:rPr>
          <w:rFonts w:cs="Arial"/>
        </w:rPr>
        <w:t xml:space="preserve"> and read</w:t>
      </w:r>
      <w:r w:rsidRPr="003225FC">
        <w:rPr>
          <w:rFonts w:cs="Arial"/>
        </w:rPr>
        <w:t xml:space="preserve"> on a Meso Scale Discovery SECTOR 600 (Meso Scale Discovery).</w:t>
      </w:r>
      <w:r>
        <w:rPr>
          <w:rFonts w:cs="Arial"/>
        </w:rPr>
        <w:t xml:space="preserve"> </w:t>
      </w:r>
      <w:r>
        <w:rPr>
          <w:rFonts w:cs="Arial"/>
        </w:rPr>
        <w:br w:type="page"/>
      </w:r>
    </w:p>
    <w:p w14:paraId="4DB3FA2C" w14:textId="77777777" w:rsidR="00F82628" w:rsidRDefault="00F82628" w:rsidP="00F82628">
      <w:pPr>
        <w:pStyle w:val="Heading1"/>
      </w:pPr>
      <w:r>
        <w:lastRenderedPageBreak/>
        <w:t>Supplementary figures</w:t>
      </w:r>
    </w:p>
    <w:p w14:paraId="0C913A03" w14:textId="77777777" w:rsidR="00F82628" w:rsidRPr="008814D1" w:rsidRDefault="00F82628" w:rsidP="00F82628">
      <w:r>
        <w:rPr>
          <w:noProof/>
        </w:rPr>
        <w:drawing>
          <wp:inline distT="0" distB="0" distL="0" distR="0" wp14:anchorId="2E1723E7" wp14:editId="48C91F9F">
            <wp:extent cx="5715000" cy="448056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15000" cy="4480560"/>
                    </a:xfrm>
                    <a:prstGeom prst="rect">
                      <a:avLst/>
                    </a:prstGeom>
                  </pic:spPr>
                </pic:pic>
              </a:graphicData>
            </a:graphic>
          </wp:inline>
        </w:drawing>
      </w:r>
    </w:p>
    <w:p w14:paraId="3A6B3844" w14:textId="77777777" w:rsidR="00F82628" w:rsidRDefault="00F82628" w:rsidP="00F82628">
      <w:pPr>
        <w:rPr>
          <w:rFonts w:cs="Arial"/>
        </w:rPr>
      </w:pPr>
      <w:r w:rsidRPr="00101A37">
        <w:rPr>
          <w:rFonts w:cs="Arial"/>
          <w:b/>
        </w:rPr>
        <w:t xml:space="preserve">Supplementary figure </w:t>
      </w:r>
      <w:r>
        <w:rPr>
          <w:rFonts w:cs="Arial"/>
          <w:b/>
        </w:rPr>
        <w:t>1</w:t>
      </w:r>
      <w:r w:rsidRPr="00101A37">
        <w:rPr>
          <w:rFonts w:cs="Arial"/>
          <w:b/>
        </w:rPr>
        <w:t>. Immunostaining of CERT</w:t>
      </w:r>
      <w:r w:rsidRPr="00FE5F17">
        <w:rPr>
          <w:rFonts w:cs="Arial"/>
          <w:b/>
          <w:vertAlign w:val="subscript"/>
        </w:rPr>
        <w:t>L</w:t>
      </w:r>
      <w:r w:rsidRPr="00101A37">
        <w:rPr>
          <w:rFonts w:cs="Arial"/>
          <w:b/>
        </w:rPr>
        <w:t xml:space="preserve"> </w:t>
      </w:r>
      <w:r>
        <w:rPr>
          <w:rFonts w:cs="Arial"/>
          <w:b/>
        </w:rPr>
        <w:t>i</w:t>
      </w:r>
      <w:r w:rsidRPr="00101A37">
        <w:rPr>
          <w:rFonts w:cs="Arial"/>
          <w:b/>
        </w:rPr>
        <w:t xml:space="preserve">n </w:t>
      </w:r>
      <w:r>
        <w:rPr>
          <w:rFonts w:cs="Arial"/>
          <w:b/>
        </w:rPr>
        <w:t xml:space="preserve">the </w:t>
      </w:r>
      <w:r w:rsidRPr="00101A37">
        <w:rPr>
          <w:rFonts w:cs="Arial"/>
          <w:b/>
        </w:rPr>
        <w:t xml:space="preserve">brain and </w:t>
      </w:r>
      <w:r>
        <w:rPr>
          <w:rFonts w:cs="Arial"/>
          <w:b/>
        </w:rPr>
        <w:t xml:space="preserve">analysis of </w:t>
      </w:r>
      <w:r w:rsidRPr="00101A37">
        <w:rPr>
          <w:rFonts w:cs="Arial"/>
          <w:b/>
        </w:rPr>
        <w:t>CERT</w:t>
      </w:r>
      <w:r w:rsidRPr="00FE5F17">
        <w:rPr>
          <w:rFonts w:cs="Arial"/>
          <w:b/>
          <w:vertAlign w:val="subscript"/>
        </w:rPr>
        <w:t>L</w:t>
      </w:r>
      <w:r w:rsidRPr="00101A37">
        <w:rPr>
          <w:rFonts w:cs="Arial"/>
          <w:b/>
        </w:rPr>
        <w:t xml:space="preserve"> A</w:t>
      </w:r>
      <w:r w:rsidRPr="00101A37">
        <w:rPr>
          <w:rFonts w:ascii="Calibri" w:hAnsi="Calibri" w:cs="Calibri"/>
          <w:b/>
        </w:rPr>
        <w:t>β</w:t>
      </w:r>
      <w:r w:rsidRPr="00101A37">
        <w:rPr>
          <w:rFonts w:cs="Arial"/>
          <w:b/>
        </w:rPr>
        <w:t xml:space="preserve"> interaction by far </w:t>
      </w:r>
      <w:r>
        <w:rPr>
          <w:rFonts w:cs="Arial"/>
          <w:b/>
        </w:rPr>
        <w:t>W</w:t>
      </w:r>
      <w:r w:rsidRPr="00101A37">
        <w:rPr>
          <w:rFonts w:cs="Arial"/>
          <w:b/>
        </w:rPr>
        <w:t>estern blot.</w:t>
      </w:r>
      <w:r>
        <w:rPr>
          <w:rFonts w:cs="Arial"/>
        </w:rPr>
        <w:t xml:space="preserve"> A) Photomicrographs of a 5xFAD brain section showing CERT and APP/A</w:t>
      </w:r>
      <w:r w:rsidRPr="009B19F2">
        <w:rPr>
          <w:rFonts w:cs="Arial"/>
        </w:rPr>
        <w:t>β</w:t>
      </w:r>
      <w:r>
        <w:rPr>
          <w:rFonts w:cs="Arial"/>
        </w:rPr>
        <w:t xml:space="preserve"> colocalization intra and extra neurons. CERT is shown in red, APP/A</w:t>
      </w:r>
      <w:r w:rsidRPr="009B19F2">
        <w:rPr>
          <w:rFonts w:cs="Arial"/>
        </w:rPr>
        <w:t>β</w:t>
      </w:r>
      <w:r>
        <w:rPr>
          <w:rFonts w:cs="Arial"/>
        </w:rPr>
        <w:t xml:space="preserve"> in green, neurons in magenta and nuclei in blue. Arrows point to intra and extra-neuronal colocalization B) Image showing detection of recombinant CERT</w:t>
      </w:r>
      <w:r w:rsidRPr="00903BB0">
        <w:rPr>
          <w:rFonts w:cs="Arial"/>
          <w:vertAlign w:val="subscript"/>
        </w:rPr>
        <w:t>L</w:t>
      </w:r>
      <w:r>
        <w:rPr>
          <w:rFonts w:cs="Arial"/>
        </w:rPr>
        <w:t xml:space="preserve"> separated by SDS-PAGE, transferred to membrane and detected with anti-CERT</w:t>
      </w:r>
      <w:r w:rsidRPr="00903BB0">
        <w:rPr>
          <w:rFonts w:cs="Arial"/>
          <w:vertAlign w:val="subscript"/>
        </w:rPr>
        <w:t>L</w:t>
      </w:r>
      <w:r>
        <w:rPr>
          <w:rFonts w:cs="Arial"/>
        </w:rPr>
        <w:t xml:space="preserve"> antibody without </w:t>
      </w:r>
      <w:r w:rsidRPr="00AB5E3B">
        <w:rPr>
          <w:rFonts w:cs="Arial"/>
        </w:rPr>
        <w:t>Aβ</w:t>
      </w:r>
      <w:r w:rsidRPr="00AB5E3B">
        <w:rPr>
          <w:rFonts w:cs="Arial"/>
          <w:vertAlign w:val="subscript"/>
        </w:rPr>
        <w:t>1-42</w:t>
      </w:r>
      <w:r w:rsidRPr="00AB5E3B">
        <w:rPr>
          <w:rFonts w:cs="Arial"/>
        </w:rPr>
        <w:t xml:space="preserve"> peptide</w:t>
      </w:r>
      <w:r>
        <w:rPr>
          <w:rFonts w:cs="Arial"/>
        </w:rPr>
        <w:t xml:space="preserve"> pre-incubation. CERT</w:t>
      </w:r>
      <w:r w:rsidRPr="00903BB0">
        <w:rPr>
          <w:rFonts w:cs="Arial"/>
          <w:vertAlign w:val="subscript"/>
        </w:rPr>
        <w:t>L</w:t>
      </w:r>
      <w:r>
        <w:rPr>
          <w:rFonts w:cs="Arial"/>
        </w:rPr>
        <w:t xml:space="preserve"> was detected with anti-</w:t>
      </w:r>
      <w:r w:rsidRPr="00AB5E3B">
        <w:rPr>
          <w:rFonts w:cs="Arial"/>
        </w:rPr>
        <w:t>Aβ</w:t>
      </w:r>
      <w:r>
        <w:rPr>
          <w:rFonts w:cs="Arial"/>
          <w:vertAlign w:val="subscript"/>
        </w:rPr>
        <w:t xml:space="preserve"> </w:t>
      </w:r>
      <w:r>
        <w:rPr>
          <w:rFonts w:cs="Arial"/>
        </w:rPr>
        <w:t xml:space="preserve">antibody after </w:t>
      </w:r>
      <w:r w:rsidRPr="00AB5E3B">
        <w:rPr>
          <w:rFonts w:cs="Arial"/>
        </w:rPr>
        <w:t>Aβ</w:t>
      </w:r>
      <w:r w:rsidRPr="00AB5E3B">
        <w:rPr>
          <w:rFonts w:cs="Arial"/>
          <w:vertAlign w:val="subscript"/>
        </w:rPr>
        <w:t>1-42</w:t>
      </w:r>
      <w:r w:rsidRPr="00AB5E3B">
        <w:rPr>
          <w:rFonts w:cs="Arial"/>
        </w:rPr>
        <w:t xml:space="preserve"> peptide</w:t>
      </w:r>
      <w:r>
        <w:rPr>
          <w:rFonts w:cs="Arial"/>
        </w:rPr>
        <w:t xml:space="preserve"> pre-incubation. </w:t>
      </w:r>
      <w:r w:rsidRPr="00AB5E3B">
        <w:rPr>
          <w:rFonts w:cs="Arial"/>
        </w:rPr>
        <w:t>IgG</w:t>
      </w:r>
      <w:r>
        <w:rPr>
          <w:rFonts w:cs="Arial"/>
        </w:rPr>
        <w:t xml:space="preserve"> remained </w:t>
      </w:r>
      <w:r w:rsidRPr="00AB5E3B">
        <w:rPr>
          <w:rFonts w:cs="Arial"/>
        </w:rPr>
        <w:t>negative control</w:t>
      </w:r>
      <w:r>
        <w:rPr>
          <w:rFonts w:cs="Arial"/>
        </w:rPr>
        <w:t>. C</w:t>
      </w:r>
      <w:r>
        <w:t>)</w:t>
      </w:r>
      <w:r w:rsidRPr="00772688">
        <w:rPr>
          <w:rFonts w:cs="Arial"/>
        </w:rPr>
        <w:t xml:space="preserve"> </w:t>
      </w:r>
      <w:r>
        <w:rPr>
          <w:rFonts w:cs="Arial"/>
        </w:rPr>
        <w:t xml:space="preserve">Image showing </w:t>
      </w:r>
      <w:r w:rsidRPr="00AB5E3B">
        <w:rPr>
          <w:rFonts w:cs="Arial"/>
        </w:rPr>
        <w:t>Aβ</w:t>
      </w:r>
      <w:r w:rsidRPr="00AB5E3B">
        <w:rPr>
          <w:rFonts w:cs="Arial"/>
          <w:vertAlign w:val="subscript"/>
        </w:rPr>
        <w:t>1-42</w:t>
      </w:r>
      <w:r w:rsidRPr="00AB5E3B">
        <w:rPr>
          <w:rFonts w:cs="Arial"/>
        </w:rPr>
        <w:t xml:space="preserve"> peptide</w:t>
      </w:r>
      <w:r>
        <w:rPr>
          <w:rFonts w:cs="Arial"/>
        </w:rPr>
        <w:t xml:space="preserve"> separated by SDS-PAGE, transferred to membrane and detected with anti-</w:t>
      </w:r>
      <w:r w:rsidRPr="00AB5E3B">
        <w:rPr>
          <w:rFonts w:cs="Arial"/>
        </w:rPr>
        <w:t>Aβ</w:t>
      </w:r>
      <w:r>
        <w:rPr>
          <w:rFonts w:cs="Arial"/>
          <w:vertAlign w:val="subscript"/>
        </w:rPr>
        <w:t xml:space="preserve"> </w:t>
      </w:r>
      <w:r>
        <w:rPr>
          <w:rFonts w:cs="Arial"/>
        </w:rPr>
        <w:t>antibody (6E10). After recombinant CERT</w:t>
      </w:r>
      <w:r w:rsidRPr="00354B66">
        <w:rPr>
          <w:rFonts w:cs="Arial"/>
          <w:vertAlign w:val="subscript"/>
        </w:rPr>
        <w:t>L</w:t>
      </w:r>
      <w:r>
        <w:rPr>
          <w:rFonts w:cs="Arial"/>
        </w:rPr>
        <w:t xml:space="preserve"> incubation, </w:t>
      </w:r>
      <w:r w:rsidRPr="00AB5E3B">
        <w:rPr>
          <w:rFonts w:cs="Arial"/>
        </w:rPr>
        <w:t>Aβ</w:t>
      </w:r>
      <w:r w:rsidRPr="00AB5E3B">
        <w:rPr>
          <w:rFonts w:cs="Arial"/>
          <w:vertAlign w:val="subscript"/>
        </w:rPr>
        <w:t>1-42</w:t>
      </w:r>
      <w:r w:rsidRPr="00AB5E3B">
        <w:rPr>
          <w:rFonts w:cs="Arial"/>
        </w:rPr>
        <w:t xml:space="preserve"> peptide</w:t>
      </w:r>
      <w:r>
        <w:rPr>
          <w:rFonts w:cs="Arial"/>
        </w:rPr>
        <w:t xml:space="preserve"> was immunolabeled with anti-CERT</w:t>
      </w:r>
      <w:r w:rsidRPr="00354B66">
        <w:rPr>
          <w:rFonts w:cs="Arial"/>
          <w:vertAlign w:val="subscript"/>
        </w:rPr>
        <w:t>L</w:t>
      </w:r>
      <w:r>
        <w:rPr>
          <w:rFonts w:cs="Arial"/>
        </w:rPr>
        <w:t xml:space="preserve"> antibody but not with </w:t>
      </w:r>
      <w:r w:rsidRPr="00AB5E3B">
        <w:rPr>
          <w:rFonts w:cs="Arial"/>
        </w:rPr>
        <w:t xml:space="preserve">a 17 kDa Lama antibody fragment (H6) </w:t>
      </w:r>
      <w:r w:rsidRPr="00AB5E3B">
        <w:rPr>
          <w:rFonts w:cs="Arial"/>
        </w:rPr>
        <w:lastRenderedPageBreak/>
        <w:t>(negative control)</w:t>
      </w:r>
      <w:r>
        <w:rPr>
          <w:rFonts w:cs="Arial"/>
        </w:rPr>
        <w:t xml:space="preserve">. D) </w:t>
      </w:r>
      <w:r>
        <w:t>Percentage of T</w:t>
      </w:r>
      <w:r w:rsidRPr="000E4992">
        <w:rPr>
          <w:rFonts w:cs="Arial"/>
        </w:rPr>
        <w:t>hioflavin</w:t>
      </w:r>
      <w:r>
        <w:rPr>
          <w:rFonts w:cs="Arial"/>
        </w:rPr>
        <w:t xml:space="preserve"> </w:t>
      </w:r>
      <w:r w:rsidRPr="000E4992">
        <w:rPr>
          <w:rFonts w:cs="Arial"/>
        </w:rPr>
        <w:t xml:space="preserve">T (ThT) </w:t>
      </w:r>
      <w:r>
        <w:rPr>
          <w:rFonts w:cs="Arial"/>
        </w:rPr>
        <w:t>fluorescence intensity to detect</w:t>
      </w:r>
      <w:r w:rsidRPr="000E4992">
        <w:rPr>
          <w:rFonts w:cs="Arial"/>
        </w:rPr>
        <w:t xml:space="preserve"> </w:t>
      </w:r>
      <w:r w:rsidRPr="00D42DAA">
        <w:rPr>
          <w:rFonts w:cs="Arial"/>
        </w:rPr>
        <w:t xml:space="preserve">aggregation </w:t>
      </w:r>
      <w:r>
        <w:rPr>
          <w:rFonts w:cs="Arial"/>
        </w:rPr>
        <w:t xml:space="preserve">of </w:t>
      </w:r>
      <w:r w:rsidRPr="000E4992">
        <w:rPr>
          <w:rFonts w:cs="Arial"/>
        </w:rPr>
        <w:t>A</w:t>
      </w:r>
      <w:r w:rsidRPr="00D94F73">
        <w:rPr>
          <w:rFonts w:cs="Arial"/>
        </w:rPr>
        <w:t>β</w:t>
      </w:r>
      <w:r w:rsidRPr="00100C40">
        <w:rPr>
          <w:rFonts w:cs="Arial"/>
          <w:vertAlign w:val="subscript"/>
        </w:rPr>
        <w:t>1-42</w:t>
      </w:r>
      <w:r>
        <w:rPr>
          <w:rFonts w:cs="Arial"/>
        </w:rPr>
        <w:t xml:space="preserve">, concentrated 20 </w:t>
      </w:r>
      <w:r w:rsidRPr="00D42DAA">
        <w:rPr>
          <w:rFonts w:cs="Arial"/>
        </w:rPr>
        <w:t>µM</w:t>
      </w:r>
      <w:r>
        <w:rPr>
          <w:rFonts w:cs="Arial"/>
        </w:rPr>
        <w:t>,</w:t>
      </w:r>
      <w:r w:rsidRPr="00D42DAA">
        <w:rPr>
          <w:rFonts w:cs="Arial"/>
        </w:rPr>
        <w:t xml:space="preserve"> </w:t>
      </w:r>
      <w:r>
        <w:rPr>
          <w:rFonts w:cs="Arial"/>
        </w:rPr>
        <w:t>alone</w:t>
      </w:r>
      <w:r w:rsidRPr="00D42DAA">
        <w:rPr>
          <w:rFonts w:cs="Arial"/>
        </w:rPr>
        <w:t xml:space="preserve"> or </w:t>
      </w:r>
      <w:r>
        <w:rPr>
          <w:rFonts w:cs="Arial"/>
        </w:rPr>
        <w:t xml:space="preserve">in </w:t>
      </w:r>
      <w:r w:rsidRPr="00D42DAA">
        <w:rPr>
          <w:rFonts w:cs="Arial"/>
        </w:rPr>
        <w:t>presence of recombinant CERT</w:t>
      </w:r>
      <w:r w:rsidRPr="00D42DAA">
        <w:rPr>
          <w:rFonts w:cs="Arial"/>
          <w:vertAlign w:val="subscript"/>
        </w:rPr>
        <w:t>L</w:t>
      </w:r>
      <w:r w:rsidRPr="000E4992">
        <w:rPr>
          <w:rFonts w:cs="Arial"/>
        </w:rPr>
        <w:t xml:space="preserve"> </w:t>
      </w:r>
      <w:r>
        <w:rPr>
          <w:rFonts w:cs="Arial"/>
        </w:rPr>
        <w:t xml:space="preserve">2.5 </w:t>
      </w:r>
      <w:r w:rsidRPr="00D42DAA">
        <w:rPr>
          <w:rFonts w:cs="Arial"/>
        </w:rPr>
        <w:t>µM</w:t>
      </w:r>
      <w:r>
        <w:rPr>
          <w:rFonts w:cs="Arial"/>
        </w:rPr>
        <w:t>, anti-</w:t>
      </w:r>
      <w:r w:rsidRPr="00CC5FAB">
        <w:rPr>
          <w:rFonts w:cs="Arial"/>
        </w:rPr>
        <w:t xml:space="preserve"> </w:t>
      </w:r>
      <w:r w:rsidRPr="000E4992">
        <w:rPr>
          <w:rFonts w:cs="Arial"/>
        </w:rPr>
        <w:t>A</w:t>
      </w:r>
      <w:r w:rsidRPr="00D94F73">
        <w:rPr>
          <w:rFonts w:cs="Arial"/>
        </w:rPr>
        <w:t>β</w:t>
      </w:r>
      <w:r>
        <w:rPr>
          <w:rFonts w:cs="Arial"/>
        </w:rPr>
        <w:t xml:space="preserve"> epitope 1-16 (6E10) or 17-24 (4G8), dosed 0.1mg/mL, at 20 hours</w:t>
      </w:r>
      <w:r w:rsidRPr="00284E6B">
        <w:rPr>
          <w:rFonts w:cs="Arial"/>
        </w:rPr>
        <w:t xml:space="preserve">. Each data point represents the </w:t>
      </w:r>
      <w:r>
        <w:rPr>
          <w:rFonts w:cs="Arial"/>
        </w:rPr>
        <w:t xml:space="preserve">percentage of </w:t>
      </w:r>
      <w:r w:rsidRPr="00284E6B">
        <w:rPr>
          <w:rFonts w:cs="Arial"/>
        </w:rPr>
        <w:t>mean fluorescent intensity of three wells.</w:t>
      </w:r>
      <w:r>
        <w:rPr>
          <w:rFonts w:cs="Arial"/>
        </w:rPr>
        <w:t xml:space="preserve"> </w:t>
      </w:r>
      <w:r w:rsidRPr="0050661F">
        <w:rPr>
          <w:rFonts w:cs="Arial"/>
        </w:rPr>
        <w:t>(</w:t>
      </w:r>
      <w:r>
        <w:rPr>
          <w:rFonts w:cs="Arial"/>
        </w:rPr>
        <w:t xml:space="preserve">ANOVA; </w:t>
      </w:r>
      <w:r w:rsidRPr="00A245B4">
        <w:rPr>
          <w:rFonts w:cs="Arial"/>
        </w:rPr>
        <w:t>Dunnett's multiple comparisons test</w:t>
      </w:r>
      <w:r>
        <w:rPr>
          <w:rFonts w:cs="Arial"/>
        </w:rPr>
        <w:t xml:space="preserve"> </w:t>
      </w:r>
      <w:r w:rsidRPr="0050661F">
        <w:rPr>
          <w:rFonts w:cs="Arial"/>
        </w:rPr>
        <w:t>*p&lt; 0.05</w:t>
      </w:r>
      <w:r>
        <w:rPr>
          <w:rFonts w:cs="Arial"/>
        </w:rPr>
        <w:t>, ***p&lt;0.001)</w:t>
      </w:r>
    </w:p>
    <w:p w14:paraId="3E5A64DE" w14:textId="77777777" w:rsidR="00F82628" w:rsidRDefault="00F82628" w:rsidP="00F82628">
      <w:pPr>
        <w:rPr>
          <w:rFonts w:cs="Arial"/>
        </w:rPr>
      </w:pPr>
      <w:r>
        <w:rPr>
          <w:rFonts w:cs="Arial"/>
        </w:rPr>
        <w:br w:type="page"/>
      </w:r>
    </w:p>
    <w:p w14:paraId="2CDC5C29" w14:textId="77777777" w:rsidR="00F82628" w:rsidRPr="007068B3" w:rsidRDefault="00F82628" w:rsidP="00F82628">
      <w:r w:rsidRPr="00777F0A">
        <w:rPr>
          <w:noProof/>
          <w:lang w:val="nl-NL" w:eastAsia="nl-NL"/>
        </w:rPr>
        <w:lastRenderedPageBreak/>
        <w:drawing>
          <wp:inline distT="0" distB="0" distL="0" distR="0" wp14:anchorId="66CEF445" wp14:editId="2C7DEF48">
            <wp:extent cx="5760422" cy="7202017"/>
            <wp:effectExtent l="0" t="0" r="0" b="0"/>
            <wp:docPr id="9" name="Picture 9"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qr cod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422" cy="7202017"/>
                    </a:xfrm>
                    <a:prstGeom prst="rect">
                      <a:avLst/>
                    </a:prstGeom>
                  </pic:spPr>
                </pic:pic>
              </a:graphicData>
            </a:graphic>
          </wp:inline>
        </w:drawing>
      </w:r>
    </w:p>
    <w:p w14:paraId="1CC85DA0" w14:textId="77777777" w:rsidR="00F82628" w:rsidRDefault="00F82628" w:rsidP="00F82628">
      <w:pPr>
        <w:rPr>
          <w:rFonts w:cs="Arial"/>
        </w:rPr>
      </w:pPr>
      <w:r w:rsidRPr="00FA7E65">
        <w:rPr>
          <w:rFonts w:cs="Arial"/>
          <w:b/>
        </w:rPr>
        <w:t xml:space="preserve">Supplementary figure </w:t>
      </w:r>
      <w:r>
        <w:rPr>
          <w:rFonts w:cs="Arial"/>
          <w:b/>
        </w:rPr>
        <w:t>2.</w:t>
      </w:r>
      <w:r w:rsidRPr="00FA7E65">
        <w:rPr>
          <w:rFonts w:cs="Arial"/>
          <w:b/>
        </w:rPr>
        <w:t xml:space="preserve"> </w:t>
      </w:r>
      <w:r>
        <w:rPr>
          <w:rFonts w:cs="Arial"/>
          <w:b/>
        </w:rPr>
        <w:t>CERTs concentration in WT compared to 5xFAD and e</w:t>
      </w:r>
      <w:r w:rsidRPr="00FA7E65">
        <w:rPr>
          <w:rFonts w:cs="Arial"/>
          <w:b/>
        </w:rPr>
        <w:t xml:space="preserve">vidence of </w:t>
      </w:r>
      <w:r>
        <w:rPr>
          <w:rFonts w:cs="Arial"/>
          <w:b/>
        </w:rPr>
        <w:t>CERT</w:t>
      </w:r>
      <w:r w:rsidRPr="007625F8">
        <w:rPr>
          <w:rFonts w:cs="Arial"/>
          <w:b/>
          <w:vertAlign w:val="subscript"/>
        </w:rPr>
        <w:t>L</w:t>
      </w:r>
      <w:r>
        <w:rPr>
          <w:rFonts w:cs="Arial"/>
          <w:b/>
        </w:rPr>
        <w:t xml:space="preserve"> </w:t>
      </w:r>
      <w:r w:rsidRPr="00FA7E65">
        <w:rPr>
          <w:rFonts w:cs="Arial"/>
          <w:b/>
        </w:rPr>
        <w:t xml:space="preserve">transduction </w:t>
      </w:r>
      <w:r w:rsidRPr="00FA7E65">
        <w:rPr>
          <w:rFonts w:cs="Arial"/>
          <w:b/>
          <w:i/>
        </w:rPr>
        <w:t>in vitro</w:t>
      </w:r>
      <w:r w:rsidRPr="00FA7E65">
        <w:rPr>
          <w:rFonts w:cs="Arial"/>
          <w:b/>
        </w:rPr>
        <w:t xml:space="preserve"> and </w:t>
      </w:r>
      <w:r w:rsidRPr="00FA7E65">
        <w:rPr>
          <w:rFonts w:cs="Arial"/>
          <w:b/>
          <w:i/>
        </w:rPr>
        <w:t>in vivo</w:t>
      </w:r>
      <w:r w:rsidRPr="00FA7E65">
        <w:rPr>
          <w:rFonts w:cs="Arial"/>
          <w:b/>
        </w:rPr>
        <w:t>.</w:t>
      </w:r>
      <w:r w:rsidRPr="00FA7E65">
        <w:rPr>
          <w:rFonts w:cs="Arial"/>
        </w:rPr>
        <w:t xml:space="preserve"> </w:t>
      </w:r>
      <w:r>
        <w:rPr>
          <w:rFonts w:cs="Arial"/>
        </w:rPr>
        <w:t>A</w:t>
      </w:r>
      <w:r w:rsidRPr="00FA7E65">
        <w:rPr>
          <w:rFonts w:cs="Arial"/>
        </w:rPr>
        <w:t xml:space="preserve">) AAVs transduction on neuronal primary cell culture. </w:t>
      </w:r>
      <w:r w:rsidRPr="00FA7E65">
        <w:rPr>
          <w:rFonts w:cs="Arial"/>
        </w:rPr>
        <w:lastRenderedPageBreak/>
        <w:t xml:space="preserve">Neonatal rat neuronal cells were isolated from </w:t>
      </w:r>
      <w:r>
        <w:rPr>
          <w:rFonts w:cs="Arial"/>
        </w:rPr>
        <w:t xml:space="preserve">the </w:t>
      </w:r>
      <w:r w:rsidRPr="00FA7E65">
        <w:rPr>
          <w:rFonts w:cs="Arial"/>
        </w:rPr>
        <w:t xml:space="preserve">cortex of </w:t>
      </w:r>
      <w:r>
        <w:rPr>
          <w:rFonts w:cs="Arial"/>
        </w:rPr>
        <w:t>pups at embryonic day 18</w:t>
      </w:r>
      <w:r w:rsidRPr="00FA7E65">
        <w:rPr>
          <w:rFonts w:cs="Arial"/>
        </w:rPr>
        <w:t xml:space="preserve">. After </w:t>
      </w:r>
      <w:r>
        <w:rPr>
          <w:rFonts w:cs="Arial"/>
        </w:rPr>
        <w:t>2-3</w:t>
      </w:r>
      <w:r w:rsidRPr="00FA7E65">
        <w:rPr>
          <w:rFonts w:cs="Arial"/>
        </w:rPr>
        <w:t xml:space="preserve"> week</w:t>
      </w:r>
      <w:r>
        <w:rPr>
          <w:rFonts w:cs="Arial"/>
        </w:rPr>
        <w:t>s</w:t>
      </w:r>
      <w:r w:rsidRPr="00FA7E65">
        <w:rPr>
          <w:rFonts w:cs="Arial"/>
        </w:rPr>
        <w:t xml:space="preserve"> </w:t>
      </w:r>
      <w:r>
        <w:rPr>
          <w:rFonts w:cs="Arial"/>
        </w:rPr>
        <w:t xml:space="preserve">in </w:t>
      </w:r>
      <w:r>
        <w:t>Neurobasal medium</w:t>
      </w:r>
      <w:r w:rsidRPr="00FA7E65">
        <w:rPr>
          <w:rFonts w:cs="Arial"/>
        </w:rPr>
        <w:t xml:space="preserve"> were </w:t>
      </w:r>
      <w:r>
        <w:rPr>
          <w:rFonts w:cs="Arial"/>
        </w:rPr>
        <w:t>incubated</w:t>
      </w:r>
      <w:r w:rsidRPr="00FA7E65">
        <w:rPr>
          <w:rFonts w:cs="Arial"/>
        </w:rPr>
        <w:t xml:space="preserve"> with AAVs particles at the dose of 100 multiplicity of infection (MOI) for 6 days. CERT</w:t>
      </w:r>
      <w:r w:rsidRPr="00FE5F17">
        <w:rPr>
          <w:rFonts w:cs="Arial"/>
          <w:vertAlign w:val="subscript"/>
        </w:rPr>
        <w:t>L</w:t>
      </w:r>
      <w:r w:rsidRPr="00FA7E65">
        <w:rPr>
          <w:rFonts w:cs="Arial"/>
        </w:rPr>
        <w:t xml:space="preserve"> was visualized </w:t>
      </w:r>
      <w:r>
        <w:rPr>
          <w:rFonts w:cs="Arial"/>
        </w:rPr>
        <w:t>in red and nuclei in blue. B</w:t>
      </w:r>
      <w:r w:rsidRPr="00FA7E65">
        <w:rPr>
          <w:rFonts w:cs="Arial"/>
        </w:rPr>
        <w:t xml:space="preserve">) </w:t>
      </w:r>
      <w:r>
        <w:rPr>
          <w:rFonts w:cs="Arial"/>
        </w:rPr>
        <w:t>A t</w:t>
      </w:r>
      <w:r w:rsidRPr="00FA7E65">
        <w:rPr>
          <w:rFonts w:cs="Arial"/>
        </w:rPr>
        <w:t xml:space="preserve">imeline describing </w:t>
      </w:r>
      <w:r>
        <w:rPr>
          <w:rFonts w:cs="Arial"/>
        </w:rPr>
        <w:t xml:space="preserve">the </w:t>
      </w:r>
      <w:r w:rsidRPr="00FA7E65">
        <w:rPr>
          <w:rFonts w:cs="Arial"/>
        </w:rPr>
        <w:t xml:space="preserve">experimental design to assess transduction efficiency </w:t>
      </w:r>
      <w:r w:rsidRPr="00FA7E65">
        <w:rPr>
          <w:rFonts w:cs="Arial"/>
          <w:i/>
        </w:rPr>
        <w:t>in vivo</w:t>
      </w:r>
      <w:r w:rsidRPr="00FA7E65">
        <w:rPr>
          <w:rFonts w:cs="Arial"/>
        </w:rPr>
        <w:t xml:space="preserve">. </w:t>
      </w:r>
      <w:r>
        <w:rPr>
          <w:rFonts w:cs="Arial"/>
        </w:rPr>
        <w:t>C</w:t>
      </w:r>
      <w:r w:rsidRPr="00FA7E65">
        <w:rPr>
          <w:rFonts w:cs="Arial"/>
        </w:rPr>
        <w:t>) AAVs transduction in WT animals 1, 2, 6- and 12-weeks post</w:t>
      </w:r>
      <w:r>
        <w:rPr>
          <w:rFonts w:cs="Arial"/>
        </w:rPr>
        <w:t>-</w:t>
      </w:r>
      <w:r w:rsidRPr="00FA7E65">
        <w:rPr>
          <w:rFonts w:cs="Arial"/>
        </w:rPr>
        <w:t xml:space="preserve">injection by </w:t>
      </w:r>
      <w:r>
        <w:rPr>
          <w:rFonts w:cs="Arial"/>
        </w:rPr>
        <w:t xml:space="preserve">immunofluorescence. </w:t>
      </w:r>
      <w:r w:rsidRPr="00FA7E65">
        <w:rPr>
          <w:rFonts w:cs="Arial"/>
        </w:rPr>
        <w:t>CERT</w:t>
      </w:r>
      <w:r w:rsidRPr="009F4313">
        <w:rPr>
          <w:rFonts w:cs="Arial"/>
          <w:sz w:val="24"/>
          <w:vertAlign w:val="subscript"/>
        </w:rPr>
        <w:t>s</w:t>
      </w:r>
      <w:r>
        <w:rPr>
          <w:rFonts w:cs="Arial"/>
          <w:vertAlign w:val="subscript"/>
        </w:rPr>
        <w:t xml:space="preserve"> </w:t>
      </w:r>
      <w:r w:rsidRPr="009F4313">
        <w:rPr>
          <w:rFonts w:cs="Arial"/>
        </w:rPr>
        <w:t>were visu</w:t>
      </w:r>
      <w:r>
        <w:rPr>
          <w:rFonts w:cs="Arial"/>
        </w:rPr>
        <w:t>a</w:t>
      </w:r>
      <w:r w:rsidRPr="00521B7B">
        <w:rPr>
          <w:rFonts w:cs="Arial"/>
        </w:rPr>
        <w:t>l</w:t>
      </w:r>
      <w:r w:rsidRPr="009F4313">
        <w:rPr>
          <w:rFonts w:cs="Arial"/>
        </w:rPr>
        <w:t>ized</w:t>
      </w:r>
      <w:r>
        <w:rPr>
          <w:rFonts w:cs="Arial"/>
        </w:rPr>
        <w:t xml:space="preserve"> in red</w:t>
      </w:r>
      <w:r w:rsidRPr="00FA7E65">
        <w:rPr>
          <w:rFonts w:cs="Arial"/>
        </w:rPr>
        <w:t xml:space="preserve"> </w:t>
      </w:r>
      <w:r>
        <w:rPr>
          <w:rFonts w:cs="Arial"/>
        </w:rPr>
        <w:t xml:space="preserve">and nuclei in blue (scale bar 50 </w:t>
      </w:r>
      <w:r>
        <w:rPr>
          <w:rFonts w:ascii="Calibri" w:hAnsi="Calibri" w:cs="Arial"/>
        </w:rPr>
        <w:t>μ</w:t>
      </w:r>
      <w:r w:rsidRPr="000E4992">
        <w:rPr>
          <w:rFonts w:cs="Arial"/>
        </w:rPr>
        <w:t>m</w:t>
      </w:r>
      <w:r>
        <w:rPr>
          <w:rFonts w:cs="Arial"/>
        </w:rPr>
        <w:t>). D</w:t>
      </w:r>
      <w:r w:rsidRPr="00FA7E65">
        <w:rPr>
          <w:rFonts w:cs="Arial"/>
        </w:rPr>
        <w:t xml:space="preserve">) </w:t>
      </w:r>
      <w:r>
        <w:rPr>
          <w:rFonts w:cs="Arial"/>
        </w:rPr>
        <w:t>I</w:t>
      </w:r>
      <w:r w:rsidRPr="00FA7E65">
        <w:rPr>
          <w:rFonts w:cs="Arial"/>
        </w:rPr>
        <w:t>mmuno</w:t>
      </w:r>
      <w:r>
        <w:rPr>
          <w:rFonts w:cs="Arial"/>
        </w:rPr>
        <w:t>fluorescence</w:t>
      </w:r>
      <w:r w:rsidRPr="00FA7E65">
        <w:rPr>
          <w:rFonts w:cs="Arial"/>
        </w:rPr>
        <w:t xml:space="preserve"> </w:t>
      </w:r>
      <w:r>
        <w:rPr>
          <w:rFonts w:cs="Arial"/>
        </w:rPr>
        <w:t xml:space="preserve">staining </w:t>
      </w:r>
      <w:r w:rsidRPr="00FA7E65">
        <w:rPr>
          <w:rFonts w:cs="Arial"/>
        </w:rPr>
        <w:t>on brain sections</w:t>
      </w:r>
      <w:r>
        <w:rPr>
          <w:rFonts w:cs="Arial"/>
        </w:rPr>
        <w:t xml:space="preserve"> showing injections site</w:t>
      </w:r>
      <w:r w:rsidRPr="00FA7E65">
        <w:rPr>
          <w:rFonts w:cs="Arial"/>
        </w:rPr>
        <w:t xml:space="preserve"> </w:t>
      </w:r>
      <w:r>
        <w:rPr>
          <w:rFonts w:cs="Arial"/>
        </w:rPr>
        <w:t>(</w:t>
      </w:r>
      <w:r w:rsidRPr="0050661F">
        <w:rPr>
          <w:rFonts w:cs="Arial"/>
        </w:rPr>
        <w:t>CERT</w:t>
      </w:r>
      <w:r w:rsidRPr="0050661F">
        <w:rPr>
          <w:rFonts w:cs="Arial"/>
          <w:b/>
          <w:vertAlign w:val="subscript"/>
        </w:rPr>
        <w:t>L</w:t>
      </w:r>
      <w:r>
        <w:rPr>
          <w:rFonts w:cs="Arial"/>
          <w:b/>
          <w:vertAlign w:val="subscript"/>
        </w:rPr>
        <w:t xml:space="preserve"> </w:t>
      </w:r>
      <w:r w:rsidRPr="003A26DB">
        <w:rPr>
          <w:rFonts w:cs="Arial"/>
          <w:bCs/>
        </w:rPr>
        <w:t>in red</w:t>
      </w:r>
      <w:r w:rsidRPr="0050661F">
        <w:rPr>
          <w:rFonts w:cs="Arial"/>
        </w:rPr>
        <w:t xml:space="preserve"> </w:t>
      </w:r>
      <w:r>
        <w:rPr>
          <w:rFonts w:cs="Arial"/>
        </w:rPr>
        <w:t xml:space="preserve">and nuclei in blue). </w:t>
      </w:r>
      <w:r w:rsidRPr="000E4992">
        <w:rPr>
          <w:rFonts w:cs="Arial"/>
        </w:rPr>
        <w:t>Scale bars 2</w:t>
      </w:r>
      <w:r>
        <w:rPr>
          <w:rFonts w:cs="Arial"/>
        </w:rPr>
        <w:t>0</w:t>
      </w:r>
      <w:r w:rsidRPr="000E4992">
        <w:rPr>
          <w:rFonts w:cs="Arial"/>
        </w:rPr>
        <w:t xml:space="preserve">0 and 50 </w:t>
      </w:r>
      <w:r>
        <w:rPr>
          <w:rFonts w:ascii="Calibri" w:hAnsi="Calibri" w:cs="Arial"/>
        </w:rPr>
        <w:t>μ</w:t>
      </w:r>
      <w:r w:rsidRPr="000E4992">
        <w:rPr>
          <w:rFonts w:cs="Arial"/>
        </w:rPr>
        <w:t xml:space="preserve">m. </w:t>
      </w:r>
      <w:r w:rsidRPr="006654B4">
        <w:rPr>
          <w:rFonts w:cs="Arial"/>
          <w:b/>
        </w:rPr>
        <w:t>M1</w:t>
      </w:r>
      <w:r w:rsidRPr="006654B4">
        <w:rPr>
          <w:rFonts w:cs="Arial"/>
        </w:rPr>
        <w:t>:</w:t>
      </w:r>
      <w:r w:rsidRPr="000E4992">
        <w:rPr>
          <w:rFonts w:cs="Arial"/>
        </w:rPr>
        <w:t xml:space="preserve"> </w:t>
      </w:r>
      <w:r w:rsidRPr="006654B4">
        <w:rPr>
          <w:rFonts w:cs="Arial"/>
        </w:rPr>
        <w:t>motor</w:t>
      </w:r>
      <w:r w:rsidRPr="000E4992">
        <w:rPr>
          <w:rFonts w:cs="Arial"/>
        </w:rPr>
        <w:t xml:space="preserve"> sensory </w:t>
      </w:r>
      <w:r w:rsidRPr="006654B4">
        <w:rPr>
          <w:rFonts w:cs="Arial"/>
        </w:rPr>
        <w:t xml:space="preserve">cortex 1; </w:t>
      </w:r>
      <w:r w:rsidRPr="006654B4">
        <w:rPr>
          <w:rFonts w:cs="Arial"/>
          <w:b/>
        </w:rPr>
        <w:t>M2</w:t>
      </w:r>
      <w:r w:rsidRPr="006654B4">
        <w:rPr>
          <w:rFonts w:cs="Arial"/>
        </w:rPr>
        <w:t>:</w:t>
      </w:r>
      <w:r w:rsidRPr="000E4992">
        <w:rPr>
          <w:rFonts w:cs="Arial"/>
        </w:rPr>
        <w:t xml:space="preserve"> </w:t>
      </w:r>
      <w:r>
        <w:rPr>
          <w:rFonts w:cs="Arial"/>
        </w:rPr>
        <w:t>m</w:t>
      </w:r>
      <w:r w:rsidRPr="006654B4">
        <w:rPr>
          <w:rFonts w:cs="Arial"/>
        </w:rPr>
        <w:t>otor</w:t>
      </w:r>
      <w:r w:rsidRPr="000E4992">
        <w:rPr>
          <w:rFonts w:cs="Arial"/>
        </w:rPr>
        <w:t xml:space="preserve"> sensory </w:t>
      </w:r>
      <w:r w:rsidRPr="006654B4">
        <w:rPr>
          <w:rFonts w:cs="Arial"/>
        </w:rPr>
        <w:t xml:space="preserve">cortex 2; </w:t>
      </w:r>
      <w:r w:rsidRPr="006654B4">
        <w:rPr>
          <w:rFonts w:cs="Arial"/>
          <w:b/>
        </w:rPr>
        <w:t>LV</w:t>
      </w:r>
      <w:r w:rsidRPr="006654B4">
        <w:rPr>
          <w:rFonts w:cs="Arial"/>
        </w:rPr>
        <w:t xml:space="preserve">: lateral </w:t>
      </w:r>
      <w:r w:rsidRPr="000E4992">
        <w:rPr>
          <w:rFonts w:cs="Arial"/>
        </w:rPr>
        <w:t>ventricle</w:t>
      </w:r>
      <w:r w:rsidRPr="006654B4">
        <w:rPr>
          <w:rFonts w:cs="Arial"/>
        </w:rPr>
        <w:t xml:space="preserve">; </w:t>
      </w:r>
      <w:r w:rsidRPr="006654B4">
        <w:rPr>
          <w:rFonts w:cs="Arial"/>
          <w:b/>
        </w:rPr>
        <w:t>I,</w:t>
      </w:r>
      <w:r>
        <w:rPr>
          <w:rFonts w:cs="Arial"/>
          <w:b/>
        </w:rPr>
        <w:t xml:space="preserve"> </w:t>
      </w:r>
      <w:r w:rsidRPr="006654B4">
        <w:rPr>
          <w:rFonts w:cs="Arial"/>
          <w:b/>
        </w:rPr>
        <w:t>II,</w:t>
      </w:r>
      <w:r>
        <w:rPr>
          <w:rFonts w:cs="Arial"/>
          <w:b/>
        </w:rPr>
        <w:t xml:space="preserve"> </w:t>
      </w:r>
      <w:r w:rsidRPr="006654B4">
        <w:rPr>
          <w:rFonts w:cs="Arial"/>
          <w:b/>
        </w:rPr>
        <w:t>III, IV</w:t>
      </w:r>
      <w:r>
        <w:rPr>
          <w:rFonts w:cs="Arial"/>
          <w:b/>
        </w:rPr>
        <w:t>,</w:t>
      </w:r>
      <w:r w:rsidRPr="006654B4">
        <w:rPr>
          <w:rFonts w:cs="Arial"/>
        </w:rPr>
        <w:t xml:space="preserve"> and </w:t>
      </w:r>
      <w:r w:rsidRPr="006654B4">
        <w:rPr>
          <w:rFonts w:cs="Arial"/>
          <w:b/>
        </w:rPr>
        <w:t>V</w:t>
      </w:r>
      <w:r w:rsidRPr="006654B4">
        <w:rPr>
          <w:rFonts w:cs="Arial"/>
        </w:rPr>
        <w:t xml:space="preserve"> </w:t>
      </w:r>
      <w:r w:rsidRPr="000E4992">
        <w:rPr>
          <w:rFonts w:cs="Arial"/>
        </w:rPr>
        <w:t>cortical laye</w:t>
      </w:r>
      <w:r w:rsidRPr="003F7BFD">
        <w:rPr>
          <w:rFonts w:cs="Arial"/>
        </w:rPr>
        <w:t>rs.</w:t>
      </w:r>
      <w:r>
        <w:rPr>
          <w:rFonts w:cs="Arial"/>
        </w:rPr>
        <w:t xml:space="preserve"> E)</w:t>
      </w:r>
      <w:r w:rsidRPr="00525F02">
        <w:rPr>
          <w:rFonts w:cs="Arial"/>
        </w:rPr>
        <w:t xml:space="preserve"> </w:t>
      </w:r>
      <w:r w:rsidRPr="00FA7E65">
        <w:rPr>
          <w:rFonts w:cs="Arial"/>
        </w:rPr>
        <w:t xml:space="preserve">AAVs were tested for </w:t>
      </w:r>
      <w:r>
        <w:rPr>
          <w:rFonts w:cs="Arial"/>
        </w:rPr>
        <w:t xml:space="preserve">brain </w:t>
      </w:r>
      <w:r w:rsidRPr="00FA7E65">
        <w:rPr>
          <w:rFonts w:cs="Arial"/>
        </w:rPr>
        <w:t>transduction in WT animals 1, 2, 6- and 12-weeks post</w:t>
      </w:r>
      <w:r>
        <w:rPr>
          <w:rFonts w:cs="Arial"/>
        </w:rPr>
        <w:t>-</w:t>
      </w:r>
      <w:r w:rsidRPr="00FA7E65">
        <w:rPr>
          <w:rFonts w:cs="Arial"/>
        </w:rPr>
        <w:t>injection by qPCR</w:t>
      </w:r>
      <w:r>
        <w:rPr>
          <w:rFonts w:cs="Arial"/>
        </w:rPr>
        <w:t xml:space="preserve">. </w:t>
      </w:r>
      <w:r w:rsidRPr="0050661F">
        <w:rPr>
          <w:rFonts w:cs="Arial"/>
        </w:rPr>
        <w:t xml:space="preserve">Bars represent the mean ± S.E.M </w:t>
      </w:r>
      <w:r>
        <w:rPr>
          <w:rFonts w:cs="Arial"/>
        </w:rPr>
        <w:t>3/</w:t>
      </w:r>
      <w:r w:rsidRPr="0050661F">
        <w:rPr>
          <w:rFonts w:cs="Arial"/>
        </w:rPr>
        <w:t>per group</w:t>
      </w:r>
      <w:r>
        <w:rPr>
          <w:rFonts w:cs="Arial"/>
        </w:rPr>
        <w:t>. A significant increase in CERT</w:t>
      </w:r>
      <w:r w:rsidRPr="009364D9">
        <w:rPr>
          <w:rFonts w:cs="Arial"/>
          <w:vertAlign w:val="subscript"/>
        </w:rPr>
        <w:t>L</w:t>
      </w:r>
      <w:r>
        <w:rPr>
          <w:rFonts w:cs="Arial"/>
        </w:rPr>
        <w:t xml:space="preserve"> transduction was measured independently from time point </w:t>
      </w:r>
      <w:r w:rsidRPr="0050661F">
        <w:rPr>
          <w:rFonts w:cs="Arial"/>
        </w:rPr>
        <w:t>(</w:t>
      </w:r>
      <w:r>
        <w:rPr>
          <w:rFonts w:cs="Arial"/>
        </w:rPr>
        <w:t xml:space="preserve">ANOVA; </w:t>
      </w:r>
      <w:r w:rsidRPr="0050661F">
        <w:rPr>
          <w:rFonts w:cs="Arial"/>
        </w:rPr>
        <w:t>*p&lt; 0.05</w:t>
      </w:r>
      <w:r>
        <w:rPr>
          <w:rFonts w:cs="Arial"/>
        </w:rPr>
        <w:t>).</w:t>
      </w:r>
    </w:p>
    <w:p w14:paraId="4DBC769A" w14:textId="77777777" w:rsidR="00F82628" w:rsidRDefault="00F82628" w:rsidP="00F82628">
      <w:pPr>
        <w:rPr>
          <w:rFonts w:cs="Arial"/>
        </w:rPr>
      </w:pPr>
    </w:p>
    <w:p w14:paraId="521EC39E" w14:textId="77777777" w:rsidR="00F82628" w:rsidRDefault="00F82628" w:rsidP="00F82628">
      <w:pPr>
        <w:rPr>
          <w:rFonts w:cs="Arial"/>
        </w:rPr>
      </w:pPr>
      <w:r w:rsidRPr="00EA5C41">
        <w:rPr>
          <w:noProof/>
          <w:lang w:val="nl-NL" w:eastAsia="nl-NL"/>
        </w:rPr>
        <w:lastRenderedPageBreak/>
        <w:drawing>
          <wp:inline distT="0" distB="0" distL="0" distR="0" wp14:anchorId="76516C6D" wp14:editId="2CB9988C">
            <wp:extent cx="5896701" cy="5384800"/>
            <wp:effectExtent l="0" t="0" r="8890" b="6350"/>
            <wp:docPr id="10" name="Picture 10" descr="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ngineering draw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4632" cy="5392043"/>
                    </a:xfrm>
                    <a:prstGeom prst="rect">
                      <a:avLst/>
                    </a:prstGeom>
                  </pic:spPr>
                </pic:pic>
              </a:graphicData>
            </a:graphic>
          </wp:inline>
        </w:drawing>
      </w:r>
    </w:p>
    <w:p w14:paraId="01435DCB" w14:textId="77777777" w:rsidR="00F82628" w:rsidRPr="00EB67C6" w:rsidRDefault="00F82628" w:rsidP="00F82628">
      <w:pPr>
        <w:rPr>
          <w:rFonts w:cs="Arial"/>
        </w:rPr>
      </w:pPr>
      <w:r w:rsidRPr="0096681E">
        <w:rPr>
          <w:rFonts w:cs="Arial"/>
          <w:b/>
        </w:rPr>
        <w:t>Supplementary figure 3. Sphingolipid changes in the hippocampus region</w:t>
      </w:r>
      <w:r>
        <w:rPr>
          <w:rFonts w:cs="Arial"/>
          <w:b/>
        </w:rPr>
        <w:t xml:space="preserve"> of AAV-control or AAV-CERT</w:t>
      </w:r>
      <w:r w:rsidRPr="009364D9">
        <w:rPr>
          <w:rFonts w:cs="Arial"/>
          <w:b/>
          <w:vertAlign w:val="subscript"/>
        </w:rPr>
        <w:t>L</w:t>
      </w:r>
      <w:r>
        <w:rPr>
          <w:rFonts w:cs="Arial"/>
          <w:b/>
        </w:rPr>
        <w:t xml:space="preserve"> treated WT and 5xFAD mice</w:t>
      </w:r>
      <w:r w:rsidRPr="0096681E">
        <w:rPr>
          <w:rFonts w:cs="Arial"/>
          <w:b/>
        </w:rPr>
        <w:t>.</w:t>
      </w:r>
      <w:r>
        <w:rPr>
          <w:rFonts w:cs="Arial"/>
          <w:b/>
        </w:rPr>
        <w:t xml:space="preserve"> </w:t>
      </w:r>
      <w:r w:rsidRPr="00284E6B">
        <w:rPr>
          <w:rFonts w:cs="Arial"/>
        </w:rPr>
        <w:t xml:space="preserve">Sphingolipids levels were measured in the </w:t>
      </w:r>
      <w:r>
        <w:rPr>
          <w:rFonts w:cs="Arial"/>
        </w:rPr>
        <w:t>hippocampus</w:t>
      </w:r>
      <w:r w:rsidRPr="00284E6B">
        <w:rPr>
          <w:rFonts w:cs="Arial"/>
        </w:rPr>
        <w:t xml:space="preserve"> by HPLC-MS/MS. Ceramides were </w:t>
      </w:r>
      <w:r>
        <w:rPr>
          <w:rFonts w:cs="Arial"/>
        </w:rPr>
        <w:t>classifie</w:t>
      </w:r>
      <w:r w:rsidRPr="00284E6B">
        <w:rPr>
          <w:rFonts w:cs="Arial"/>
        </w:rPr>
        <w:t>d based on acyl chain number of carbons (Cer</w:t>
      </w:r>
      <w:r>
        <w:rPr>
          <w:rFonts w:cs="Arial"/>
        </w:rPr>
        <w:t xml:space="preserve"> d18:1/</w:t>
      </w:r>
      <w:r w:rsidRPr="00284E6B">
        <w:rPr>
          <w:rFonts w:cs="Arial"/>
        </w:rPr>
        <w:t>16:0, Cer</w:t>
      </w:r>
      <w:r>
        <w:rPr>
          <w:rFonts w:cs="Arial"/>
        </w:rPr>
        <w:t xml:space="preserve"> d18:1/</w:t>
      </w:r>
      <w:r w:rsidRPr="00284E6B">
        <w:rPr>
          <w:rFonts w:cs="Arial"/>
        </w:rPr>
        <w:t>18:0, Cer</w:t>
      </w:r>
      <w:r>
        <w:rPr>
          <w:rFonts w:cs="Arial"/>
        </w:rPr>
        <w:t xml:space="preserve"> d18:1/</w:t>
      </w:r>
      <w:r w:rsidRPr="00284E6B">
        <w:rPr>
          <w:rFonts w:cs="Arial"/>
        </w:rPr>
        <w:t>18</w:t>
      </w:r>
      <w:r w:rsidRPr="0050661F">
        <w:rPr>
          <w:rFonts w:cs="Arial"/>
        </w:rPr>
        <w:t xml:space="preserve">:1, </w:t>
      </w:r>
      <w:r w:rsidRPr="00284E6B">
        <w:rPr>
          <w:rFonts w:cs="Arial"/>
        </w:rPr>
        <w:t>Cer</w:t>
      </w:r>
      <w:r>
        <w:rPr>
          <w:rFonts w:cs="Arial"/>
        </w:rPr>
        <w:t xml:space="preserve"> d18:1/</w:t>
      </w:r>
      <w:r w:rsidRPr="0050661F">
        <w:rPr>
          <w:rFonts w:cs="Arial"/>
        </w:rPr>
        <w:t xml:space="preserve">20:0, </w:t>
      </w:r>
      <w:r w:rsidRPr="00284E6B">
        <w:rPr>
          <w:rFonts w:cs="Arial"/>
        </w:rPr>
        <w:t>Cer</w:t>
      </w:r>
      <w:r>
        <w:rPr>
          <w:rFonts w:cs="Arial"/>
        </w:rPr>
        <w:t xml:space="preserve"> d18:1/</w:t>
      </w:r>
      <w:r w:rsidRPr="0050661F">
        <w:rPr>
          <w:rFonts w:cs="Arial"/>
        </w:rPr>
        <w:t xml:space="preserve">22:0 and </w:t>
      </w:r>
      <w:r w:rsidRPr="00284E6B">
        <w:rPr>
          <w:rFonts w:cs="Arial"/>
        </w:rPr>
        <w:t>Cer</w:t>
      </w:r>
      <w:r>
        <w:rPr>
          <w:rFonts w:cs="Arial"/>
        </w:rPr>
        <w:t xml:space="preserve"> d18:1/</w:t>
      </w:r>
      <w:r w:rsidRPr="0050661F">
        <w:rPr>
          <w:rFonts w:cs="Arial"/>
        </w:rPr>
        <w:t xml:space="preserve">24:1). </w:t>
      </w:r>
      <w:r>
        <w:rPr>
          <w:rFonts w:cs="Arial"/>
        </w:rPr>
        <w:t>as well as sphingomyelin</w:t>
      </w:r>
      <w:r w:rsidRPr="0050661F">
        <w:rPr>
          <w:rFonts w:cs="Arial"/>
        </w:rPr>
        <w:t xml:space="preserve"> (SM</w:t>
      </w:r>
      <w:r>
        <w:rPr>
          <w:rFonts w:cs="Arial"/>
        </w:rPr>
        <w:t xml:space="preserve"> d18:1/</w:t>
      </w:r>
      <w:r w:rsidRPr="0050661F">
        <w:rPr>
          <w:rFonts w:cs="Arial"/>
        </w:rPr>
        <w:t>16:0, SM</w:t>
      </w:r>
      <w:r>
        <w:rPr>
          <w:rFonts w:cs="Arial"/>
        </w:rPr>
        <w:t xml:space="preserve"> d18:1/</w:t>
      </w:r>
      <w:r w:rsidRPr="0050661F">
        <w:rPr>
          <w:rFonts w:cs="Arial"/>
        </w:rPr>
        <w:t>18:0, SM</w:t>
      </w:r>
      <w:r>
        <w:rPr>
          <w:rFonts w:cs="Arial"/>
        </w:rPr>
        <w:t xml:space="preserve"> d18:1/</w:t>
      </w:r>
      <w:r w:rsidRPr="0050661F">
        <w:rPr>
          <w:rFonts w:cs="Arial"/>
        </w:rPr>
        <w:t>18:1, SM</w:t>
      </w:r>
      <w:r>
        <w:rPr>
          <w:rFonts w:cs="Arial"/>
        </w:rPr>
        <w:t xml:space="preserve"> d18:1/</w:t>
      </w:r>
      <w:r w:rsidRPr="0050661F">
        <w:rPr>
          <w:rFonts w:cs="Arial"/>
        </w:rPr>
        <w:t>20:0, SM</w:t>
      </w:r>
      <w:r>
        <w:rPr>
          <w:rFonts w:cs="Arial"/>
        </w:rPr>
        <w:t xml:space="preserve"> d18:1/</w:t>
      </w:r>
      <w:r w:rsidRPr="0050661F">
        <w:rPr>
          <w:rFonts w:cs="Arial"/>
        </w:rPr>
        <w:t>22:0 and SM</w:t>
      </w:r>
      <w:r>
        <w:rPr>
          <w:rFonts w:cs="Arial"/>
        </w:rPr>
        <w:t xml:space="preserve"> d18:1/</w:t>
      </w:r>
      <w:r w:rsidRPr="0050661F">
        <w:rPr>
          <w:rFonts w:cs="Arial"/>
        </w:rPr>
        <w:t>24:1). Ceramides levels were expressed as pg / mg tissue</w:t>
      </w:r>
      <w:r>
        <w:rPr>
          <w:rFonts w:cs="Arial"/>
        </w:rPr>
        <w:t>,</w:t>
      </w:r>
      <w:r w:rsidRPr="0050661F">
        <w:rPr>
          <w:rFonts w:cs="Arial"/>
        </w:rPr>
        <w:t xml:space="preserve"> while sphingomyelins </w:t>
      </w:r>
      <w:r>
        <w:rPr>
          <w:rFonts w:cs="Arial"/>
        </w:rPr>
        <w:t>were</w:t>
      </w:r>
      <w:r w:rsidRPr="0050661F">
        <w:rPr>
          <w:rFonts w:cs="Arial"/>
        </w:rPr>
        <w:t xml:space="preserve"> expressed as pmol</w:t>
      </w:r>
      <w:r>
        <w:rPr>
          <w:rFonts w:cs="Arial"/>
        </w:rPr>
        <w:t>/</w:t>
      </w:r>
      <w:r w:rsidRPr="0050661F">
        <w:rPr>
          <w:rFonts w:cs="Arial"/>
        </w:rPr>
        <w:t>mg tissue. Bars represent the mean ± S.E.M per group</w:t>
      </w:r>
      <w:r>
        <w:rPr>
          <w:rFonts w:cs="Arial"/>
        </w:rPr>
        <w:t xml:space="preserve"> </w:t>
      </w:r>
      <w:r w:rsidRPr="0050661F">
        <w:rPr>
          <w:rFonts w:cs="Arial"/>
        </w:rPr>
        <w:t>(</w:t>
      </w:r>
      <w:r>
        <w:rPr>
          <w:rFonts w:cs="Arial"/>
        </w:rPr>
        <w:t>Two-way ANOVA, LSD, s</w:t>
      </w:r>
      <w:r w:rsidRPr="0050661F">
        <w:rPr>
          <w:rFonts w:cs="Arial"/>
        </w:rPr>
        <w:t>ignificant effect</w:t>
      </w:r>
      <w:r>
        <w:rPr>
          <w:rFonts w:cs="Arial"/>
        </w:rPr>
        <w:t>s</w:t>
      </w:r>
      <w:r w:rsidRPr="0050661F">
        <w:rPr>
          <w:rFonts w:cs="Arial"/>
        </w:rPr>
        <w:t>, *p&lt; 0.05; **p&lt;0.01; ***p&lt;0.001).</w:t>
      </w:r>
    </w:p>
    <w:p w14:paraId="1071DC9C" w14:textId="77777777" w:rsidR="00F82628" w:rsidRDefault="00F82628" w:rsidP="00F82628">
      <w:pPr>
        <w:rPr>
          <w:rFonts w:cs="Arial"/>
        </w:rPr>
      </w:pPr>
      <w:r>
        <w:rPr>
          <w:rFonts w:cs="Arial"/>
        </w:rPr>
        <w:lastRenderedPageBreak/>
        <w:br w:type="page"/>
      </w:r>
    </w:p>
    <w:p w14:paraId="7B29186C" w14:textId="77777777" w:rsidR="00F82628" w:rsidRDefault="00F82628" w:rsidP="00F82628">
      <w:pPr>
        <w:rPr>
          <w:rFonts w:cs="Arial"/>
        </w:rPr>
      </w:pPr>
      <w:r w:rsidRPr="00EA5C41">
        <w:rPr>
          <w:noProof/>
          <w:lang w:val="nl-NL" w:eastAsia="nl-NL"/>
        </w:rPr>
        <w:lastRenderedPageBreak/>
        <w:drawing>
          <wp:inline distT="0" distB="0" distL="0" distR="0" wp14:anchorId="671DEB94" wp14:editId="01E379DE">
            <wp:extent cx="5760720" cy="7202424"/>
            <wp:effectExtent l="0" t="0" r="0"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202424"/>
                    </a:xfrm>
                    <a:prstGeom prst="rect">
                      <a:avLst/>
                    </a:prstGeom>
                  </pic:spPr>
                </pic:pic>
              </a:graphicData>
            </a:graphic>
          </wp:inline>
        </w:drawing>
      </w:r>
    </w:p>
    <w:p w14:paraId="729AE513" w14:textId="77777777" w:rsidR="00F82628" w:rsidRPr="00FA7E65" w:rsidRDefault="00F82628" w:rsidP="00F82628">
      <w:pPr>
        <w:rPr>
          <w:rFonts w:cs="Arial"/>
        </w:rPr>
      </w:pPr>
      <w:r w:rsidRPr="0096681E">
        <w:rPr>
          <w:rFonts w:cs="Arial"/>
          <w:b/>
        </w:rPr>
        <w:t>Supplementary figure 4. Sphingolipid changes in plasma</w:t>
      </w:r>
      <w:r w:rsidRPr="00667AC7">
        <w:rPr>
          <w:rFonts w:cs="Arial"/>
          <w:b/>
        </w:rPr>
        <w:t xml:space="preserve"> </w:t>
      </w:r>
      <w:r>
        <w:rPr>
          <w:rFonts w:cs="Arial"/>
          <w:b/>
        </w:rPr>
        <w:t>of AAV-control or AAV-CER</w:t>
      </w:r>
      <w:r w:rsidRPr="00DA3EEE">
        <w:rPr>
          <w:rFonts w:cs="Arial"/>
          <w:b/>
        </w:rPr>
        <w:t>T</w:t>
      </w:r>
      <w:r w:rsidRPr="009364D9">
        <w:rPr>
          <w:rFonts w:cs="Arial"/>
          <w:b/>
          <w:vertAlign w:val="subscript"/>
        </w:rPr>
        <w:t>L</w:t>
      </w:r>
      <w:r>
        <w:rPr>
          <w:rFonts w:cs="Arial"/>
          <w:b/>
        </w:rPr>
        <w:t xml:space="preserve"> treated WT and 5xFAD mice</w:t>
      </w:r>
      <w:r w:rsidRPr="0096681E">
        <w:rPr>
          <w:rFonts w:cs="Arial"/>
          <w:b/>
        </w:rPr>
        <w:t>.</w:t>
      </w:r>
      <w:r>
        <w:rPr>
          <w:rFonts w:cs="Arial"/>
        </w:rPr>
        <w:t xml:space="preserve"> Plasma was collected 1 week before AAV injection (time1), 2 (time </w:t>
      </w:r>
      <w:r>
        <w:rPr>
          <w:rFonts w:cs="Arial"/>
        </w:rPr>
        <w:lastRenderedPageBreak/>
        <w:t xml:space="preserve">2), and 6 (time 3) weeks after injection, and when the experiment was ended (time 4). </w:t>
      </w:r>
      <w:r w:rsidRPr="00284E6B">
        <w:rPr>
          <w:rFonts w:cs="Arial"/>
        </w:rPr>
        <w:t xml:space="preserve">Sphingolipids levels were measured </w:t>
      </w:r>
      <w:r>
        <w:rPr>
          <w:rFonts w:cs="Arial"/>
        </w:rPr>
        <w:t>at each time point</w:t>
      </w:r>
      <w:r w:rsidRPr="00284E6B">
        <w:rPr>
          <w:rFonts w:cs="Arial"/>
        </w:rPr>
        <w:t xml:space="preserve"> by HPLC-MS/MS. Ceramides were </w:t>
      </w:r>
      <w:r>
        <w:rPr>
          <w:rFonts w:cs="Arial"/>
        </w:rPr>
        <w:t>classifie</w:t>
      </w:r>
      <w:r w:rsidRPr="00284E6B">
        <w:rPr>
          <w:rFonts w:cs="Arial"/>
        </w:rPr>
        <w:t>d based on acyl chain number of carbons (Cer</w:t>
      </w:r>
      <w:r>
        <w:rPr>
          <w:rFonts w:cs="Arial"/>
        </w:rPr>
        <w:t xml:space="preserve"> d18:1/</w:t>
      </w:r>
      <w:r w:rsidRPr="00284E6B">
        <w:rPr>
          <w:rFonts w:cs="Arial"/>
        </w:rPr>
        <w:t>16:0, Cer</w:t>
      </w:r>
      <w:r>
        <w:rPr>
          <w:rFonts w:cs="Arial"/>
        </w:rPr>
        <w:t xml:space="preserve"> d18:1/</w:t>
      </w:r>
      <w:r w:rsidRPr="00284E6B">
        <w:rPr>
          <w:rFonts w:cs="Arial"/>
        </w:rPr>
        <w:t>18:0, Cer</w:t>
      </w:r>
      <w:r>
        <w:rPr>
          <w:rFonts w:cs="Arial"/>
        </w:rPr>
        <w:t xml:space="preserve"> d18:1/</w:t>
      </w:r>
      <w:r w:rsidRPr="00284E6B">
        <w:rPr>
          <w:rFonts w:cs="Arial"/>
        </w:rPr>
        <w:t>18</w:t>
      </w:r>
      <w:r w:rsidRPr="0050661F">
        <w:rPr>
          <w:rFonts w:cs="Arial"/>
        </w:rPr>
        <w:t xml:space="preserve">:1, </w:t>
      </w:r>
      <w:r w:rsidRPr="00284E6B">
        <w:rPr>
          <w:rFonts w:cs="Arial"/>
        </w:rPr>
        <w:t>Cer</w:t>
      </w:r>
      <w:r>
        <w:rPr>
          <w:rFonts w:cs="Arial"/>
        </w:rPr>
        <w:t xml:space="preserve"> d18:1/</w:t>
      </w:r>
      <w:r w:rsidRPr="0050661F">
        <w:rPr>
          <w:rFonts w:cs="Arial"/>
        </w:rPr>
        <w:t xml:space="preserve">20:0, </w:t>
      </w:r>
      <w:r w:rsidRPr="00284E6B">
        <w:rPr>
          <w:rFonts w:cs="Arial"/>
        </w:rPr>
        <w:t>Cer</w:t>
      </w:r>
      <w:r>
        <w:rPr>
          <w:rFonts w:cs="Arial"/>
        </w:rPr>
        <w:t xml:space="preserve"> d18:1/</w:t>
      </w:r>
      <w:r w:rsidRPr="0050661F">
        <w:rPr>
          <w:rFonts w:cs="Arial"/>
        </w:rPr>
        <w:t xml:space="preserve">22:0 and </w:t>
      </w:r>
      <w:r w:rsidRPr="00284E6B">
        <w:rPr>
          <w:rFonts w:cs="Arial"/>
        </w:rPr>
        <w:t>Cer</w:t>
      </w:r>
      <w:r>
        <w:rPr>
          <w:rFonts w:cs="Arial"/>
        </w:rPr>
        <w:t xml:space="preserve"> d18:1/</w:t>
      </w:r>
      <w:r w:rsidRPr="0050661F">
        <w:rPr>
          <w:rFonts w:cs="Arial"/>
        </w:rPr>
        <w:t xml:space="preserve">24:1). Ceramides </w:t>
      </w:r>
      <w:r>
        <w:rPr>
          <w:rFonts w:cs="Arial"/>
        </w:rPr>
        <w:t>concentration is expressed in µ Molarity</w:t>
      </w:r>
      <w:r w:rsidRPr="0050661F">
        <w:rPr>
          <w:rFonts w:cs="Arial"/>
        </w:rPr>
        <w:t>. Bars represent the mean ± S.E.M per group</w:t>
      </w:r>
      <w:r>
        <w:rPr>
          <w:rFonts w:cs="Arial"/>
        </w:rPr>
        <w:t xml:space="preserve"> </w:t>
      </w:r>
      <w:r w:rsidRPr="0050661F">
        <w:rPr>
          <w:rFonts w:cs="Arial"/>
        </w:rPr>
        <w:t>(</w:t>
      </w:r>
      <w:r>
        <w:rPr>
          <w:rFonts w:cs="Arial"/>
        </w:rPr>
        <w:t>Two-way ANOVA, Bonferroni correction, s</w:t>
      </w:r>
      <w:r w:rsidRPr="0050661F">
        <w:rPr>
          <w:rFonts w:cs="Arial"/>
        </w:rPr>
        <w:t>ignificant effect</w:t>
      </w:r>
      <w:r>
        <w:rPr>
          <w:rFonts w:cs="Arial"/>
        </w:rPr>
        <w:t>s</w:t>
      </w:r>
      <w:r w:rsidRPr="0050661F">
        <w:rPr>
          <w:rFonts w:cs="Arial"/>
        </w:rPr>
        <w:t xml:space="preserve">, </w:t>
      </w:r>
      <w:r>
        <w:rPr>
          <w:rFonts w:cs="Arial"/>
        </w:rPr>
        <w:t>WT AAV-control vs 5xFAD AAV-CERT</w:t>
      </w:r>
      <w:r w:rsidRPr="004915EE">
        <w:rPr>
          <w:rFonts w:cs="Arial"/>
          <w:vertAlign w:val="subscript"/>
        </w:rPr>
        <w:t>L</w:t>
      </w:r>
      <w:r>
        <w:rPr>
          <w:rFonts w:cs="Arial"/>
        </w:rPr>
        <w:t xml:space="preserve"> §p&lt;0.05; 5xFAD AAV-control vs 5xFAD AAV-CERT</w:t>
      </w:r>
      <w:r w:rsidRPr="009A521C">
        <w:rPr>
          <w:rFonts w:cs="Arial"/>
          <w:vertAlign w:val="subscript"/>
        </w:rPr>
        <w:t>L</w:t>
      </w:r>
      <w:r>
        <w:rPr>
          <w:rFonts w:cs="Arial"/>
        </w:rPr>
        <w:t xml:space="preserve"> *p&lt;0.05).</w:t>
      </w:r>
    </w:p>
    <w:p w14:paraId="3B52F979" w14:textId="77777777" w:rsidR="00F82628" w:rsidRDefault="00F82628" w:rsidP="00F82628">
      <w:pPr>
        <w:rPr>
          <w:rFonts w:cs="Arial"/>
        </w:rPr>
      </w:pPr>
      <w:r>
        <w:rPr>
          <w:rFonts w:cs="Arial"/>
        </w:rPr>
        <w:br w:type="page"/>
      </w:r>
    </w:p>
    <w:p w14:paraId="79395C43" w14:textId="77777777" w:rsidR="00F82628" w:rsidRDefault="00F82628" w:rsidP="00F82628">
      <w:pPr>
        <w:rPr>
          <w:rFonts w:cs="Arial"/>
        </w:rPr>
      </w:pPr>
      <w:r w:rsidRPr="00EA5C41">
        <w:rPr>
          <w:noProof/>
          <w:lang w:val="nl-NL" w:eastAsia="nl-NL"/>
        </w:rPr>
        <w:lastRenderedPageBreak/>
        <w:drawing>
          <wp:inline distT="0" distB="0" distL="0" distR="0" wp14:anchorId="0EC6D8BF" wp14:editId="7D75D979">
            <wp:extent cx="4015740" cy="4489450"/>
            <wp:effectExtent l="0" t="0" r="3810" b="635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9" cstate="print">
                      <a:extLst>
                        <a:ext uri="{28A0092B-C50C-407E-A947-70E740481C1C}">
                          <a14:useLocalDpi xmlns:a14="http://schemas.microsoft.com/office/drawing/2010/main" val="0"/>
                        </a:ext>
                      </a:extLst>
                    </a:blip>
                    <a:srcRect r="15703"/>
                    <a:stretch/>
                  </pic:blipFill>
                  <pic:spPr bwMode="auto">
                    <a:xfrm>
                      <a:off x="0" y="0"/>
                      <a:ext cx="4015967" cy="4489704"/>
                    </a:xfrm>
                    <a:prstGeom prst="rect">
                      <a:avLst/>
                    </a:prstGeom>
                    <a:ln>
                      <a:noFill/>
                    </a:ln>
                    <a:extLst>
                      <a:ext uri="{53640926-AAD7-44D8-BBD7-CCE9431645EC}">
                        <a14:shadowObscured xmlns:a14="http://schemas.microsoft.com/office/drawing/2010/main"/>
                      </a:ext>
                    </a:extLst>
                  </pic:spPr>
                </pic:pic>
              </a:graphicData>
            </a:graphic>
          </wp:inline>
        </w:drawing>
      </w:r>
    </w:p>
    <w:p w14:paraId="28957738" w14:textId="77777777" w:rsidR="00F82628" w:rsidRPr="00FA7E65" w:rsidRDefault="00F82628" w:rsidP="00F82628">
      <w:pPr>
        <w:rPr>
          <w:rFonts w:cs="Arial"/>
        </w:rPr>
      </w:pPr>
      <w:r w:rsidRPr="008B6083">
        <w:rPr>
          <w:rFonts w:cs="Arial"/>
          <w:b/>
        </w:rPr>
        <w:t xml:space="preserve">Supplementary figure </w:t>
      </w:r>
      <w:r>
        <w:rPr>
          <w:rFonts w:cs="Arial"/>
          <w:b/>
        </w:rPr>
        <w:t>5.</w:t>
      </w:r>
      <w:r w:rsidRPr="008B6083">
        <w:rPr>
          <w:rFonts w:cs="Arial"/>
          <w:b/>
        </w:rPr>
        <w:t xml:space="preserve"> </w:t>
      </w:r>
      <w:r>
        <w:rPr>
          <w:rFonts w:cs="Arial"/>
          <w:b/>
        </w:rPr>
        <w:t xml:space="preserve">Western blot analysis of APP fragments to study APP processing. </w:t>
      </w:r>
      <w:r>
        <w:rPr>
          <w:rFonts w:cs="Arial"/>
        </w:rPr>
        <w:t xml:space="preserve">TBS cortex </w:t>
      </w:r>
      <w:r w:rsidRPr="007625F8">
        <w:rPr>
          <w:rFonts w:cs="Arial"/>
        </w:rPr>
        <w:t>homogen</w:t>
      </w:r>
      <w:r>
        <w:rPr>
          <w:rFonts w:cs="Arial"/>
        </w:rPr>
        <w:t xml:space="preserve">ate </w:t>
      </w:r>
      <w:r w:rsidRPr="007625F8">
        <w:rPr>
          <w:rFonts w:cs="Arial"/>
        </w:rPr>
        <w:t>w</w:t>
      </w:r>
      <w:r>
        <w:rPr>
          <w:rFonts w:cs="Arial"/>
        </w:rPr>
        <w:t>as</w:t>
      </w:r>
      <w:r w:rsidRPr="007625F8">
        <w:rPr>
          <w:rFonts w:cs="Arial"/>
        </w:rPr>
        <w:t xml:space="preserve"> analyzed by Western blot </w:t>
      </w:r>
      <w:r>
        <w:rPr>
          <w:rFonts w:cs="Arial"/>
        </w:rPr>
        <w:t>FL-APP, CTF</w:t>
      </w:r>
      <w:r>
        <w:rPr>
          <w:rFonts w:cstheme="minorHAnsi"/>
        </w:rPr>
        <w:t>β, and</w:t>
      </w:r>
      <w:r>
        <w:rPr>
          <w:rFonts w:cs="Arial"/>
        </w:rPr>
        <w:t xml:space="preserve"> Aβ bands were detected with 6E10 antibody at the band corresponding to respectively of 100,</w:t>
      </w:r>
      <w:r w:rsidRPr="00B726B1">
        <w:rPr>
          <w:rFonts w:cs="Arial"/>
        </w:rPr>
        <w:t xml:space="preserve"> </w:t>
      </w:r>
      <w:r>
        <w:rPr>
          <w:rFonts w:cs="Arial"/>
        </w:rPr>
        <w:t>15, and 6-4kDa.</w:t>
      </w:r>
    </w:p>
    <w:p w14:paraId="090B6302" w14:textId="77777777" w:rsidR="00F82628" w:rsidRDefault="00F82628" w:rsidP="00F82628">
      <w:pPr>
        <w:rPr>
          <w:rFonts w:cs="Arial"/>
        </w:rPr>
      </w:pPr>
      <w:r>
        <w:rPr>
          <w:rFonts w:cs="Arial"/>
        </w:rPr>
        <w:br w:type="page"/>
      </w:r>
    </w:p>
    <w:p w14:paraId="14E1F808" w14:textId="77777777" w:rsidR="00F82628" w:rsidRDefault="00F82628" w:rsidP="00F82628">
      <w:pPr>
        <w:jc w:val="left"/>
        <w:rPr>
          <w:rFonts w:cs="Arial"/>
        </w:rPr>
      </w:pPr>
      <w:r w:rsidRPr="00EA5C41">
        <w:rPr>
          <w:noProof/>
          <w:lang w:val="nl-NL" w:eastAsia="nl-NL"/>
        </w:rPr>
        <w:lastRenderedPageBreak/>
        <w:drawing>
          <wp:inline distT="0" distB="0" distL="0" distR="0" wp14:anchorId="2D24EFBE" wp14:editId="7D0E1E5E">
            <wp:extent cx="5760517" cy="4258101"/>
            <wp:effectExtent l="0" t="0" r="0" b="9525"/>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rotWithShape="1">
                    <a:blip r:embed="rId10" cstate="print">
                      <a:extLst>
                        <a:ext uri="{28A0092B-C50C-407E-A947-70E740481C1C}">
                          <a14:useLocalDpi xmlns:a14="http://schemas.microsoft.com/office/drawing/2010/main" val="0"/>
                        </a:ext>
                      </a:extLst>
                    </a:blip>
                    <a:srcRect b="40877"/>
                    <a:stretch/>
                  </pic:blipFill>
                  <pic:spPr bwMode="auto">
                    <a:xfrm>
                      <a:off x="0" y="0"/>
                      <a:ext cx="5760720" cy="4258251"/>
                    </a:xfrm>
                    <a:prstGeom prst="rect">
                      <a:avLst/>
                    </a:prstGeom>
                    <a:ln>
                      <a:noFill/>
                    </a:ln>
                    <a:extLst>
                      <a:ext uri="{53640926-AAD7-44D8-BBD7-CCE9431645EC}">
                        <a14:shadowObscured xmlns:a14="http://schemas.microsoft.com/office/drawing/2010/main"/>
                      </a:ext>
                    </a:extLst>
                  </pic:spPr>
                </pic:pic>
              </a:graphicData>
            </a:graphic>
          </wp:inline>
        </w:drawing>
      </w:r>
    </w:p>
    <w:p w14:paraId="3BF4F624" w14:textId="77777777" w:rsidR="00F82628" w:rsidRPr="00CB223C" w:rsidRDefault="00F82628" w:rsidP="00F82628">
      <w:pPr>
        <w:rPr>
          <w:rFonts w:cs="Arial"/>
          <w:b/>
        </w:rPr>
      </w:pPr>
      <w:r w:rsidRPr="00CB223C">
        <w:rPr>
          <w:rFonts w:cs="Arial"/>
          <w:b/>
        </w:rPr>
        <w:t xml:space="preserve">Supplementary figure 6. </w:t>
      </w:r>
      <w:r>
        <w:rPr>
          <w:rFonts w:cs="Arial"/>
          <w:b/>
        </w:rPr>
        <w:t>Cytokines and a</w:t>
      </w:r>
      <w:r w:rsidRPr="00CB223C">
        <w:rPr>
          <w:rFonts w:cs="Arial"/>
          <w:b/>
        </w:rPr>
        <w:t xml:space="preserve">poptotic markers Bcl-2 and Caspase </w:t>
      </w:r>
      <w:r>
        <w:rPr>
          <w:rFonts w:cs="Arial"/>
          <w:b/>
        </w:rPr>
        <w:t xml:space="preserve">3 </w:t>
      </w:r>
      <w:r w:rsidRPr="00CB223C">
        <w:rPr>
          <w:rFonts w:cs="Arial"/>
          <w:b/>
        </w:rPr>
        <w:t>were unaffected by AAV-CERT</w:t>
      </w:r>
      <w:r w:rsidRPr="000B6171">
        <w:rPr>
          <w:rFonts w:cs="Arial"/>
          <w:b/>
          <w:vertAlign w:val="subscript"/>
        </w:rPr>
        <w:t>L</w:t>
      </w:r>
      <w:r w:rsidRPr="00CB223C">
        <w:rPr>
          <w:rFonts w:cs="Arial"/>
          <w:b/>
        </w:rPr>
        <w:t xml:space="preserve"> treatment.</w:t>
      </w:r>
      <w:r>
        <w:rPr>
          <w:rFonts w:cs="Arial"/>
          <w:b/>
        </w:rPr>
        <w:t xml:space="preserve"> </w:t>
      </w:r>
      <w:r>
        <w:rPr>
          <w:rFonts w:cs="Arial"/>
        </w:rPr>
        <w:t>A</w:t>
      </w:r>
      <w:r w:rsidRPr="0050661F">
        <w:rPr>
          <w:rFonts w:cs="Arial"/>
        </w:rPr>
        <w:t xml:space="preserve">) Cytokines </w:t>
      </w:r>
      <w:r>
        <w:rPr>
          <w:rFonts w:cs="Arial"/>
        </w:rPr>
        <w:t>measurements</w:t>
      </w:r>
      <w:r w:rsidRPr="0050661F">
        <w:rPr>
          <w:rFonts w:cs="Arial"/>
        </w:rPr>
        <w:t xml:space="preserve"> in brain homogenate with multiplex system </w:t>
      </w:r>
      <w:r w:rsidRPr="009F4313">
        <w:rPr>
          <w:rFonts w:cs="Arial"/>
        </w:rPr>
        <w:t>IFN-</w:t>
      </w:r>
      <w:r>
        <w:rPr>
          <w:rFonts w:cs="Arial"/>
        </w:rPr>
        <w:t>γ</w:t>
      </w:r>
      <w:r w:rsidRPr="009F4313">
        <w:rPr>
          <w:rFonts w:cs="Arial"/>
        </w:rPr>
        <w:t>, IL-1</w:t>
      </w:r>
      <w:r>
        <w:rPr>
          <w:rFonts w:cs="Arial"/>
        </w:rPr>
        <w:t>β</w:t>
      </w:r>
      <w:r w:rsidRPr="009F4313">
        <w:rPr>
          <w:rFonts w:cs="Arial"/>
        </w:rPr>
        <w:t>, TNF-</w:t>
      </w:r>
      <w:r>
        <w:rPr>
          <w:rFonts w:cs="Arial"/>
        </w:rPr>
        <w:t>α</w:t>
      </w:r>
      <w:r w:rsidRPr="009F4313">
        <w:rPr>
          <w:rFonts w:cs="Arial"/>
        </w:rPr>
        <w:t>, IL-6, IL-33, IL-4</w:t>
      </w:r>
      <w:r>
        <w:rPr>
          <w:rFonts w:cs="Arial"/>
        </w:rPr>
        <w:t>,</w:t>
      </w:r>
      <w:r w:rsidRPr="009F4313">
        <w:rPr>
          <w:rFonts w:cs="Arial"/>
        </w:rPr>
        <w:t xml:space="preserve"> and IL-10 </w:t>
      </w:r>
      <w:r w:rsidRPr="003A7B53">
        <w:rPr>
          <w:rFonts w:cs="Arial"/>
        </w:rPr>
        <w:t>(5-10 number of animals per group).</w:t>
      </w:r>
      <w:r w:rsidRPr="00CB223C">
        <w:rPr>
          <w:rFonts w:cs="Arial"/>
          <w:b/>
        </w:rPr>
        <w:t xml:space="preserve"> </w:t>
      </w:r>
      <w:r>
        <w:rPr>
          <w:rFonts w:cs="Arial"/>
          <w:b/>
        </w:rPr>
        <w:t xml:space="preserve">B) </w:t>
      </w:r>
      <w:r w:rsidRPr="00284E6B">
        <w:rPr>
          <w:rFonts w:cs="Arial"/>
        </w:rPr>
        <w:t xml:space="preserve">Analysis of gene expression of </w:t>
      </w:r>
      <w:r>
        <w:rPr>
          <w:rFonts w:cs="Arial"/>
        </w:rPr>
        <w:t>apoptotic</w:t>
      </w:r>
      <w:r w:rsidRPr="00284E6B">
        <w:rPr>
          <w:rFonts w:cs="Arial"/>
        </w:rPr>
        <w:t xml:space="preserve"> markers </w:t>
      </w:r>
      <w:r>
        <w:rPr>
          <w:rFonts w:cs="Arial"/>
        </w:rPr>
        <w:t>Bcl-2</w:t>
      </w:r>
      <w:r w:rsidRPr="00284E6B">
        <w:rPr>
          <w:rFonts w:cs="Arial"/>
        </w:rPr>
        <w:t xml:space="preserve"> and </w:t>
      </w:r>
      <w:r>
        <w:rPr>
          <w:rFonts w:cs="Arial"/>
        </w:rPr>
        <w:t>Caspase-3</w:t>
      </w:r>
      <w:r w:rsidRPr="0050661F">
        <w:rPr>
          <w:rFonts w:cs="Arial"/>
        </w:rPr>
        <w:t xml:space="preserve"> (4-5 number of animals per group</w:t>
      </w:r>
      <w:r>
        <w:rPr>
          <w:rFonts w:cs="Arial"/>
        </w:rPr>
        <w:t>, two-way ANOVA, Bonferroni correction</w:t>
      </w:r>
      <w:r w:rsidRPr="0050661F">
        <w:rPr>
          <w:rFonts w:cs="Arial"/>
        </w:rPr>
        <w:t>).</w:t>
      </w:r>
    </w:p>
    <w:p w14:paraId="3F939580" w14:textId="77777777" w:rsidR="00F82628" w:rsidRPr="00FA7E65" w:rsidRDefault="00F82628" w:rsidP="00F82628">
      <w:pPr>
        <w:rPr>
          <w:rFonts w:cs="Arial"/>
        </w:rPr>
      </w:pPr>
    </w:p>
    <w:p w14:paraId="1BDB21D9" w14:textId="77777777" w:rsidR="00F82628" w:rsidRDefault="00F82628" w:rsidP="00F82628">
      <w:pPr>
        <w:spacing w:after="0"/>
        <w:rPr>
          <w:rFonts w:cs="Arial"/>
        </w:rPr>
      </w:pPr>
    </w:p>
    <w:p w14:paraId="40AE4D36" w14:textId="77777777" w:rsidR="00F82628" w:rsidRPr="00F678A2" w:rsidRDefault="00F82628" w:rsidP="00F82628">
      <w:pPr>
        <w:spacing w:after="0"/>
        <w:rPr>
          <w:rFonts w:cs="Arial"/>
          <w:b/>
        </w:rPr>
      </w:pPr>
    </w:p>
    <w:p w14:paraId="79D4E01D" w14:textId="77777777" w:rsidR="00F82628" w:rsidRDefault="00F82628" w:rsidP="00F82628">
      <w:pPr>
        <w:spacing w:after="0"/>
        <w:rPr>
          <w:rFonts w:cs="Arial"/>
          <w:b/>
        </w:rPr>
      </w:pPr>
    </w:p>
    <w:p w14:paraId="76A6AE05" w14:textId="77777777" w:rsidR="00F82628" w:rsidRDefault="00F82628" w:rsidP="00F82628">
      <w:pPr>
        <w:spacing w:after="0"/>
        <w:rPr>
          <w:rFonts w:cs="Arial"/>
          <w:b/>
        </w:rPr>
        <w:sectPr w:rsidR="00F82628" w:rsidSect="00D8325E">
          <w:pgSz w:w="12240" w:h="15840"/>
          <w:pgMar w:top="1440" w:right="1440" w:bottom="1440" w:left="1440" w:header="708" w:footer="708" w:gutter="0"/>
          <w:cols w:space="708"/>
          <w:docGrid w:linePitch="360"/>
        </w:sectPr>
      </w:pPr>
    </w:p>
    <w:p w14:paraId="736EEED3" w14:textId="77777777" w:rsidR="00F82628" w:rsidRPr="00FA7E65" w:rsidRDefault="00F82628" w:rsidP="00F82628">
      <w:pPr>
        <w:spacing w:after="0"/>
        <w:rPr>
          <w:rFonts w:cs="Arial"/>
          <w:b/>
        </w:rPr>
      </w:pPr>
    </w:p>
    <w:tbl>
      <w:tblPr>
        <w:tblW w:w="5000" w:type="pct"/>
        <w:tblLook w:val="04A0" w:firstRow="1" w:lastRow="0" w:firstColumn="1" w:lastColumn="0" w:noHBand="0" w:noVBand="1"/>
      </w:tblPr>
      <w:tblGrid>
        <w:gridCol w:w="1783"/>
        <w:gridCol w:w="695"/>
        <w:gridCol w:w="738"/>
        <w:gridCol w:w="696"/>
        <w:gridCol w:w="739"/>
        <w:gridCol w:w="899"/>
        <w:gridCol w:w="696"/>
        <w:gridCol w:w="739"/>
        <w:gridCol w:w="696"/>
        <w:gridCol w:w="739"/>
        <w:gridCol w:w="899"/>
        <w:gridCol w:w="617"/>
        <w:gridCol w:w="739"/>
        <w:gridCol w:w="617"/>
        <w:gridCol w:w="739"/>
        <w:gridCol w:w="899"/>
      </w:tblGrid>
      <w:tr w:rsidR="00F82628" w:rsidRPr="00616865" w14:paraId="33493974" w14:textId="77777777" w:rsidTr="00A14076">
        <w:trPr>
          <w:gridBefore w:val="1"/>
          <w:wBefore w:w="690" w:type="pct"/>
          <w:trHeight w:val="300"/>
        </w:trPr>
        <w:tc>
          <w:tcPr>
            <w:tcW w:w="1452" w:type="pct"/>
            <w:gridSpan w:val="5"/>
            <w:tcBorders>
              <w:top w:val="single" w:sz="12" w:space="0" w:color="auto"/>
              <w:left w:val="single" w:sz="12" w:space="0" w:color="auto"/>
              <w:bottom w:val="single" w:sz="4" w:space="0" w:color="auto"/>
              <w:right w:val="single" w:sz="12" w:space="0" w:color="auto"/>
            </w:tcBorders>
            <w:shd w:val="clear" w:color="000000" w:fill="BFBFBF"/>
            <w:noWrap/>
            <w:vAlign w:val="center"/>
            <w:hideMark/>
          </w:tcPr>
          <w:p w14:paraId="01CCFBFC"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Cortex</w:t>
            </w:r>
          </w:p>
        </w:tc>
        <w:tc>
          <w:tcPr>
            <w:tcW w:w="1452" w:type="pct"/>
            <w:gridSpan w:val="5"/>
            <w:tcBorders>
              <w:top w:val="single" w:sz="12" w:space="0" w:color="auto"/>
              <w:left w:val="single" w:sz="12" w:space="0" w:color="auto"/>
              <w:bottom w:val="single" w:sz="4" w:space="0" w:color="auto"/>
              <w:right w:val="single" w:sz="12" w:space="0" w:color="auto"/>
            </w:tcBorders>
            <w:shd w:val="clear" w:color="000000" w:fill="BFBFBF"/>
            <w:noWrap/>
            <w:vAlign w:val="center"/>
            <w:hideMark/>
          </w:tcPr>
          <w:p w14:paraId="2FEB923E"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Hippocampus</w:t>
            </w:r>
          </w:p>
        </w:tc>
        <w:tc>
          <w:tcPr>
            <w:tcW w:w="1407" w:type="pct"/>
            <w:gridSpan w:val="5"/>
            <w:tcBorders>
              <w:top w:val="single" w:sz="12" w:space="0" w:color="auto"/>
              <w:left w:val="single" w:sz="12" w:space="0" w:color="auto"/>
              <w:bottom w:val="single" w:sz="4" w:space="0" w:color="auto"/>
              <w:right w:val="single" w:sz="12" w:space="0" w:color="auto"/>
            </w:tcBorders>
            <w:shd w:val="clear" w:color="000000" w:fill="BFBFBF"/>
            <w:noWrap/>
            <w:vAlign w:val="center"/>
            <w:hideMark/>
          </w:tcPr>
          <w:p w14:paraId="7B5627FE"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Cerebellum</w:t>
            </w:r>
          </w:p>
        </w:tc>
      </w:tr>
      <w:tr w:rsidR="00F82628" w:rsidRPr="00616865" w14:paraId="4D271AB6" w14:textId="77777777" w:rsidTr="00A14076">
        <w:trPr>
          <w:gridBefore w:val="1"/>
          <w:wBefore w:w="690" w:type="pct"/>
          <w:trHeight w:val="315"/>
        </w:trPr>
        <w:tc>
          <w:tcPr>
            <w:tcW w:w="553" w:type="pct"/>
            <w:gridSpan w:val="2"/>
            <w:tcBorders>
              <w:top w:val="nil"/>
              <w:left w:val="single" w:sz="12" w:space="0" w:color="auto"/>
              <w:bottom w:val="nil"/>
              <w:right w:val="single" w:sz="4" w:space="0" w:color="auto"/>
            </w:tcBorders>
            <w:shd w:val="clear" w:color="auto" w:fill="F2F2F2" w:themeFill="background1" w:themeFillShade="F2"/>
            <w:noWrap/>
            <w:vAlign w:val="center"/>
            <w:hideMark/>
          </w:tcPr>
          <w:p w14:paraId="1B2DEC7D"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WT</w:t>
            </w:r>
            <w:r>
              <w:rPr>
                <w:rFonts w:eastAsia="Times New Roman" w:cs="Arial"/>
                <w:b/>
                <w:bCs/>
                <w:color w:val="000000"/>
                <w:sz w:val="16"/>
                <w:szCs w:val="16"/>
              </w:rPr>
              <w:t xml:space="preserve"> (N=11)</w:t>
            </w:r>
          </w:p>
        </w:tc>
        <w:tc>
          <w:tcPr>
            <w:tcW w:w="553" w:type="pct"/>
            <w:gridSpan w:val="2"/>
            <w:tcBorders>
              <w:top w:val="nil"/>
              <w:left w:val="nil"/>
              <w:bottom w:val="nil"/>
              <w:right w:val="nil"/>
            </w:tcBorders>
            <w:shd w:val="clear" w:color="auto" w:fill="F2F2F2" w:themeFill="background1" w:themeFillShade="F2"/>
            <w:noWrap/>
            <w:vAlign w:val="center"/>
            <w:hideMark/>
          </w:tcPr>
          <w:p w14:paraId="4BD6269D" w14:textId="77777777" w:rsidR="00F82628" w:rsidRPr="00616865" w:rsidRDefault="00F82628" w:rsidP="00A14076">
            <w:pPr>
              <w:spacing w:after="0" w:line="240" w:lineRule="auto"/>
              <w:jc w:val="center"/>
              <w:rPr>
                <w:rFonts w:eastAsia="Times New Roman" w:cs="Arial"/>
                <w:color w:val="000000"/>
                <w:sz w:val="16"/>
                <w:szCs w:val="16"/>
              </w:rPr>
            </w:pPr>
            <w:r w:rsidRPr="00616865">
              <w:rPr>
                <w:rFonts w:eastAsia="Times New Roman" w:cs="Arial"/>
                <w:b/>
                <w:bCs/>
                <w:color w:val="000000"/>
                <w:sz w:val="16"/>
                <w:szCs w:val="16"/>
              </w:rPr>
              <w:t>5xFAD</w:t>
            </w:r>
            <w:r>
              <w:rPr>
                <w:rFonts w:eastAsia="Times New Roman" w:cs="Arial"/>
                <w:b/>
                <w:bCs/>
                <w:color w:val="000000"/>
                <w:sz w:val="16"/>
                <w:szCs w:val="16"/>
              </w:rPr>
              <w:t xml:space="preserve"> (N=12)</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71943F81" w14:textId="77777777" w:rsidR="00F82628" w:rsidRPr="00616865" w:rsidRDefault="00F82628" w:rsidP="00A14076">
            <w:pPr>
              <w:spacing w:after="0" w:line="240" w:lineRule="auto"/>
              <w:jc w:val="center"/>
              <w:rPr>
                <w:rFonts w:eastAsia="Times New Roman" w:cs="Arial"/>
                <w:b/>
                <w:bCs/>
                <w:color w:val="000000"/>
                <w:sz w:val="16"/>
                <w:szCs w:val="16"/>
              </w:rPr>
            </w:pPr>
          </w:p>
        </w:tc>
        <w:tc>
          <w:tcPr>
            <w:tcW w:w="553" w:type="pct"/>
            <w:gridSpan w:val="2"/>
            <w:tcBorders>
              <w:top w:val="nil"/>
              <w:left w:val="single" w:sz="12" w:space="0" w:color="auto"/>
              <w:bottom w:val="nil"/>
              <w:right w:val="single" w:sz="4" w:space="0" w:color="auto"/>
            </w:tcBorders>
            <w:shd w:val="clear" w:color="auto" w:fill="F2F2F2" w:themeFill="background1" w:themeFillShade="F2"/>
            <w:noWrap/>
            <w:vAlign w:val="center"/>
            <w:hideMark/>
          </w:tcPr>
          <w:p w14:paraId="5F553C56"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WT</w:t>
            </w:r>
            <w:r>
              <w:rPr>
                <w:rFonts w:eastAsia="Times New Roman" w:cs="Arial"/>
                <w:b/>
                <w:bCs/>
                <w:color w:val="000000"/>
                <w:sz w:val="16"/>
                <w:szCs w:val="16"/>
              </w:rPr>
              <w:t xml:space="preserve"> (N=11)</w:t>
            </w:r>
          </w:p>
        </w:tc>
        <w:tc>
          <w:tcPr>
            <w:tcW w:w="553" w:type="pct"/>
            <w:gridSpan w:val="2"/>
            <w:tcBorders>
              <w:top w:val="nil"/>
              <w:left w:val="nil"/>
              <w:bottom w:val="nil"/>
              <w:right w:val="nil"/>
            </w:tcBorders>
            <w:shd w:val="clear" w:color="auto" w:fill="F2F2F2" w:themeFill="background1" w:themeFillShade="F2"/>
            <w:noWrap/>
            <w:vAlign w:val="center"/>
            <w:hideMark/>
          </w:tcPr>
          <w:p w14:paraId="63F88E79" w14:textId="77777777" w:rsidR="00F82628" w:rsidRPr="00616865" w:rsidRDefault="00F82628" w:rsidP="00A14076">
            <w:pPr>
              <w:spacing w:after="0" w:line="240" w:lineRule="auto"/>
              <w:jc w:val="center"/>
              <w:rPr>
                <w:rFonts w:eastAsia="Times New Roman" w:cs="Arial"/>
                <w:color w:val="000000"/>
                <w:sz w:val="16"/>
                <w:szCs w:val="16"/>
              </w:rPr>
            </w:pPr>
            <w:r w:rsidRPr="00616865">
              <w:rPr>
                <w:rFonts w:eastAsia="Times New Roman" w:cs="Arial"/>
                <w:b/>
                <w:bCs/>
                <w:color w:val="000000"/>
                <w:sz w:val="16"/>
                <w:szCs w:val="16"/>
              </w:rPr>
              <w:t>5xFAD</w:t>
            </w:r>
            <w:r>
              <w:rPr>
                <w:rFonts w:eastAsia="Times New Roman" w:cs="Arial"/>
                <w:b/>
                <w:bCs/>
                <w:color w:val="000000"/>
                <w:sz w:val="16"/>
                <w:szCs w:val="16"/>
              </w:rPr>
              <w:t xml:space="preserve"> (N=12)</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517EB2FD" w14:textId="77777777" w:rsidR="00F82628" w:rsidRPr="00616865" w:rsidRDefault="00F82628" w:rsidP="00A14076">
            <w:pPr>
              <w:spacing w:after="0" w:line="240" w:lineRule="auto"/>
              <w:jc w:val="center"/>
              <w:rPr>
                <w:rFonts w:eastAsia="Times New Roman" w:cs="Arial"/>
                <w:b/>
                <w:bCs/>
                <w:color w:val="000000"/>
                <w:sz w:val="16"/>
                <w:szCs w:val="16"/>
              </w:rPr>
            </w:pPr>
          </w:p>
        </w:tc>
        <w:tc>
          <w:tcPr>
            <w:tcW w:w="522" w:type="pct"/>
            <w:gridSpan w:val="2"/>
            <w:tcBorders>
              <w:top w:val="nil"/>
              <w:left w:val="single" w:sz="12" w:space="0" w:color="auto"/>
              <w:bottom w:val="nil"/>
              <w:right w:val="single" w:sz="4" w:space="0" w:color="auto"/>
            </w:tcBorders>
            <w:shd w:val="clear" w:color="auto" w:fill="F2F2F2" w:themeFill="background1" w:themeFillShade="F2"/>
            <w:noWrap/>
            <w:vAlign w:val="center"/>
            <w:hideMark/>
          </w:tcPr>
          <w:p w14:paraId="04A5777E"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WT</w:t>
            </w:r>
            <w:r>
              <w:rPr>
                <w:rFonts w:eastAsia="Times New Roman" w:cs="Arial"/>
                <w:b/>
                <w:bCs/>
                <w:color w:val="000000"/>
                <w:sz w:val="16"/>
                <w:szCs w:val="16"/>
              </w:rPr>
              <w:t xml:space="preserve"> (N=11)</w:t>
            </w:r>
          </w:p>
        </w:tc>
        <w:tc>
          <w:tcPr>
            <w:tcW w:w="539" w:type="pct"/>
            <w:gridSpan w:val="2"/>
            <w:tcBorders>
              <w:top w:val="nil"/>
              <w:left w:val="nil"/>
              <w:bottom w:val="nil"/>
              <w:right w:val="nil"/>
            </w:tcBorders>
            <w:shd w:val="clear" w:color="auto" w:fill="F2F2F2" w:themeFill="background1" w:themeFillShade="F2"/>
            <w:noWrap/>
            <w:vAlign w:val="center"/>
            <w:hideMark/>
          </w:tcPr>
          <w:p w14:paraId="5AE5DF9C" w14:textId="77777777" w:rsidR="00F82628" w:rsidRPr="00616865" w:rsidRDefault="00F82628" w:rsidP="00A14076">
            <w:pPr>
              <w:spacing w:after="0" w:line="240" w:lineRule="auto"/>
              <w:jc w:val="center"/>
              <w:rPr>
                <w:rFonts w:eastAsia="Times New Roman" w:cs="Arial"/>
                <w:color w:val="000000"/>
                <w:sz w:val="16"/>
                <w:szCs w:val="16"/>
              </w:rPr>
            </w:pPr>
            <w:r w:rsidRPr="00616865">
              <w:rPr>
                <w:rFonts w:eastAsia="Times New Roman" w:cs="Arial"/>
                <w:b/>
                <w:bCs/>
                <w:color w:val="000000"/>
                <w:sz w:val="16"/>
                <w:szCs w:val="16"/>
              </w:rPr>
              <w:t>5xFAD</w:t>
            </w:r>
            <w:r>
              <w:rPr>
                <w:rFonts w:eastAsia="Times New Roman" w:cs="Arial"/>
                <w:b/>
                <w:bCs/>
                <w:color w:val="000000"/>
                <w:sz w:val="16"/>
                <w:szCs w:val="16"/>
              </w:rPr>
              <w:t xml:space="preserve"> (N=12)</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3FC03E69" w14:textId="77777777" w:rsidR="00F82628" w:rsidRPr="00616865" w:rsidRDefault="00F82628" w:rsidP="00A14076">
            <w:pPr>
              <w:spacing w:after="0" w:line="240" w:lineRule="auto"/>
              <w:jc w:val="center"/>
              <w:rPr>
                <w:rFonts w:eastAsia="Times New Roman" w:cs="Arial"/>
                <w:b/>
                <w:bCs/>
                <w:color w:val="000000"/>
                <w:sz w:val="16"/>
                <w:szCs w:val="16"/>
              </w:rPr>
            </w:pPr>
          </w:p>
        </w:tc>
      </w:tr>
      <w:tr w:rsidR="00F82628" w:rsidRPr="00616865" w14:paraId="67598A7D" w14:textId="77777777" w:rsidTr="00A14076">
        <w:trPr>
          <w:trHeight w:val="300"/>
        </w:trPr>
        <w:tc>
          <w:tcPr>
            <w:tcW w:w="690" w:type="pct"/>
            <w:tcBorders>
              <w:top w:val="single" w:sz="8" w:space="0" w:color="auto"/>
              <w:left w:val="single" w:sz="12" w:space="0" w:color="auto"/>
              <w:bottom w:val="single" w:sz="4" w:space="0" w:color="auto"/>
              <w:right w:val="single" w:sz="12" w:space="0" w:color="auto"/>
            </w:tcBorders>
            <w:shd w:val="clear" w:color="000000" w:fill="D9D9D9"/>
            <w:noWrap/>
            <w:vAlign w:val="center"/>
            <w:hideMark/>
          </w:tcPr>
          <w:p w14:paraId="7038866A" w14:textId="77777777" w:rsidR="00F82628" w:rsidRPr="00616865" w:rsidRDefault="00F82628" w:rsidP="00A14076">
            <w:pPr>
              <w:spacing w:after="0" w:line="240" w:lineRule="auto"/>
              <w:jc w:val="center"/>
              <w:rPr>
                <w:rFonts w:eastAsia="Times New Roman" w:cs="Arial"/>
                <w:b/>
                <w:bCs/>
                <w:color w:val="000000"/>
                <w:sz w:val="16"/>
                <w:szCs w:val="16"/>
              </w:rPr>
            </w:pPr>
            <w:r>
              <w:rPr>
                <w:rFonts w:eastAsia="Times New Roman" w:cs="Arial"/>
                <w:b/>
                <w:bCs/>
                <w:color w:val="000000"/>
                <w:sz w:val="16"/>
                <w:szCs w:val="16"/>
              </w:rPr>
              <w:t xml:space="preserve">Sphingolipid </w:t>
            </w:r>
            <w:r w:rsidRPr="00616865">
              <w:rPr>
                <w:rFonts w:eastAsia="Times New Roman" w:cs="Arial"/>
                <w:b/>
                <w:bCs/>
                <w:color w:val="000000"/>
                <w:sz w:val="16"/>
                <w:szCs w:val="16"/>
              </w:rPr>
              <w:t>species</w:t>
            </w:r>
          </w:p>
        </w:tc>
        <w:tc>
          <w:tcPr>
            <w:tcW w:w="268" w:type="pct"/>
            <w:tcBorders>
              <w:top w:val="nil"/>
              <w:left w:val="single" w:sz="12" w:space="0" w:color="auto"/>
              <w:bottom w:val="single" w:sz="4" w:space="0" w:color="auto"/>
              <w:right w:val="nil"/>
            </w:tcBorders>
            <w:shd w:val="clear" w:color="000000" w:fill="D9D9D9"/>
            <w:noWrap/>
            <w:vAlign w:val="center"/>
            <w:hideMark/>
          </w:tcPr>
          <w:p w14:paraId="43898998"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Mean</w:t>
            </w:r>
          </w:p>
        </w:tc>
        <w:tc>
          <w:tcPr>
            <w:tcW w:w="285" w:type="pct"/>
            <w:tcBorders>
              <w:top w:val="nil"/>
              <w:left w:val="nil"/>
              <w:bottom w:val="single" w:sz="4" w:space="0" w:color="auto"/>
              <w:right w:val="single" w:sz="4" w:space="0" w:color="auto"/>
            </w:tcBorders>
            <w:shd w:val="clear" w:color="000000" w:fill="D9D9D9"/>
            <w:noWrap/>
            <w:vAlign w:val="center"/>
            <w:hideMark/>
          </w:tcPr>
          <w:p w14:paraId="0E705414"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STDEV</w:t>
            </w:r>
          </w:p>
        </w:tc>
        <w:tc>
          <w:tcPr>
            <w:tcW w:w="268" w:type="pct"/>
            <w:tcBorders>
              <w:top w:val="nil"/>
              <w:left w:val="nil"/>
              <w:bottom w:val="single" w:sz="4" w:space="0" w:color="auto"/>
              <w:right w:val="nil"/>
            </w:tcBorders>
            <w:shd w:val="clear" w:color="000000" w:fill="D9D9D9"/>
            <w:noWrap/>
            <w:vAlign w:val="center"/>
            <w:hideMark/>
          </w:tcPr>
          <w:p w14:paraId="06563E2A"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Mean</w:t>
            </w:r>
          </w:p>
        </w:tc>
        <w:tc>
          <w:tcPr>
            <w:tcW w:w="285" w:type="pct"/>
            <w:tcBorders>
              <w:top w:val="nil"/>
              <w:left w:val="nil"/>
              <w:bottom w:val="single" w:sz="4" w:space="0" w:color="auto"/>
              <w:right w:val="single" w:sz="4" w:space="0" w:color="auto"/>
            </w:tcBorders>
            <w:shd w:val="clear" w:color="000000" w:fill="D9D9D9"/>
            <w:noWrap/>
            <w:vAlign w:val="center"/>
            <w:hideMark/>
          </w:tcPr>
          <w:p w14:paraId="359B7BE5"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STDEV</w:t>
            </w:r>
          </w:p>
        </w:tc>
        <w:tc>
          <w:tcPr>
            <w:tcW w:w="346" w:type="pct"/>
            <w:tcBorders>
              <w:top w:val="nil"/>
              <w:left w:val="nil"/>
              <w:bottom w:val="single" w:sz="4" w:space="0" w:color="auto"/>
              <w:right w:val="single" w:sz="12" w:space="0" w:color="auto"/>
            </w:tcBorders>
            <w:shd w:val="clear" w:color="000000" w:fill="D9D9D9"/>
            <w:noWrap/>
            <w:vAlign w:val="center"/>
            <w:hideMark/>
          </w:tcPr>
          <w:p w14:paraId="28ECC13B" w14:textId="77777777" w:rsidR="00F82628" w:rsidRPr="00616865" w:rsidRDefault="00F82628" w:rsidP="00A14076">
            <w:pPr>
              <w:spacing w:after="0" w:line="240" w:lineRule="auto"/>
              <w:jc w:val="center"/>
              <w:rPr>
                <w:rFonts w:eastAsia="Times New Roman" w:cs="Arial"/>
                <w:b/>
                <w:bCs/>
                <w:sz w:val="16"/>
                <w:szCs w:val="16"/>
              </w:rPr>
            </w:pPr>
            <w:r w:rsidRPr="00616865">
              <w:rPr>
                <w:rFonts w:eastAsia="Times New Roman" w:cs="Arial"/>
                <w:b/>
                <w:bCs/>
                <w:sz w:val="16"/>
                <w:szCs w:val="16"/>
              </w:rPr>
              <w:t>p-value</w:t>
            </w:r>
          </w:p>
        </w:tc>
        <w:tc>
          <w:tcPr>
            <w:tcW w:w="268" w:type="pct"/>
            <w:tcBorders>
              <w:top w:val="nil"/>
              <w:left w:val="single" w:sz="12" w:space="0" w:color="auto"/>
              <w:bottom w:val="single" w:sz="4" w:space="0" w:color="auto"/>
              <w:right w:val="nil"/>
            </w:tcBorders>
            <w:shd w:val="clear" w:color="000000" w:fill="D9D9D9"/>
            <w:noWrap/>
            <w:vAlign w:val="center"/>
            <w:hideMark/>
          </w:tcPr>
          <w:p w14:paraId="1DBDC163"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Mean</w:t>
            </w:r>
          </w:p>
        </w:tc>
        <w:tc>
          <w:tcPr>
            <w:tcW w:w="285" w:type="pct"/>
            <w:tcBorders>
              <w:top w:val="nil"/>
              <w:left w:val="nil"/>
              <w:bottom w:val="single" w:sz="4" w:space="0" w:color="auto"/>
              <w:right w:val="single" w:sz="4" w:space="0" w:color="auto"/>
            </w:tcBorders>
            <w:shd w:val="clear" w:color="000000" w:fill="D9D9D9"/>
            <w:noWrap/>
            <w:vAlign w:val="center"/>
            <w:hideMark/>
          </w:tcPr>
          <w:p w14:paraId="13B0BB59"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STDEV</w:t>
            </w:r>
          </w:p>
        </w:tc>
        <w:tc>
          <w:tcPr>
            <w:tcW w:w="268" w:type="pct"/>
            <w:tcBorders>
              <w:top w:val="nil"/>
              <w:left w:val="nil"/>
              <w:bottom w:val="single" w:sz="4" w:space="0" w:color="auto"/>
              <w:right w:val="nil"/>
            </w:tcBorders>
            <w:shd w:val="clear" w:color="000000" w:fill="D9D9D9"/>
            <w:noWrap/>
            <w:vAlign w:val="center"/>
            <w:hideMark/>
          </w:tcPr>
          <w:p w14:paraId="7E100AA3"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Mean</w:t>
            </w:r>
          </w:p>
        </w:tc>
        <w:tc>
          <w:tcPr>
            <w:tcW w:w="285" w:type="pct"/>
            <w:tcBorders>
              <w:top w:val="nil"/>
              <w:left w:val="nil"/>
              <w:bottom w:val="single" w:sz="4" w:space="0" w:color="auto"/>
              <w:right w:val="single" w:sz="4" w:space="0" w:color="auto"/>
            </w:tcBorders>
            <w:shd w:val="clear" w:color="000000" w:fill="D9D9D9"/>
            <w:noWrap/>
            <w:vAlign w:val="center"/>
            <w:hideMark/>
          </w:tcPr>
          <w:p w14:paraId="48751017"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STDEV</w:t>
            </w:r>
          </w:p>
        </w:tc>
        <w:tc>
          <w:tcPr>
            <w:tcW w:w="346" w:type="pct"/>
            <w:tcBorders>
              <w:top w:val="nil"/>
              <w:left w:val="nil"/>
              <w:bottom w:val="single" w:sz="4" w:space="0" w:color="auto"/>
              <w:right w:val="single" w:sz="12" w:space="0" w:color="auto"/>
            </w:tcBorders>
            <w:shd w:val="clear" w:color="000000" w:fill="D9D9D9"/>
            <w:noWrap/>
            <w:vAlign w:val="center"/>
            <w:hideMark/>
          </w:tcPr>
          <w:p w14:paraId="4DF72C61" w14:textId="77777777" w:rsidR="00F82628" w:rsidRPr="00616865" w:rsidRDefault="00F82628" w:rsidP="00A14076">
            <w:pPr>
              <w:spacing w:after="0" w:line="240" w:lineRule="auto"/>
              <w:jc w:val="center"/>
              <w:rPr>
                <w:rFonts w:eastAsia="Times New Roman" w:cs="Arial"/>
                <w:b/>
                <w:bCs/>
                <w:sz w:val="16"/>
                <w:szCs w:val="16"/>
              </w:rPr>
            </w:pPr>
            <w:r w:rsidRPr="00616865">
              <w:rPr>
                <w:rFonts w:eastAsia="Times New Roman" w:cs="Arial"/>
                <w:b/>
                <w:bCs/>
                <w:sz w:val="16"/>
                <w:szCs w:val="16"/>
              </w:rPr>
              <w:t>p-value</w:t>
            </w:r>
          </w:p>
        </w:tc>
        <w:tc>
          <w:tcPr>
            <w:tcW w:w="237" w:type="pct"/>
            <w:tcBorders>
              <w:top w:val="nil"/>
              <w:left w:val="single" w:sz="12" w:space="0" w:color="auto"/>
              <w:bottom w:val="single" w:sz="4" w:space="0" w:color="auto"/>
              <w:right w:val="nil"/>
            </w:tcBorders>
            <w:shd w:val="clear" w:color="000000" w:fill="D9D9D9"/>
            <w:noWrap/>
            <w:vAlign w:val="center"/>
            <w:hideMark/>
          </w:tcPr>
          <w:p w14:paraId="1E6E5FE7"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Mean</w:t>
            </w:r>
          </w:p>
        </w:tc>
        <w:tc>
          <w:tcPr>
            <w:tcW w:w="285" w:type="pct"/>
            <w:tcBorders>
              <w:top w:val="nil"/>
              <w:left w:val="nil"/>
              <w:bottom w:val="single" w:sz="4" w:space="0" w:color="auto"/>
              <w:right w:val="single" w:sz="4" w:space="0" w:color="auto"/>
            </w:tcBorders>
            <w:shd w:val="clear" w:color="000000" w:fill="D9D9D9"/>
            <w:noWrap/>
            <w:vAlign w:val="center"/>
            <w:hideMark/>
          </w:tcPr>
          <w:p w14:paraId="0B61F285"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STDEV</w:t>
            </w:r>
          </w:p>
        </w:tc>
        <w:tc>
          <w:tcPr>
            <w:tcW w:w="255" w:type="pct"/>
            <w:tcBorders>
              <w:top w:val="nil"/>
              <w:left w:val="nil"/>
              <w:bottom w:val="single" w:sz="4" w:space="0" w:color="auto"/>
              <w:right w:val="nil"/>
            </w:tcBorders>
            <w:shd w:val="clear" w:color="000000" w:fill="D9D9D9"/>
            <w:noWrap/>
            <w:vAlign w:val="center"/>
            <w:hideMark/>
          </w:tcPr>
          <w:p w14:paraId="47A18460"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Mean</w:t>
            </w:r>
          </w:p>
        </w:tc>
        <w:tc>
          <w:tcPr>
            <w:tcW w:w="285" w:type="pct"/>
            <w:tcBorders>
              <w:top w:val="nil"/>
              <w:left w:val="nil"/>
              <w:bottom w:val="single" w:sz="4" w:space="0" w:color="auto"/>
              <w:right w:val="single" w:sz="4" w:space="0" w:color="auto"/>
            </w:tcBorders>
            <w:shd w:val="clear" w:color="000000" w:fill="D9D9D9"/>
            <w:noWrap/>
            <w:vAlign w:val="center"/>
            <w:hideMark/>
          </w:tcPr>
          <w:p w14:paraId="1A602939"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STDEV</w:t>
            </w:r>
          </w:p>
        </w:tc>
        <w:tc>
          <w:tcPr>
            <w:tcW w:w="346" w:type="pct"/>
            <w:tcBorders>
              <w:top w:val="nil"/>
              <w:left w:val="nil"/>
              <w:bottom w:val="single" w:sz="4" w:space="0" w:color="auto"/>
              <w:right w:val="single" w:sz="12" w:space="0" w:color="auto"/>
            </w:tcBorders>
            <w:shd w:val="clear" w:color="000000" w:fill="D9D9D9"/>
            <w:noWrap/>
            <w:vAlign w:val="center"/>
            <w:hideMark/>
          </w:tcPr>
          <w:p w14:paraId="761A3B15" w14:textId="77777777" w:rsidR="00F82628" w:rsidRPr="00616865" w:rsidRDefault="00F82628" w:rsidP="00A14076">
            <w:pPr>
              <w:spacing w:after="0" w:line="240" w:lineRule="auto"/>
              <w:jc w:val="center"/>
              <w:rPr>
                <w:rFonts w:eastAsia="Times New Roman" w:cs="Arial"/>
                <w:b/>
                <w:bCs/>
                <w:sz w:val="16"/>
                <w:szCs w:val="16"/>
              </w:rPr>
            </w:pPr>
            <w:r w:rsidRPr="00616865">
              <w:rPr>
                <w:rFonts w:eastAsia="Times New Roman" w:cs="Arial"/>
                <w:b/>
                <w:bCs/>
                <w:sz w:val="16"/>
                <w:szCs w:val="16"/>
              </w:rPr>
              <w:t>p-value</w:t>
            </w:r>
          </w:p>
        </w:tc>
      </w:tr>
      <w:tr w:rsidR="00F82628" w:rsidRPr="00616865" w14:paraId="63EA11AE" w14:textId="77777777" w:rsidTr="00A14076">
        <w:trPr>
          <w:trHeight w:val="300"/>
        </w:trPr>
        <w:tc>
          <w:tcPr>
            <w:tcW w:w="690" w:type="pct"/>
            <w:tcBorders>
              <w:top w:val="nil"/>
              <w:left w:val="single" w:sz="12" w:space="0" w:color="auto"/>
              <w:bottom w:val="nil"/>
              <w:right w:val="single" w:sz="12" w:space="0" w:color="auto"/>
            </w:tcBorders>
            <w:shd w:val="clear" w:color="auto" w:fill="F2F2F2" w:themeFill="background1" w:themeFillShade="F2"/>
            <w:noWrap/>
            <w:vAlign w:val="center"/>
            <w:hideMark/>
          </w:tcPr>
          <w:p w14:paraId="7122D2F8"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S</w:t>
            </w:r>
            <w:r>
              <w:rPr>
                <w:rFonts w:eastAsia="Times New Roman" w:cs="Arial"/>
                <w:b/>
                <w:bCs/>
                <w:color w:val="000000"/>
                <w:sz w:val="16"/>
                <w:szCs w:val="16"/>
              </w:rPr>
              <w:t>PH</w:t>
            </w:r>
          </w:p>
        </w:tc>
        <w:tc>
          <w:tcPr>
            <w:tcW w:w="268" w:type="pct"/>
            <w:tcBorders>
              <w:top w:val="nil"/>
              <w:left w:val="single" w:sz="12" w:space="0" w:color="auto"/>
              <w:bottom w:val="nil"/>
              <w:right w:val="nil"/>
            </w:tcBorders>
            <w:shd w:val="clear" w:color="auto" w:fill="F2F2F2" w:themeFill="background1" w:themeFillShade="F2"/>
            <w:noWrap/>
            <w:vAlign w:val="center"/>
            <w:hideMark/>
          </w:tcPr>
          <w:p w14:paraId="60047412"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0.3</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25E5B9AC"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268" w:type="pct"/>
            <w:tcBorders>
              <w:top w:val="nil"/>
              <w:left w:val="nil"/>
              <w:bottom w:val="nil"/>
              <w:right w:val="nil"/>
            </w:tcBorders>
            <w:shd w:val="clear" w:color="auto" w:fill="F2F2F2" w:themeFill="background1" w:themeFillShade="F2"/>
            <w:noWrap/>
            <w:vAlign w:val="center"/>
            <w:hideMark/>
          </w:tcPr>
          <w:p w14:paraId="7910BADF"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0.3</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11DDF07B"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0A5F4EB7"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0.9475</w:t>
            </w:r>
          </w:p>
        </w:tc>
        <w:tc>
          <w:tcPr>
            <w:tcW w:w="268" w:type="pct"/>
            <w:tcBorders>
              <w:top w:val="nil"/>
              <w:left w:val="single" w:sz="12" w:space="0" w:color="auto"/>
              <w:bottom w:val="nil"/>
              <w:right w:val="nil"/>
            </w:tcBorders>
            <w:shd w:val="clear" w:color="auto" w:fill="F2F2F2" w:themeFill="background1" w:themeFillShade="F2"/>
            <w:noWrap/>
            <w:vAlign w:val="center"/>
            <w:hideMark/>
          </w:tcPr>
          <w:p w14:paraId="055B8685"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23444D19"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268" w:type="pct"/>
            <w:tcBorders>
              <w:top w:val="nil"/>
              <w:left w:val="nil"/>
              <w:bottom w:val="nil"/>
              <w:right w:val="nil"/>
            </w:tcBorders>
            <w:shd w:val="clear" w:color="auto" w:fill="F2F2F2" w:themeFill="background1" w:themeFillShade="F2"/>
            <w:noWrap/>
            <w:vAlign w:val="center"/>
            <w:hideMark/>
          </w:tcPr>
          <w:p w14:paraId="0E4E7514"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0.3</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72EE2E32"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366F1B44" w14:textId="77777777" w:rsidR="00F82628" w:rsidRPr="00616865" w:rsidRDefault="00F82628" w:rsidP="00A14076">
            <w:pPr>
              <w:spacing w:after="0" w:line="240" w:lineRule="auto"/>
              <w:jc w:val="center"/>
              <w:rPr>
                <w:rFonts w:eastAsia="Times New Roman" w:cs="Arial"/>
                <w:i/>
                <w:iCs/>
                <w:sz w:val="16"/>
                <w:szCs w:val="16"/>
              </w:rPr>
            </w:pPr>
            <w:r w:rsidRPr="00616865">
              <w:rPr>
                <w:rFonts w:eastAsia="Times New Roman" w:cs="Arial"/>
                <w:i/>
                <w:iCs/>
                <w:sz w:val="16"/>
                <w:szCs w:val="16"/>
              </w:rPr>
              <w:t>0.2347</w:t>
            </w:r>
          </w:p>
        </w:tc>
        <w:tc>
          <w:tcPr>
            <w:tcW w:w="237" w:type="pct"/>
            <w:tcBorders>
              <w:top w:val="nil"/>
              <w:left w:val="single" w:sz="12" w:space="0" w:color="auto"/>
              <w:bottom w:val="nil"/>
              <w:right w:val="nil"/>
            </w:tcBorders>
            <w:shd w:val="clear" w:color="auto" w:fill="F2F2F2" w:themeFill="background1" w:themeFillShade="F2"/>
            <w:noWrap/>
            <w:vAlign w:val="center"/>
            <w:hideMark/>
          </w:tcPr>
          <w:p w14:paraId="5F75D725"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0.4</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46CB7F4E"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255" w:type="pct"/>
            <w:tcBorders>
              <w:top w:val="nil"/>
              <w:left w:val="nil"/>
              <w:bottom w:val="nil"/>
              <w:right w:val="nil"/>
            </w:tcBorders>
            <w:shd w:val="clear" w:color="auto" w:fill="F2F2F2" w:themeFill="background1" w:themeFillShade="F2"/>
            <w:noWrap/>
            <w:vAlign w:val="center"/>
            <w:hideMark/>
          </w:tcPr>
          <w:p w14:paraId="07DFBD83"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0.3</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2D760CD4"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24D6EA5F"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0.1823</w:t>
            </w:r>
          </w:p>
        </w:tc>
      </w:tr>
      <w:tr w:rsidR="00F82628" w:rsidRPr="00616865" w14:paraId="28F42BB8" w14:textId="77777777" w:rsidTr="00A14076">
        <w:trPr>
          <w:trHeight w:val="300"/>
        </w:trPr>
        <w:tc>
          <w:tcPr>
            <w:tcW w:w="690" w:type="pct"/>
            <w:tcBorders>
              <w:top w:val="nil"/>
              <w:left w:val="single" w:sz="12" w:space="0" w:color="auto"/>
              <w:bottom w:val="nil"/>
              <w:right w:val="single" w:sz="12" w:space="0" w:color="auto"/>
            </w:tcBorders>
            <w:shd w:val="clear" w:color="auto" w:fill="FFFFFF" w:themeFill="background1"/>
            <w:noWrap/>
            <w:vAlign w:val="center"/>
            <w:hideMark/>
          </w:tcPr>
          <w:p w14:paraId="25B531E1"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SPA</w:t>
            </w:r>
          </w:p>
        </w:tc>
        <w:tc>
          <w:tcPr>
            <w:tcW w:w="268" w:type="pct"/>
            <w:tcBorders>
              <w:top w:val="nil"/>
              <w:left w:val="single" w:sz="12" w:space="0" w:color="auto"/>
              <w:bottom w:val="nil"/>
              <w:right w:val="nil"/>
            </w:tcBorders>
            <w:shd w:val="clear" w:color="auto" w:fill="FFFFFF" w:themeFill="background1"/>
            <w:noWrap/>
            <w:vAlign w:val="center"/>
            <w:hideMark/>
          </w:tcPr>
          <w:p w14:paraId="33474D45"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0.5</w:t>
            </w:r>
          </w:p>
        </w:tc>
        <w:tc>
          <w:tcPr>
            <w:tcW w:w="285" w:type="pct"/>
            <w:tcBorders>
              <w:top w:val="nil"/>
              <w:left w:val="nil"/>
              <w:bottom w:val="nil"/>
              <w:right w:val="single" w:sz="4" w:space="0" w:color="auto"/>
            </w:tcBorders>
            <w:shd w:val="clear" w:color="auto" w:fill="FFFFFF" w:themeFill="background1"/>
            <w:noWrap/>
            <w:vAlign w:val="center"/>
            <w:hideMark/>
          </w:tcPr>
          <w:p w14:paraId="516C2350"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268" w:type="pct"/>
            <w:tcBorders>
              <w:top w:val="nil"/>
              <w:left w:val="nil"/>
              <w:bottom w:val="nil"/>
              <w:right w:val="nil"/>
            </w:tcBorders>
            <w:shd w:val="clear" w:color="auto" w:fill="FFFFFF" w:themeFill="background1"/>
            <w:noWrap/>
            <w:vAlign w:val="center"/>
            <w:hideMark/>
          </w:tcPr>
          <w:p w14:paraId="3C938656"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0.5</w:t>
            </w:r>
          </w:p>
        </w:tc>
        <w:tc>
          <w:tcPr>
            <w:tcW w:w="285" w:type="pct"/>
            <w:tcBorders>
              <w:top w:val="nil"/>
              <w:left w:val="nil"/>
              <w:bottom w:val="nil"/>
              <w:right w:val="single" w:sz="4" w:space="0" w:color="auto"/>
            </w:tcBorders>
            <w:shd w:val="clear" w:color="auto" w:fill="FFFFFF" w:themeFill="background1"/>
            <w:noWrap/>
            <w:vAlign w:val="center"/>
            <w:hideMark/>
          </w:tcPr>
          <w:p w14:paraId="029555A8"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346" w:type="pct"/>
            <w:tcBorders>
              <w:top w:val="nil"/>
              <w:left w:val="nil"/>
              <w:bottom w:val="nil"/>
              <w:right w:val="single" w:sz="12" w:space="0" w:color="auto"/>
            </w:tcBorders>
            <w:shd w:val="clear" w:color="auto" w:fill="FFFFFF" w:themeFill="background1"/>
            <w:noWrap/>
            <w:vAlign w:val="center"/>
            <w:hideMark/>
          </w:tcPr>
          <w:p w14:paraId="3603BB4A"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0.5042</w:t>
            </w:r>
          </w:p>
        </w:tc>
        <w:tc>
          <w:tcPr>
            <w:tcW w:w="268" w:type="pct"/>
            <w:tcBorders>
              <w:top w:val="nil"/>
              <w:left w:val="single" w:sz="12" w:space="0" w:color="auto"/>
              <w:bottom w:val="nil"/>
              <w:right w:val="nil"/>
            </w:tcBorders>
            <w:shd w:val="clear" w:color="auto" w:fill="FFFFFF" w:themeFill="background1"/>
            <w:noWrap/>
            <w:vAlign w:val="center"/>
            <w:hideMark/>
          </w:tcPr>
          <w:p w14:paraId="4834D4A2"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0.3</w:t>
            </w:r>
          </w:p>
        </w:tc>
        <w:tc>
          <w:tcPr>
            <w:tcW w:w="285" w:type="pct"/>
            <w:tcBorders>
              <w:top w:val="nil"/>
              <w:left w:val="nil"/>
              <w:bottom w:val="nil"/>
              <w:right w:val="single" w:sz="4" w:space="0" w:color="auto"/>
            </w:tcBorders>
            <w:shd w:val="clear" w:color="auto" w:fill="FFFFFF" w:themeFill="background1"/>
            <w:noWrap/>
            <w:vAlign w:val="center"/>
            <w:hideMark/>
          </w:tcPr>
          <w:p w14:paraId="2DCE3806"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268" w:type="pct"/>
            <w:tcBorders>
              <w:top w:val="nil"/>
              <w:left w:val="nil"/>
              <w:bottom w:val="nil"/>
              <w:right w:val="nil"/>
            </w:tcBorders>
            <w:shd w:val="clear" w:color="auto" w:fill="FFFFFF" w:themeFill="background1"/>
            <w:noWrap/>
            <w:vAlign w:val="center"/>
            <w:hideMark/>
          </w:tcPr>
          <w:p w14:paraId="5B480A9B"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0.5</w:t>
            </w:r>
          </w:p>
        </w:tc>
        <w:tc>
          <w:tcPr>
            <w:tcW w:w="285" w:type="pct"/>
            <w:tcBorders>
              <w:top w:val="nil"/>
              <w:left w:val="nil"/>
              <w:bottom w:val="nil"/>
              <w:right w:val="single" w:sz="4" w:space="0" w:color="auto"/>
            </w:tcBorders>
            <w:shd w:val="clear" w:color="auto" w:fill="FFFFFF" w:themeFill="background1"/>
            <w:noWrap/>
            <w:vAlign w:val="center"/>
            <w:hideMark/>
          </w:tcPr>
          <w:p w14:paraId="75CBC0A2"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346" w:type="pct"/>
            <w:tcBorders>
              <w:top w:val="nil"/>
              <w:left w:val="nil"/>
              <w:bottom w:val="nil"/>
              <w:right w:val="single" w:sz="12" w:space="0" w:color="auto"/>
            </w:tcBorders>
            <w:shd w:val="clear" w:color="auto" w:fill="FFFFFF" w:themeFill="background1"/>
            <w:noWrap/>
            <w:vAlign w:val="center"/>
            <w:hideMark/>
          </w:tcPr>
          <w:p w14:paraId="24AA0F5F" w14:textId="77777777" w:rsidR="00F82628" w:rsidRPr="00616865" w:rsidRDefault="00F82628" w:rsidP="00A14076">
            <w:pPr>
              <w:spacing w:after="0" w:line="240" w:lineRule="auto"/>
              <w:jc w:val="center"/>
              <w:rPr>
                <w:rFonts w:eastAsia="Times New Roman" w:cs="Arial"/>
                <w:b/>
                <w:bCs/>
                <w:sz w:val="16"/>
                <w:szCs w:val="16"/>
              </w:rPr>
            </w:pPr>
            <w:r>
              <w:rPr>
                <w:rFonts w:ascii="Calibri" w:eastAsia="Times New Roman" w:hAnsi="Calibri" w:cs="Arial"/>
                <w:b/>
                <w:bCs/>
                <w:sz w:val="16"/>
                <w:szCs w:val="16"/>
              </w:rPr>
              <w:t>↑</w:t>
            </w:r>
            <w:r w:rsidRPr="00616865">
              <w:rPr>
                <w:rFonts w:eastAsia="Times New Roman" w:cs="Arial"/>
                <w:b/>
                <w:bCs/>
                <w:sz w:val="16"/>
                <w:szCs w:val="16"/>
              </w:rPr>
              <w:t>0.0216</w:t>
            </w:r>
            <w:r>
              <w:rPr>
                <w:rFonts w:eastAsia="Times New Roman" w:cs="Arial"/>
                <w:b/>
                <w:bCs/>
                <w:sz w:val="16"/>
                <w:szCs w:val="16"/>
              </w:rPr>
              <w:t>*</w:t>
            </w:r>
          </w:p>
        </w:tc>
        <w:tc>
          <w:tcPr>
            <w:tcW w:w="237" w:type="pct"/>
            <w:tcBorders>
              <w:top w:val="nil"/>
              <w:left w:val="single" w:sz="12" w:space="0" w:color="auto"/>
              <w:bottom w:val="nil"/>
              <w:right w:val="nil"/>
            </w:tcBorders>
            <w:shd w:val="clear" w:color="auto" w:fill="FFFFFF" w:themeFill="background1"/>
            <w:noWrap/>
            <w:vAlign w:val="center"/>
            <w:hideMark/>
          </w:tcPr>
          <w:p w14:paraId="2B1C878E"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0.4</w:t>
            </w:r>
          </w:p>
        </w:tc>
        <w:tc>
          <w:tcPr>
            <w:tcW w:w="285" w:type="pct"/>
            <w:tcBorders>
              <w:top w:val="nil"/>
              <w:left w:val="nil"/>
              <w:bottom w:val="nil"/>
              <w:right w:val="single" w:sz="4" w:space="0" w:color="auto"/>
            </w:tcBorders>
            <w:shd w:val="clear" w:color="auto" w:fill="FFFFFF" w:themeFill="background1"/>
            <w:noWrap/>
            <w:vAlign w:val="center"/>
            <w:hideMark/>
          </w:tcPr>
          <w:p w14:paraId="0089167A"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255" w:type="pct"/>
            <w:tcBorders>
              <w:top w:val="nil"/>
              <w:left w:val="nil"/>
              <w:bottom w:val="nil"/>
              <w:right w:val="nil"/>
            </w:tcBorders>
            <w:shd w:val="clear" w:color="auto" w:fill="FFFFFF" w:themeFill="background1"/>
            <w:noWrap/>
            <w:vAlign w:val="center"/>
            <w:hideMark/>
          </w:tcPr>
          <w:p w14:paraId="262FE92A"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0.4</w:t>
            </w:r>
          </w:p>
        </w:tc>
        <w:tc>
          <w:tcPr>
            <w:tcW w:w="285" w:type="pct"/>
            <w:tcBorders>
              <w:top w:val="nil"/>
              <w:left w:val="nil"/>
              <w:bottom w:val="nil"/>
              <w:right w:val="single" w:sz="4" w:space="0" w:color="auto"/>
            </w:tcBorders>
            <w:shd w:val="clear" w:color="auto" w:fill="FFFFFF" w:themeFill="background1"/>
            <w:noWrap/>
            <w:vAlign w:val="center"/>
            <w:hideMark/>
          </w:tcPr>
          <w:p w14:paraId="1710B57F"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346" w:type="pct"/>
            <w:tcBorders>
              <w:top w:val="nil"/>
              <w:left w:val="nil"/>
              <w:bottom w:val="nil"/>
              <w:right w:val="single" w:sz="12" w:space="0" w:color="auto"/>
            </w:tcBorders>
            <w:shd w:val="clear" w:color="auto" w:fill="FFFFFF" w:themeFill="background1"/>
            <w:noWrap/>
            <w:vAlign w:val="center"/>
            <w:hideMark/>
          </w:tcPr>
          <w:p w14:paraId="770F81D1"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0.9206</w:t>
            </w:r>
          </w:p>
        </w:tc>
      </w:tr>
      <w:tr w:rsidR="00F82628" w:rsidRPr="00616865" w14:paraId="4986D560" w14:textId="77777777" w:rsidTr="00A14076">
        <w:trPr>
          <w:trHeight w:val="300"/>
        </w:trPr>
        <w:tc>
          <w:tcPr>
            <w:tcW w:w="690" w:type="pct"/>
            <w:tcBorders>
              <w:top w:val="nil"/>
              <w:left w:val="single" w:sz="12" w:space="0" w:color="auto"/>
              <w:bottom w:val="nil"/>
              <w:right w:val="single" w:sz="12" w:space="0" w:color="auto"/>
            </w:tcBorders>
            <w:shd w:val="clear" w:color="auto" w:fill="F2F2F2" w:themeFill="background1" w:themeFillShade="F2"/>
            <w:noWrap/>
            <w:vAlign w:val="center"/>
            <w:hideMark/>
          </w:tcPr>
          <w:p w14:paraId="3A3E0C95"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S1P</w:t>
            </w:r>
          </w:p>
        </w:tc>
        <w:tc>
          <w:tcPr>
            <w:tcW w:w="268" w:type="pct"/>
            <w:tcBorders>
              <w:top w:val="nil"/>
              <w:left w:val="single" w:sz="12" w:space="0" w:color="auto"/>
              <w:bottom w:val="nil"/>
              <w:right w:val="nil"/>
            </w:tcBorders>
            <w:shd w:val="clear" w:color="auto" w:fill="F2F2F2" w:themeFill="background1" w:themeFillShade="F2"/>
            <w:noWrap/>
            <w:vAlign w:val="center"/>
            <w:hideMark/>
          </w:tcPr>
          <w:p w14:paraId="797588B1"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2.8</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2D09E2F7"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1.6</w:t>
            </w:r>
          </w:p>
        </w:tc>
        <w:tc>
          <w:tcPr>
            <w:tcW w:w="268" w:type="pct"/>
            <w:tcBorders>
              <w:top w:val="nil"/>
              <w:left w:val="nil"/>
              <w:bottom w:val="nil"/>
              <w:right w:val="nil"/>
            </w:tcBorders>
            <w:shd w:val="clear" w:color="auto" w:fill="F2F2F2" w:themeFill="background1" w:themeFillShade="F2"/>
            <w:noWrap/>
            <w:vAlign w:val="center"/>
            <w:hideMark/>
          </w:tcPr>
          <w:p w14:paraId="6F54F086"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3.0</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289C39DF"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1.6</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0C64D6CA"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0.8084</w:t>
            </w:r>
          </w:p>
        </w:tc>
        <w:tc>
          <w:tcPr>
            <w:tcW w:w="268" w:type="pct"/>
            <w:tcBorders>
              <w:top w:val="nil"/>
              <w:left w:val="single" w:sz="12" w:space="0" w:color="auto"/>
              <w:bottom w:val="nil"/>
              <w:right w:val="nil"/>
            </w:tcBorders>
            <w:shd w:val="clear" w:color="auto" w:fill="F2F2F2" w:themeFill="background1" w:themeFillShade="F2"/>
            <w:noWrap/>
            <w:vAlign w:val="center"/>
            <w:hideMark/>
          </w:tcPr>
          <w:p w14:paraId="1390AE65"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2.0</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307F1635"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0.8</w:t>
            </w:r>
          </w:p>
        </w:tc>
        <w:tc>
          <w:tcPr>
            <w:tcW w:w="268" w:type="pct"/>
            <w:tcBorders>
              <w:top w:val="nil"/>
              <w:left w:val="nil"/>
              <w:bottom w:val="nil"/>
              <w:right w:val="nil"/>
            </w:tcBorders>
            <w:shd w:val="clear" w:color="auto" w:fill="F2F2F2" w:themeFill="background1" w:themeFillShade="F2"/>
            <w:noWrap/>
            <w:vAlign w:val="center"/>
            <w:hideMark/>
          </w:tcPr>
          <w:p w14:paraId="1683CDF7"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3.0</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598146FC"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1.8</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4F8D0B9C" w14:textId="77777777" w:rsidR="00F82628" w:rsidRPr="00616865" w:rsidRDefault="00F82628" w:rsidP="00A14076">
            <w:pPr>
              <w:spacing w:after="0" w:line="240" w:lineRule="auto"/>
              <w:jc w:val="center"/>
              <w:rPr>
                <w:rFonts w:eastAsia="Times New Roman" w:cs="Arial"/>
                <w:b/>
                <w:bCs/>
                <w:sz w:val="16"/>
                <w:szCs w:val="16"/>
              </w:rPr>
            </w:pPr>
            <w:r>
              <w:rPr>
                <w:rFonts w:ascii="Calibri" w:eastAsia="Times New Roman" w:hAnsi="Calibri" w:cs="Arial"/>
                <w:b/>
                <w:bCs/>
                <w:sz w:val="16"/>
                <w:szCs w:val="16"/>
              </w:rPr>
              <w:t>↑</w:t>
            </w:r>
            <w:bookmarkStart w:id="0" w:name="_Hlk527220291"/>
            <w:r w:rsidRPr="00616865">
              <w:rPr>
                <w:rFonts w:eastAsia="Times New Roman" w:cs="Arial"/>
                <w:b/>
                <w:bCs/>
                <w:sz w:val="16"/>
                <w:szCs w:val="16"/>
              </w:rPr>
              <w:t>0.0038</w:t>
            </w:r>
            <w:bookmarkEnd w:id="0"/>
            <w:r>
              <w:rPr>
                <w:rFonts w:eastAsia="Times New Roman" w:cs="Arial"/>
                <w:b/>
                <w:bCs/>
                <w:sz w:val="16"/>
                <w:szCs w:val="16"/>
              </w:rPr>
              <w:t>*</w:t>
            </w:r>
          </w:p>
        </w:tc>
        <w:tc>
          <w:tcPr>
            <w:tcW w:w="237" w:type="pct"/>
            <w:tcBorders>
              <w:top w:val="nil"/>
              <w:left w:val="single" w:sz="12" w:space="0" w:color="auto"/>
              <w:bottom w:val="nil"/>
              <w:right w:val="nil"/>
            </w:tcBorders>
            <w:shd w:val="clear" w:color="auto" w:fill="F2F2F2" w:themeFill="background1" w:themeFillShade="F2"/>
            <w:noWrap/>
            <w:vAlign w:val="center"/>
            <w:hideMark/>
          </w:tcPr>
          <w:p w14:paraId="7103463F"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3.2</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25AAD247"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1.5</w:t>
            </w:r>
          </w:p>
        </w:tc>
        <w:tc>
          <w:tcPr>
            <w:tcW w:w="255" w:type="pct"/>
            <w:tcBorders>
              <w:top w:val="nil"/>
              <w:left w:val="nil"/>
              <w:bottom w:val="nil"/>
              <w:right w:val="nil"/>
            </w:tcBorders>
            <w:shd w:val="clear" w:color="auto" w:fill="F2F2F2" w:themeFill="background1" w:themeFillShade="F2"/>
            <w:noWrap/>
            <w:vAlign w:val="center"/>
            <w:hideMark/>
          </w:tcPr>
          <w:p w14:paraId="2551BD25"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3.6</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4BD1F5A1"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2.3</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50C8FC60" w14:textId="77777777" w:rsidR="00F82628" w:rsidRPr="00616865" w:rsidRDefault="00F82628" w:rsidP="00A14076">
            <w:pPr>
              <w:spacing w:after="0" w:line="240" w:lineRule="auto"/>
              <w:jc w:val="center"/>
              <w:rPr>
                <w:rFonts w:eastAsia="Times New Roman" w:cs="Arial"/>
                <w:b/>
                <w:bCs/>
                <w:color w:val="000000"/>
                <w:sz w:val="16"/>
                <w:szCs w:val="16"/>
              </w:rPr>
            </w:pPr>
            <w:r>
              <w:rPr>
                <w:rFonts w:ascii="Calibri" w:eastAsia="Times New Roman" w:hAnsi="Calibri" w:cs="Arial"/>
                <w:b/>
                <w:bCs/>
                <w:color w:val="000000"/>
                <w:sz w:val="16"/>
                <w:szCs w:val="16"/>
              </w:rPr>
              <w:t>↑</w:t>
            </w:r>
            <w:r w:rsidRPr="00616865">
              <w:rPr>
                <w:rFonts w:eastAsia="Times New Roman" w:cs="Arial"/>
                <w:b/>
                <w:bCs/>
                <w:color w:val="000000"/>
                <w:sz w:val="16"/>
                <w:szCs w:val="16"/>
              </w:rPr>
              <w:t>0.0123</w:t>
            </w:r>
            <w:r>
              <w:rPr>
                <w:rFonts w:eastAsia="Times New Roman" w:cs="Arial"/>
                <w:b/>
                <w:bCs/>
                <w:color w:val="000000"/>
                <w:sz w:val="16"/>
                <w:szCs w:val="16"/>
              </w:rPr>
              <w:t>*</w:t>
            </w:r>
          </w:p>
        </w:tc>
      </w:tr>
      <w:tr w:rsidR="00F82628" w:rsidRPr="00616865" w14:paraId="45AC7054" w14:textId="77777777" w:rsidTr="00A14076">
        <w:trPr>
          <w:trHeight w:val="300"/>
        </w:trPr>
        <w:tc>
          <w:tcPr>
            <w:tcW w:w="690" w:type="pct"/>
            <w:tcBorders>
              <w:top w:val="nil"/>
              <w:left w:val="single" w:sz="12" w:space="0" w:color="auto"/>
              <w:bottom w:val="nil"/>
              <w:right w:val="single" w:sz="12" w:space="0" w:color="auto"/>
            </w:tcBorders>
            <w:shd w:val="clear" w:color="auto" w:fill="FFFFFF" w:themeFill="background1"/>
            <w:noWrap/>
            <w:vAlign w:val="center"/>
            <w:hideMark/>
          </w:tcPr>
          <w:p w14:paraId="54B4B04C"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Cer</w:t>
            </w:r>
            <w:r>
              <w:rPr>
                <w:rFonts w:eastAsia="Times New Roman" w:cs="Arial"/>
                <w:b/>
                <w:bCs/>
                <w:color w:val="000000"/>
                <w:sz w:val="16"/>
                <w:szCs w:val="16"/>
              </w:rPr>
              <w:t xml:space="preserve"> d18:1/</w:t>
            </w:r>
            <w:r w:rsidRPr="00616865">
              <w:rPr>
                <w:rFonts w:eastAsia="Times New Roman" w:cs="Arial"/>
                <w:b/>
                <w:bCs/>
                <w:color w:val="000000"/>
                <w:sz w:val="16"/>
                <w:szCs w:val="16"/>
              </w:rPr>
              <w:t>14:0</w:t>
            </w:r>
          </w:p>
        </w:tc>
        <w:tc>
          <w:tcPr>
            <w:tcW w:w="268" w:type="pct"/>
            <w:tcBorders>
              <w:top w:val="nil"/>
              <w:left w:val="single" w:sz="12" w:space="0" w:color="auto"/>
              <w:bottom w:val="nil"/>
              <w:right w:val="nil"/>
            </w:tcBorders>
            <w:shd w:val="clear" w:color="auto" w:fill="FFFFFF" w:themeFill="background1"/>
            <w:noWrap/>
            <w:vAlign w:val="center"/>
            <w:hideMark/>
          </w:tcPr>
          <w:p w14:paraId="32DC2715"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285" w:type="pct"/>
            <w:tcBorders>
              <w:top w:val="nil"/>
              <w:left w:val="nil"/>
              <w:bottom w:val="nil"/>
              <w:right w:val="single" w:sz="4" w:space="0" w:color="auto"/>
            </w:tcBorders>
            <w:shd w:val="clear" w:color="auto" w:fill="FFFFFF" w:themeFill="background1"/>
            <w:noWrap/>
            <w:vAlign w:val="center"/>
            <w:hideMark/>
          </w:tcPr>
          <w:p w14:paraId="42D41171"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268" w:type="pct"/>
            <w:tcBorders>
              <w:top w:val="nil"/>
              <w:left w:val="nil"/>
              <w:bottom w:val="nil"/>
              <w:right w:val="nil"/>
            </w:tcBorders>
            <w:shd w:val="clear" w:color="auto" w:fill="FFFFFF" w:themeFill="background1"/>
            <w:noWrap/>
            <w:vAlign w:val="center"/>
            <w:hideMark/>
          </w:tcPr>
          <w:p w14:paraId="5CADFA76"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285" w:type="pct"/>
            <w:tcBorders>
              <w:top w:val="nil"/>
              <w:left w:val="nil"/>
              <w:bottom w:val="nil"/>
              <w:right w:val="single" w:sz="4" w:space="0" w:color="auto"/>
            </w:tcBorders>
            <w:shd w:val="clear" w:color="auto" w:fill="FFFFFF" w:themeFill="background1"/>
            <w:noWrap/>
            <w:vAlign w:val="center"/>
            <w:hideMark/>
          </w:tcPr>
          <w:p w14:paraId="196E559D"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0.0</w:t>
            </w:r>
          </w:p>
        </w:tc>
        <w:tc>
          <w:tcPr>
            <w:tcW w:w="346" w:type="pct"/>
            <w:tcBorders>
              <w:top w:val="nil"/>
              <w:left w:val="nil"/>
              <w:bottom w:val="nil"/>
              <w:right w:val="single" w:sz="12" w:space="0" w:color="auto"/>
            </w:tcBorders>
            <w:shd w:val="clear" w:color="auto" w:fill="FFFFFF" w:themeFill="background1"/>
            <w:noWrap/>
            <w:vAlign w:val="center"/>
            <w:hideMark/>
          </w:tcPr>
          <w:p w14:paraId="38D72C38"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0.8960</w:t>
            </w:r>
          </w:p>
        </w:tc>
        <w:tc>
          <w:tcPr>
            <w:tcW w:w="268" w:type="pct"/>
            <w:tcBorders>
              <w:top w:val="nil"/>
              <w:left w:val="single" w:sz="12" w:space="0" w:color="auto"/>
              <w:bottom w:val="nil"/>
              <w:right w:val="nil"/>
            </w:tcBorders>
            <w:shd w:val="clear" w:color="auto" w:fill="FFFFFF" w:themeFill="background1"/>
            <w:noWrap/>
            <w:vAlign w:val="center"/>
            <w:hideMark/>
          </w:tcPr>
          <w:p w14:paraId="31C8456C"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0.0</w:t>
            </w:r>
          </w:p>
        </w:tc>
        <w:tc>
          <w:tcPr>
            <w:tcW w:w="285" w:type="pct"/>
            <w:tcBorders>
              <w:top w:val="nil"/>
              <w:left w:val="nil"/>
              <w:bottom w:val="nil"/>
              <w:right w:val="single" w:sz="4" w:space="0" w:color="auto"/>
            </w:tcBorders>
            <w:shd w:val="clear" w:color="auto" w:fill="FFFFFF" w:themeFill="background1"/>
            <w:noWrap/>
            <w:vAlign w:val="center"/>
            <w:hideMark/>
          </w:tcPr>
          <w:p w14:paraId="6B1C1B58"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0.0</w:t>
            </w:r>
          </w:p>
        </w:tc>
        <w:tc>
          <w:tcPr>
            <w:tcW w:w="268" w:type="pct"/>
            <w:tcBorders>
              <w:top w:val="nil"/>
              <w:left w:val="nil"/>
              <w:bottom w:val="nil"/>
              <w:right w:val="nil"/>
            </w:tcBorders>
            <w:shd w:val="clear" w:color="auto" w:fill="FFFFFF" w:themeFill="background1"/>
            <w:noWrap/>
            <w:vAlign w:val="center"/>
            <w:hideMark/>
          </w:tcPr>
          <w:p w14:paraId="3051FA60"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0.0</w:t>
            </w:r>
          </w:p>
        </w:tc>
        <w:tc>
          <w:tcPr>
            <w:tcW w:w="285" w:type="pct"/>
            <w:tcBorders>
              <w:top w:val="nil"/>
              <w:left w:val="nil"/>
              <w:bottom w:val="nil"/>
              <w:right w:val="single" w:sz="4" w:space="0" w:color="auto"/>
            </w:tcBorders>
            <w:shd w:val="clear" w:color="auto" w:fill="FFFFFF" w:themeFill="background1"/>
            <w:noWrap/>
            <w:vAlign w:val="center"/>
            <w:hideMark/>
          </w:tcPr>
          <w:p w14:paraId="53FF1502"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0.0</w:t>
            </w:r>
          </w:p>
        </w:tc>
        <w:tc>
          <w:tcPr>
            <w:tcW w:w="346" w:type="pct"/>
            <w:tcBorders>
              <w:top w:val="nil"/>
              <w:left w:val="nil"/>
              <w:bottom w:val="nil"/>
              <w:right w:val="single" w:sz="12" w:space="0" w:color="auto"/>
            </w:tcBorders>
            <w:shd w:val="clear" w:color="auto" w:fill="FFFFFF" w:themeFill="background1"/>
            <w:noWrap/>
            <w:vAlign w:val="center"/>
            <w:hideMark/>
          </w:tcPr>
          <w:p w14:paraId="7BD5C949"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0.4043</w:t>
            </w:r>
          </w:p>
        </w:tc>
        <w:tc>
          <w:tcPr>
            <w:tcW w:w="237" w:type="pct"/>
            <w:tcBorders>
              <w:top w:val="nil"/>
              <w:left w:val="single" w:sz="12" w:space="0" w:color="auto"/>
              <w:bottom w:val="nil"/>
              <w:right w:val="nil"/>
            </w:tcBorders>
            <w:shd w:val="clear" w:color="auto" w:fill="FFFFFF" w:themeFill="background1"/>
            <w:noWrap/>
            <w:vAlign w:val="center"/>
            <w:hideMark/>
          </w:tcPr>
          <w:p w14:paraId="5397F45F"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0.0</w:t>
            </w:r>
          </w:p>
        </w:tc>
        <w:tc>
          <w:tcPr>
            <w:tcW w:w="285" w:type="pct"/>
            <w:tcBorders>
              <w:top w:val="nil"/>
              <w:left w:val="nil"/>
              <w:bottom w:val="nil"/>
              <w:right w:val="single" w:sz="4" w:space="0" w:color="auto"/>
            </w:tcBorders>
            <w:shd w:val="clear" w:color="auto" w:fill="FFFFFF" w:themeFill="background1"/>
            <w:noWrap/>
            <w:vAlign w:val="center"/>
            <w:hideMark/>
          </w:tcPr>
          <w:p w14:paraId="0786CE49"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0.0</w:t>
            </w:r>
          </w:p>
        </w:tc>
        <w:tc>
          <w:tcPr>
            <w:tcW w:w="255" w:type="pct"/>
            <w:tcBorders>
              <w:top w:val="nil"/>
              <w:left w:val="nil"/>
              <w:bottom w:val="nil"/>
              <w:right w:val="nil"/>
            </w:tcBorders>
            <w:shd w:val="clear" w:color="auto" w:fill="FFFFFF" w:themeFill="background1"/>
            <w:noWrap/>
            <w:vAlign w:val="center"/>
            <w:hideMark/>
          </w:tcPr>
          <w:p w14:paraId="59A47DF7"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0.0</w:t>
            </w:r>
          </w:p>
        </w:tc>
        <w:tc>
          <w:tcPr>
            <w:tcW w:w="285" w:type="pct"/>
            <w:tcBorders>
              <w:top w:val="nil"/>
              <w:left w:val="nil"/>
              <w:bottom w:val="nil"/>
              <w:right w:val="single" w:sz="4" w:space="0" w:color="auto"/>
            </w:tcBorders>
            <w:shd w:val="clear" w:color="auto" w:fill="FFFFFF" w:themeFill="background1"/>
            <w:noWrap/>
            <w:vAlign w:val="center"/>
            <w:hideMark/>
          </w:tcPr>
          <w:p w14:paraId="16815675"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0.0</w:t>
            </w:r>
          </w:p>
        </w:tc>
        <w:tc>
          <w:tcPr>
            <w:tcW w:w="346" w:type="pct"/>
            <w:tcBorders>
              <w:top w:val="nil"/>
              <w:left w:val="nil"/>
              <w:bottom w:val="nil"/>
              <w:right w:val="single" w:sz="12" w:space="0" w:color="auto"/>
            </w:tcBorders>
            <w:shd w:val="clear" w:color="auto" w:fill="FFFFFF" w:themeFill="background1"/>
            <w:noWrap/>
            <w:vAlign w:val="center"/>
            <w:hideMark/>
          </w:tcPr>
          <w:p w14:paraId="7ADE854A"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0.5884</w:t>
            </w:r>
          </w:p>
        </w:tc>
      </w:tr>
      <w:tr w:rsidR="00F82628" w:rsidRPr="00616865" w14:paraId="7AF0AB7E" w14:textId="77777777" w:rsidTr="00A14076">
        <w:trPr>
          <w:trHeight w:val="300"/>
        </w:trPr>
        <w:tc>
          <w:tcPr>
            <w:tcW w:w="690" w:type="pct"/>
            <w:tcBorders>
              <w:top w:val="nil"/>
              <w:left w:val="single" w:sz="12" w:space="0" w:color="auto"/>
              <w:bottom w:val="nil"/>
              <w:right w:val="single" w:sz="12" w:space="0" w:color="auto"/>
            </w:tcBorders>
            <w:shd w:val="clear" w:color="auto" w:fill="F2F2F2" w:themeFill="background1" w:themeFillShade="F2"/>
            <w:noWrap/>
            <w:vAlign w:val="center"/>
            <w:hideMark/>
          </w:tcPr>
          <w:p w14:paraId="035E1784"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Cer</w:t>
            </w:r>
            <w:r>
              <w:rPr>
                <w:rFonts w:eastAsia="Times New Roman" w:cs="Arial"/>
                <w:b/>
                <w:bCs/>
                <w:color w:val="000000"/>
                <w:sz w:val="16"/>
                <w:szCs w:val="16"/>
              </w:rPr>
              <w:t xml:space="preserve"> d18:1/</w:t>
            </w:r>
            <w:r w:rsidRPr="00616865">
              <w:rPr>
                <w:rFonts w:eastAsia="Times New Roman" w:cs="Arial"/>
                <w:b/>
                <w:bCs/>
                <w:color w:val="000000"/>
                <w:sz w:val="16"/>
                <w:szCs w:val="16"/>
              </w:rPr>
              <w:t>16:0</w:t>
            </w:r>
          </w:p>
        </w:tc>
        <w:tc>
          <w:tcPr>
            <w:tcW w:w="268" w:type="pct"/>
            <w:tcBorders>
              <w:top w:val="nil"/>
              <w:left w:val="single" w:sz="12" w:space="0" w:color="auto"/>
              <w:bottom w:val="nil"/>
              <w:right w:val="nil"/>
            </w:tcBorders>
            <w:shd w:val="clear" w:color="auto" w:fill="F2F2F2" w:themeFill="background1" w:themeFillShade="F2"/>
            <w:noWrap/>
            <w:vAlign w:val="center"/>
            <w:hideMark/>
          </w:tcPr>
          <w:p w14:paraId="4BB8E3FE"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0.8</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0F0F543A"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0.3</w:t>
            </w:r>
          </w:p>
        </w:tc>
        <w:tc>
          <w:tcPr>
            <w:tcW w:w="268" w:type="pct"/>
            <w:tcBorders>
              <w:top w:val="nil"/>
              <w:left w:val="nil"/>
              <w:bottom w:val="nil"/>
              <w:right w:val="nil"/>
            </w:tcBorders>
            <w:shd w:val="clear" w:color="auto" w:fill="F2F2F2" w:themeFill="background1" w:themeFillShade="F2"/>
            <w:noWrap/>
            <w:vAlign w:val="center"/>
            <w:hideMark/>
          </w:tcPr>
          <w:p w14:paraId="5A1EFD73"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1.1</w:t>
            </w:r>
          </w:p>
        </w:tc>
        <w:tc>
          <w:tcPr>
            <w:tcW w:w="285" w:type="pct"/>
            <w:tcBorders>
              <w:top w:val="nil"/>
              <w:left w:val="nil"/>
              <w:bottom w:val="nil"/>
              <w:right w:val="nil"/>
            </w:tcBorders>
            <w:shd w:val="clear" w:color="auto" w:fill="F2F2F2" w:themeFill="background1" w:themeFillShade="F2"/>
            <w:noWrap/>
            <w:vAlign w:val="center"/>
            <w:hideMark/>
          </w:tcPr>
          <w:p w14:paraId="71EE1072"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0.3</w:t>
            </w:r>
          </w:p>
        </w:tc>
        <w:tc>
          <w:tcPr>
            <w:tcW w:w="346" w:type="pct"/>
            <w:tcBorders>
              <w:top w:val="nil"/>
              <w:left w:val="single" w:sz="4" w:space="0" w:color="auto"/>
              <w:bottom w:val="nil"/>
              <w:right w:val="single" w:sz="12" w:space="0" w:color="auto"/>
            </w:tcBorders>
            <w:shd w:val="clear" w:color="auto" w:fill="F2F2F2" w:themeFill="background1" w:themeFillShade="F2"/>
            <w:noWrap/>
            <w:vAlign w:val="center"/>
            <w:hideMark/>
          </w:tcPr>
          <w:p w14:paraId="54F9E64A" w14:textId="77777777" w:rsidR="00F82628" w:rsidRPr="00616865" w:rsidRDefault="00F82628" w:rsidP="00A14076">
            <w:pPr>
              <w:spacing w:after="0" w:line="240" w:lineRule="auto"/>
              <w:jc w:val="center"/>
              <w:rPr>
                <w:rFonts w:eastAsia="Times New Roman" w:cs="Arial"/>
                <w:b/>
                <w:bCs/>
                <w:color w:val="000000"/>
                <w:sz w:val="16"/>
                <w:szCs w:val="16"/>
              </w:rPr>
            </w:pPr>
            <w:r>
              <w:rPr>
                <w:rFonts w:ascii="Calibri" w:eastAsia="Times New Roman" w:hAnsi="Calibri" w:cs="Arial"/>
                <w:b/>
                <w:bCs/>
                <w:color w:val="000000"/>
                <w:sz w:val="16"/>
                <w:szCs w:val="16"/>
              </w:rPr>
              <w:t>↑</w:t>
            </w:r>
            <w:r w:rsidRPr="00616865">
              <w:rPr>
                <w:rFonts w:eastAsia="Times New Roman" w:cs="Arial"/>
                <w:b/>
                <w:bCs/>
                <w:color w:val="000000"/>
                <w:sz w:val="16"/>
                <w:szCs w:val="16"/>
              </w:rPr>
              <w:t>0.0080</w:t>
            </w:r>
            <w:r>
              <w:rPr>
                <w:rFonts w:eastAsia="Times New Roman" w:cs="Arial"/>
                <w:b/>
                <w:bCs/>
                <w:color w:val="000000"/>
                <w:sz w:val="16"/>
                <w:szCs w:val="16"/>
              </w:rPr>
              <w:t>*</w:t>
            </w:r>
          </w:p>
        </w:tc>
        <w:tc>
          <w:tcPr>
            <w:tcW w:w="268" w:type="pct"/>
            <w:tcBorders>
              <w:top w:val="nil"/>
              <w:left w:val="single" w:sz="12" w:space="0" w:color="auto"/>
              <w:bottom w:val="nil"/>
              <w:right w:val="nil"/>
            </w:tcBorders>
            <w:shd w:val="clear" w:color="auto" w:fill="F2F2F2" w:themeFill="background1" w:themeFillShade="F2"/>
            <w:noWrap/>
            <w:vAlign w:val="center"/>
            <w:hideMark/>
          </w:tcPr>
          <w:p w14:paraId="12048EE9"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0.6</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53EB34F2"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0.3</w:t>
            </w:r>
          </w:p>
        </w:tc>
        <w:tc>
          <w:tcPr>
            <w:tcW w:w="268" w:type="pct"/>
            <w:tcBorders>
              <w:top w:val="nil"/>
              <w:left w:val="nil"/>
              <w:bottom w:val="nil"/>
              <w:right w:val="nil"/>
            </w:tcBorders>
            <w:shd w:val="clear" w:color="auto" w:fill="F2F2F2" w:themeFill="background1" w:themeFillShade="F2"/>
            <w:noWrap/>
            <w:vAlign w:val="center"/>
            <w:hideMark/>
          </w:tcPr>
          <w:p w14:paraId="015AF984"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0.8</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1A22E903"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4851EA70" w14:textId="77777777" w:rsidR="00F82628" w:rsidRPr="00616865" w:rsidRDefault="00F82628" w:rsidP="00A14076">
            <w:pPr>
              <w:spacing w:after="0" w:line="240" w:lineRule="auto"/>
              <w:jc w:val="center"/>
              <w:rPr>
                <w:rFonts w:eastAsia="Times New Roman" w:cs="Arial"/>
                <w:b/>
                <w:bCs/>
                <w:color w:val="000000"/>
                <w:sz w:val="16"/>
                <w:szCs w:val="16"/>
              </w:rPr>
            </w:pPr>
            <w:r>
              <w:rPr>
                <w:rFonts w:ascii="Calibri" w:eastAsia="Times New Roman" w:hAnsi="Calibri" w:cs="Arial"/>
                <w:b/>
                <w:bCs/>
                <w:color w:val="000000"/>
                <w:sz w:val="16"/>
                <w:szCs w:val="16"/>
              </w:rPr>
              <w:t>↑</w:t>
            </w:r>
            <w:r w:rsidRPr="00616865">
              <w:rPr>
                <w:rFonts w:eastAsia="Times New Roman" w:cs="Arial"/>
                <w:b/>
                <w:bCs/>
                <w:color w:val="000000"/>
                <w:sz w:val="16"/>
                <w:szCs w:val="16"/>
              </w:rPr>
              <w:t>0.0400</w:t>
            </w:r>
            <w:r>
              <w:rPr>
                <w:rFonts w:eastAsia="Times New Roman" w:cs="Arial"/>
                <w:b/>
                <w:bCs/>
                <w:color w:val="000000"/>
                <w:sz w:val="16"/>
                <w:szCs w:val="16"/>
              </w:rPr>
              <w:t>*</w:t>
            </w:r>
          </w:p>
        </w:tc>
        <w:tc>
          <w:tcPr>
            <w:tcW w:w="237" w:type="pct"/>
            <w:tcBorders>
              <w:top w:val="nil"/>
              <w:left w:val="single" w:sz="12" w:space="0" w:color="auto"/>
              <w:bottom w:val="nil"/>
              <w:right w:val="nil"/>
            </w:tcBorders>
            <w:shd w:val="clear" w:color="auto" w:fill="F2F2F2" w:themeFill="background1" w:themeFillShade="F2"/>
            <w:noWrap/>
            <w:vAlign w:val="center"/>
            <w:hideMark/>
          </w:tcPr>
          <w:p w14:paraId="099BA192"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0.5</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329215C9"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0.3</w:t>
            </w:r>
          </w:p>
        </w:tc>
        <w:tc>
          <w:tcPr>
            <w:tcW w:w="255" w:type="pct"/>
            <w:tcBorders>
              <w:top w:val="nil"/>
              <w:left w:val="nil"/>
              <w:bottom w:val="nil"/>
              <w:right w:val="nil"/>
            </w:tcBorders>
            <w:shd w:val="clear" w:color="auto" w:fill="F2F2F2" w:themeFill="background1" w:themeFillShade="F2"/>
            <w:noWrap/>
            <w:vAlign w:val="center"/>
            <w:hideMark/>
          </w:tcPr>
          <w:p w14:paraId="295A9F41"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0.6</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149C5549"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4C808EBC"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0.6812</w:t>
            </w:r>
          </w:p>
        </w:tc>
      </w:tr>
      <w:tr w:rsidR="00F82628" w:rsidRPr="00616865" w14:paraId="0D2D3580" w14:textId="77777777" w:rsidTr="00A14076">
        <w:trPr>
          <w:trHeight w:val="300"/>
        </w:trPr>
        <w:tc>
          <w:tcPr>
            <w:tcW w:w="690" w:type="pct"/>
            <w:tcBorders>
              <w:top w:val="nil"/>
              <w:left w:val="single" w:sz="12" w:space="0" w:color="auto"/>
              <w:bottom w:val="nil"/>
              <w:right w:val="single" w:sz="12" w:space="0" w:color="auto"/>
            </w:tcBorders>
            <w:shd w:val="clear" w:color="auto" w:fill="FFFFFF" w:themeFill="background1"/>
            <w:noWrap/>
            <w:vAlign w:val="center"/>
            <w:hideMark/>
          </w:tcPr>
          <w:p w14:paraId="7DF001DF"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Cer</w:t>
            </w:r>
            <w:r>
              <w:rPr>
                <w:rFonts w:eastAsia="Times New Roman" w:cs="Arial"/>
                <w:b/>
                <w:bCs/>
                <w:color w:val="000000"/>
                <w:sz w:val="16"/>
                <w:szCs w:val="16"/>
              </w:rPr>
              <w:t xml:space="preserve"> d18:1/</w:t>
            </w:r>
            <w:r w:rsidRPr="00616865">
              <w:rPr>
                <w:rFonts w:eastAsia="Times New Roman" w:cs="Arial"/>
                <w:b/>
                <w:bCs/>
                <w:color w:val="000000"/>
                <w:sz w:val="16"/>
                <w:szCs w:val="16"/>
              </w:rPr>
              <w:t>18:1</w:t>
            </w:r>
          </w:p>
        </w:tc>
        <w:tc>
          <w:tcPr>
            <w:tcW w:w="268" w:type="pct"/>
            <w:tcBorders>
              <w:top w:val="nil"/>
              <w:left w:val="single" w:sz="12" w:space="0" w:color="auto"/>
              <w:bottom w:val="nil"/>
              <w:right w:val="nil"/>
            </w:tcBorders>
            <w:shd w:val="clear" w:color="auto" w:fill="FFFFFF" w:themeFill="background1"/>
            <w:noWrap/>
            <w:vAlign w:val="center"/>
            <w:hideMark/>
          </w:tcPr>
          <w:p w14:paraId="7B84C703"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285" w:type="pct"/>
            <w:tcBorders>
              <w:top w:val="nil"/>
              <w:left w:val="nil"/>
              <w:bottom w:val="nil"/>
              <w:right w:val="single" w:sz="4" w:space="0" w:color="auto"/>
            </w:tcBorders>
            <w:shd w:val="clear" w:color="auto" w:fill="FFFFFF" w:themeFill="background1"/>
            <w:noWrap/>
            <w:vAlign w:val="center"/>
            <w:hideMark/>
          </w:tcPr>
          <w:p w14:paraId="2FD3B9CC"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268" w:type="pct"/>
            <w:tcBorders>
              <w:top w:val="nil"/>
              <w:left w:val="nil"/>
              <w:bottom w:val="nil"/>
              <w:right w:val="nil"/>
            </w:tcBorders>
            <w:shd w:val="clear" w:color="auto" w:fill="FFFFFF" w:themeFill="background1"/>
            <w:noWrap/>
            <w:vAlign w:val="center"/>
            <w:hideMark/>
          </w:tcPr>
          <w:p w14:paraId="688B9CC0"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285" w:type="pct"/>
            <w:tcBorders>
              <w:top w:val="nil"/>
              <w:left w:val="nil"/>
              <w:bottom w:val="nil"/>
              <w:right w:val="single" w:sz="4" w:space="0" w:color="auto"/>
            </w:tcBorders>
            <w:shd w:val="clear" w:color="auto" w:fill="FFFFFF" w:themeFill="background1"/>
            <w:noWrap/>
            <w:vAlign w:val="center"/>
            <w:hideMark/>
          </w:tcPr>
          <w:p w14:paraId="4F096331"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346" w:type="pct"/>
            <w:tcBorders>
              <w:top w:val="nil"/>
              <w:left w:val="nil"/>
              <w:bottom w:val="nil"/>
              <w:right w:val="single" w:sz="12" w:space="0" w:color="auto"/>
            </w:tcBorders>
            <w:shd w:val="clear" w:color="auto" w:fill="FFFFFF" w:themeFill="background1"/>
            <w:noWrap/>
            <w:vAlign w:val="center"/>
            <w:hideMark/>
          </w:tcPr>
          <w:p w14:paraId="362F28CA"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0.0531</w:t>
            </w:r>
          </w:p>
        </w:tc>
        <w:tc>
          <w:tcPr>
            <w:tcW w:w="268" w:type="pct"/>
            <w:tcBorders>
              <w:top w:val="nil"/>
              <w:left w:val="single" w:sz="12" w:space="0" w:color="auto"/>
              <w:bottom w:val="nil"/>
              <w:right w:val="nil"/>
            </w:tcBorders>
            <w:shd w:val="clear" w:color="auto" w:fill="FFFFFF" w:themeFill="background1"/>
            <w:noWrap/>
            <w:vAlign w:val="center"/>
            <w:hideMark/>
          </w:tcPr>
          <w:p w14:paraId="4A3CACFE"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285" w:type="pct"/>
            <w:tcBorders>
              <w:top w:val="nil"/>
              <w:left w:val="nil"/>
              <w:bottom w:val="nil"/>
              <w:right w:val="single" w:sz="4" w:space="0" w:color="auto"/>
            </w:tcBorders>
            <w:shd w:val="clear" w:color="auto" w:fill="FFFFFF" w:themeFill="background1"/>
            <w:noWrap/>
            <w:vAlign w:val="center"/>
            <w:hideMark/>
          </w:tcPr>
          <w:p w14:paraId="14C55D6C"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268" w:type="pct"/>
            <w:tcBorders>
              <w:top w:val="nil"/>
              <w:left w:val="nil"/>
              <w:bottom w:val="nil"/>
              <w:right w:val="nil"/>
            </w:tcBorders>
            <w:shd w:val="clear" w:color="auto" w:fill="FFFFFF" w:themeFill="background1"/>
            <w:noWrap/>
            <w:vAlign w:val="center"/>
            <w:hideMark/>
          </w:tcPr>
          <w:p w14:paraId="729DC735"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285" w:type="pct"/>
            <w:tcBorders>
              <w:top w:val="nil"/>
              <w:left w:val="nil"/>
              <w:bottom w:val="nil"/>
              <w:right w:val="single" w:sz="4" w:space="0" w:color="auto"/>
            </w:tcBorders>
            <w:shd w:val="clear" w:color="auto" w:fill="FFFFFF" w:themeFill="background1"/>
            <w:noWrap/>
            <w:vAlign w:val="center"/>
            <w:hideMark/>
          </w:tcPr>
          <w:p w14:paraId="29F02754"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346" w:type="pct"/>
            <w:tcBorders>
              <w:top w:val="nil"/>
              <w:left w:val="nil"/>
              <w:bottom w:val="nil"/>
              <w:right w:val="single" w:sz="12" w:space="0" w:color="auto"/>
            </w:tcBorders>
            <w:shd w:val="clear" w:color="auto" w:fill="FFFFFF" w:themeFill="background1"/>
            <w:noWrap/>
            <w:vAlign w:val="center"/>
            <w:hideMark/>
          </w:tcPr>
          <w:p w14:paraId="7D218AB8" w14:textId="77777777" w:rsidR="00F82628" w:rsidRPr="00616865" w:rsidRDefault="00F82628" w:rsidP="00A14076">
            <w:pPr>
              <w:spacing w:after="0" w:line="240" w:lineRule="auto"/>
              <w:jc w:val="center"/>
              <w:rPr>
                <w:rFonts w:eastAsia="Times New Roman" w:cs="Arial"/>
                <w:b/>
                <w:bCs/>
                <w:color w:val="000000"/>
                <w:sz w:val="16"/>
                <w:szCs w:val="16"/>
              </w:rPr>
            </w:pPr>
            <w:r>
              <w:rPr>
                <w:rFonts w:ascii="Calibri" w:eastAsia="Times New Roman" w:hAnsi="Calibri" w:cs="Arial"/>
                <w:b/>
                <w:bCs/>
                <w:color w:val="000000"/>
                <w:sz w:val="16"/>
                <w:szCs w:val="16"/>
              </w:rPr>
              <w:t>↑</w:t>
            </w:r>
            <w:r w:rsidRPr="00616865">
              <w:rPr>
                <w:rFonts w:eastAsia="Times New Roman" w:cs="Arial"/>
                <w:b/>
                <w:bCs/>
                <w:color w:val="000000"/>
                <w:sz w:val="16"/>
                <w:szCs w:val="16"/>
              </w:rPr>
              <w:t>0.0050</w:t>
            </w:r>
            <w:r>
              <w:rPr>
                <w:rFonts w:eastAsia="Times New Roman" w:cs="Arial"/>
                <w:b/>
                <w:bCs/>
                <w:color w:val="000000"/>
                <w:sz w:val="16"/>
                <w:szCs w:val="16"/>
              </w:rPr>
              <w:t>*</w:t>
            </w:r>
          </w:p>
        </w:tc>
        <w:tc>
          <w:tcPr>
            <w:tcW w:w="237" w:type="pct"/>
            <w:tcBorders>
              <w:top w:val="nil"/>
              <w:left w:val="single" w:sz="12" w:space="0" w:color="auto"/>
              <w:bottom w:val="nil"/>
              <w:right w:val="nil"/>
            </w:tcBorders>
            <w:shd w:val="clear" w:color="auto" w:fill="FFFFFF" w:themeFill="background1"/>
            <w:noWrap/>
            <w:vAlign w:val="center"/>
            <w:hideMark/>
          </w:tcPr>
          <w:p w14:paraId="0AD3A072"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285" w:type="pct"/>
            <w:tcBorders>
              <w:top w:val="nil"/>
              <w:left w:val="nil"/>
              <w:bottom w:val="nil"/>
              <w:right w:val="single" w:sz="4" w:space="0" w:color="auto"/>
            </w:tcBorders>
            <w:shd w:val="clear" w:color="auto" w:fill="FFFFFF" w:themeFill="background1"/>
            <w:noWrap/>
            <w:vAlign w:val="center"/>
            <w:hideMark/>
          </w:tcPr>
          <w:p w14:paraId="73BEE298"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0.0</w:t>
            </w:r>
          </w:p>
        </w:tc>
        <w:tc>
          <w:tcPr>
            <w:tcW w:w="255" w:type="pct"/>
            <w:tcBorders>
              <w:top w:val="nil"/>
              <w:left w:val="nil"/>
              <w:bottom w:val="nil"/>
              <w:right w:val="nil"/>
            </w:tcBorders>
            <w:shd w:val="clear" w:color="auto" w:fill="FFFFFF" w:themeFill="background1"/>
            <w:noWrap/>
            <w:vAlign w:val="center"/>
            <w:hideMark/>
          </w:tcPr>
          <w:p w14:paraId="7D07CF5C"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285" w:type="pct"/>
            <w:tcBorders>
              <w:top w:val="nil"/>
              <w:left w:val="nil"/>
              <w:bottom w:val="nil"/>
              <w:right w:val="single" w:sz="4" w:space="0" w:color="auto"/>
            </w:tcBorders>
            <w:shd w:val="clear" w:color="auto" w:fill="FFFFFF" w:themeFill="background1"/>
            <w:noWrap/>
            <w:vAlign w:val="center"/>
            <w:hideMark/>
          </w:tcPr>
          <w:p w14:paraId="2FAAFD3A"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0.0</w:t>
            </w:r>
          </w:p>
        </w:tc>
        <w:tc>
          <w:tcPr>
            <w:tcW w:w="346" w:type="pct"/>
            <w:tcBorders>
              <w:top w:val="nil"/>
              <w:left w:val="nil"/>
              <w:bottom w:val="nil"/>
              <w:right w:val="single" w:sz="12" w:space="0" w:color="auto"/>
            </w:tcBorders>
            <w:shd w:val="clear" w:color="auto" w:fill="FFFFFF" w:themeFill="background1"/>
            <w:noWrap/>
            <w:vAlign w:val="center"/>
            <w:hideMark/>
          </w:tcPr>
          <w:p w14:paraId="4DC156D6"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0.9309</w:t>
            </w:r>
          </w:p>
        </w:tc>
      </w:tr>
      <w:tr w:rsidR="00F82628" w:rsidRPr="00616865" w14:paraId="22F64B61" w14:textId="77777777" w:rsidTr="00A14076">
        <w:trPr>
          <w:trHeight w:val="300"/>
        </w:trPr>
        <w:tc>
          <w:tcPr>
            <w:tcW w:w="690" w:type="pct"/>
            <w:tcBorders>
              <w:top w:val="nil"/>
              <w:left w:val="single" w:sz="12" w:space="0" w:color="auto"/>
              <w:bottom w:val="nil"/>
              <w:right w:val="single" w:sz="12" w:space="0" w:color="auto"/>
            </w:tcBorders>
            <w:shd w:val="clear" w:color="auto" w:fill="F2F2F2" w:themeFill="background1" w:themeFillShade="F2"/>
            <w:noWrap/>
            <w:vAlign w:val="center"/>
            <w:hideMark/>
          </w:tcPr>
          <w:p w14:paraId="1A6A163E"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Cer</w:t>
            </w:r>
            <w:r>
              <w:rPr>
                <w:rFonts w:eastAsia="Times New Roman" w:cs="Arial"/>
                <w:b/>
                <w:bCs/>
                <w:color w:val="000000"/>
                <w:sz w:val="16"/>
                <w:szCs w:val="16"/>
              </w:rPr>
              <w:t xml:space="preserve"> d18:1/</w:t>
            </w:r>
            <w:r w:rsidRPr="00616865">
              <w:rPr>
                <w:rFonts w:eastAsia="Times New Roman" w:cs="Arial"/>
                <w:b/>
                <w:bCs/>
                <w:color w:val="000000"/>
                <w:sz w:val="16"/>
                <w:szCs w:val="16"/>
              </w:rPr>
              <w:t>18:0</w:t>
            </w:r>
          </w:p>
        </w:tc>
        <w:tc>
          <w:tcPr>
            <w:tcW w:w="268" w:type="pct"/>
            <w:tcBorders>
              <w:top w:val="nil"/>
              <w:left w:val="single" w:sz="12" w:space="0" w:color="auto"/>
              <w:bottom w:val="nil"/>
              <w:right w:val="nil"/>
            </w:tcBorders>
            <w:shd w:val="clear" w:color="auto" w:fill="F2F2F2" w:themeFill="background1" w:themeFillShade="F2"/>
            <w:noWrap/>
            <w:vAlign w:val="center"/>
            <w:hideMark/>
          </w:tcPr>
          <w:p w14:paraId="72E3F87A"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40.1</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2EC043C0"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14.0</w:t>
            </w:r>
          </w:p>
        </w:tc>
        <w:tc>
          <w:tcPr>
            <w:tcW w:w="268" w:type="pct"/>
            <w:tcBorders>
              <w:top w:val="nil"/>
              <w:left w:val="nil"/>
              <w:bottom w:val="nil"/>
              <w:right w:val="nil"/>
            </w:tcBorders>
            <w:shd w:val="clear" w:color="auto" w:fill="F2F2F2" w:themeFill="background1" w:themeFillShade="F2"/>
            <w:noWrap/>
            <w:vAlign w:val="center"/>
            <w:hideMark/>
          </w:tcPr>
          <w:p w14:paraId="20F3F817"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43.9</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4A814DF1"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10.5</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5D97EA3F"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0.4833</w:t>
            </w:r>
          </w:p>
        </w:tc>
        <w:tc>
          <w:tcPr>
            <w:tcW w:w="268" w:type="pct"/>
            <w:tcBorders>
              <w:top w:val="nil"/>
              <w:left w:val="single" w:sz="12" w:space="0" w:color="auto"/>
              <w:bottom w:val="nil"/>
              <w:right w:val="nil"/>
            </w:tcBorders>
            <w:shd w:val="clear" w:color="auto" w:fill="F2F2F2" w:themeFill="background1" w:themeFillShade="F2"/>
            <w:noWrap/>
            <w:vAlign w:val="center"/>
            <w:hideMark/>
          </w:tcPr>
          <w:p w14:paraId="2802489B"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36.8</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7AA8345A"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10.8</w:t>
            </w:r>
          </w:p>
        </w:tc>
        <w:tc>
          <w:tcPr>
            <w:tcW w:w="268" w:type="pct"/>
            <w:tcBorders>
              <w:top w:val="nil"/>
              <w:left w:val="nil"/>
              <w:bottom w:val="nil"/>
              <w:right w:val="nil"/>
            </w:tcBorders>
            <w:shd w:val="clear" w:color="auto" w:fill="F2F2F2" w:themeFill="background1" w:themeFillShade="F2"/>
            <w:noWrap/>
            <w:vAlign w:val="center"/>
            <w:hideMark/>
          </w:tcPr>
          <w:p w14:paraId="21ED5CEE"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43.7</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2A12D03B"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15.8</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2ECB42FF"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0.0959</w:t>
            </w:r>
          </w:p>
        </w:tc>
        <w:tc>
          <w:tcPr>
            <w:tcW w:w="237" w:type="pct"/>
            <w:tcBorders>
              <w:top w:val="nil"/>
              <w:left w:val="single" w:sz="12" w:space="0" w:color="auto"/>
              <w:bottom w:val="nil"/>
              <w:right w:val="nil"/>
            </w:tcBorders>
            <w:shd w:val="clear" w:color="auto" w:fill="F2F2F2" w:themeFill="background1" w:themeFillShade="F2"/>
            <w:noWrap/>
            <w:vAlign w:val="center"/>
            <w:hideMark/>
          </w:tcPr>
          <w:p w14:paraId="46D60920"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14.6</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1C28FE53"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4.7</w:t>
            </w:r>
          </w:p>
        </w:tc>
        <w:tc>
          <w:tcPr>
            <w:tcW w:w="255" w:type="pct"/>
            <w:tcBorders>
              <w:top w:val="nil"/>
              <w:left w:val="nil"/>
              <w:bottom w:val="nil"/>
              <w:right w:val="nil"/>
            </w:tcBorders>
            <w:shd w:val="clear" w:color="auto" w:fill="F2F2F2" w:themeFill="background1" w:themeFillShade="F2"/>
            <w:noWrap/>
            <w:vAlign w:val="center"/>
            <w:hideMark/>
          </w:tcPr>
          <w:p w14:paraId="6BB166A1"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14.3</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0FBB1C56"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3.9</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183ACDCF"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0.8843</w:t>
            </w:r>
          </w:p>
        </w:tc>
      </w:tr>
      <w:tr w:rsidR="00F82628" w:rsidRPr="00616865" w14:paraId="0819CF58" w14:textId="77777777" w:rsidTr="00A14076">
        <w:trPr>
          <w:trHeight w:val="300"/>
        </w:trPr>
        <w:tc>
          <w:tcPr>
            <w:tcW w:w="690" w:type="pct"/>
            <w:tcBorders>
              <w:top w:val="nil"/>
              <w:left w:val="single" w:sz="12" w:space="0" w:color="auto"/>
              <w:bottom w:val="nil"/>
              <w:right w:val="single" w:sz="12" w:space="0" w:color="auto"/>
            </w:tcBorders>
            <w:shd w:val="clear" w:color="auto" w:fill="FFFFFF" w:themeFill="background1"/>
            <w:noWrap/>
            <w:vAlign w:val="center"/>
            <w:hideMark/>
          </w:tcPr>
          <w:p w14:paraId="5DB67F29"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Cer</w:t>
            </w:r>
            <w:r>
              <w:rPr>
                <w:rFonts w:eastAsia="Times New Roman" w:cs="Arial"/>
                <w:b/>
                <w:bCs/>
                <w:color w:val="000000"/>
                <w:sz w:val="16"/>
                <w:szCs w:val="16"/>
              </w:rPr>
              <w:t xml:space="preserve"> d18:1/</w:t>
            </w:r>
            <w:r w:rsidRPr="00616865">
              <w:rPr>
                <w:rFonts w:eastAsia="Times New Roman" w:cs="Arial"/>
                <w:b/>
                <w:bCs/>
                <w:color w:val="000000"/>
                <w:sz w:val="16"/>
                <w:szCs w:val="16"/>
              </w:rPr>
              <w:t>20:0</w:t>
            </w:r>
          </w:p>
        </w:tc>
        <w:tc>
          <w:tcPr>
            <w:tcW w:w="268" w:type="pct"/>
            <w:tcBorders>
              <w:top w:val="nil"/>
              <w:left w:val="single" w:sz="12" w:space="0" w:color="auto"/>
              <w:bottom w:val="nil"/>
              <w:right w:val="nil"/>
            </w:tcBorders>
            <w:shd w:val="clear" w:color="auto" w:fill="FFFFFF" w:themeFill="background1"/>
            <w:noWrap/>
            <w:vAlign w:val="center"/>
            <w:hideMark/>
          </w:tcPr>
          <w:p w14:paraId="3D392734"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1.4</w:t>
            </w:r>
          </w:p>
        </w:tc>
        <w:tc>
          <w:tcPr>
            <w:tcW w:w="285" w:type="pct"/>
            <w:tcBorders>
              <w:top w:val="nil"/>
              <w:left w:val="nil"/>
              <w:bottom w:val="nil"/>
              <w:right w:val="single" w:sz="4" w:space="0" w:color="auto"/>
            </w:tcBorders>
            <w:shd w:val="clear" w:color="auto" w:fill="FFFFFF" w:themeFill="background1"/>
            <w:noWrap/>
            <w:vAlign w:val="center"/>
            <w:hideMark/>
          </w:tcPr>
          <w:p w14:paraId="54A1D187"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0.4</w:t>
            </w:r>
          </w:p>
        </w:tc>
        <w:tc>
          <w:tcPr>
            <w:tcW w:w="268" w:type="pct"/>
            <w:tcBorders>
              <w:top w:val="nil"/>
              <w:left w:val="nil"/>
              <w:bottom w:val="nil"/>
              <w:right w:val="nil"/>
            </w:tcBorders>
            <w:shd w:val="clear" w:color="auto" w:fill="FFFFFF" w:themeFill="background1"/>
            <w:noWrap/>
            <w:vAlign w:val="center"/>
            <w:hideMark/>
          </w:tcPr>
          <w:p w14:paraId="5EF00780"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1.7</w:t>
            </w:r>
          </w:p>
        </w:tc>
        <w:tc>
          <w:tcPr>
            <w:tcW w:w="285" w:type="pct"/>
            <w:tcBorders>
              <w:top w:val="nil"/>
              <w:left w:val="nil"/>
              <w:bottom w:val="nil"/>
              <w:right w:val="single" w:sz="4" w:space="0" w:color="auto"/>
            </w:tcBorders>
            <w:shd w:val="clear" w:color="auto" w:fill="FFFFFF" w:themeFill="background1"/>
            <w:noWrap/>
            <w:vAlign w:val="center"/>
            <w:hideMark/>
          </w:tcPr>
          <w:p w14:paraId="395CA313"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0.4</w:t>
            </w:r>
          </w:p>
        </w:tc>
        <w:tc>
          <w:tcPr>
            <w:tcW w:w="346" w:type="pct"/>
            <w:tcBorders>
              <w:top w:val="nil"/>
              <w:left w:val="nil"/>
              <w:bottom w:val="nil"/>
              <w:right w:val="single" w:sz="12" w:space="0" w:color="auto"/>
            </w:tcBorders>
            <w:shd w:val="clear" w:color="auto" w:fill="FFFFFF" w:themeFill="background1"/>
            <w:noWrap/>
            <w:vAlign w:val="center"/>
            <w:hideMark/>
          </w:tcPr>
          <w:p w14:paraId="31E8E71F"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0.1361</w:t>
            </w:r>
          </w:p>
        </w:tc>
        <w:tc>
          <w:tcPr>
            <w:tcW w:w="268" w:type="pct"/>
            <w:tcBorders>
              <w:top w:val="nil"/>
              <w:left w:val="single" w:sz="12" w:space="0" w:color="auto"/>
              <w:bottom w:val="nil"/>
              <w:right w:val="nil"/>
            </w:tcBorders>
            <w:shd w:val="clear" w:color="auto" w:fill="FFFFFF" w:themeFill="background1"/>
            <w:noWrap/>
            <w:vAlign w:val="center"/>
            <w:hideMark/>
          </w:tcPr>
          <w:p w14:paraId="4EF75439"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1.0</w:t>
            </w:r>
          </w:p>
        </w:tc>
        <w:tc>
          <w:tcPr>
            <w:tcW w:w="285" w:type="pct"/>
            <w:tcBorders>
              <w:top w:val="nil"/>
              <w:left w:val="nil"/>
              <w:bottom w:val="nil"/>
              <w:right w:val="single" w:sz="4" w:space="0" w:color="auto"/>
            </w:tcBorders>
            <w:shd w:val="clear" w:color="auto" w:fill="FFFFFF" w:themeFill="background1"/>
            <w:noWrap/>
            <w:vAlign w:val="center"/>
            <w:hideMark/>
          </w:tcPr>
          <w:p w14:paraId="0166DEE2"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0.3</w:t>
            </w:r>
          </w:p>
        </w:tc>
        <w:tc>
          <w:tcPr>
            <w:tcW w:w="268" w:type="pct"/>
            <w:tcBorders>
              <w:top w:val="nil"/>
              <w:left w:val="nil"/>
              <w:bottom w:val="nil"/>
              <w:right w:val="nil"/>
            </w:tcBorders>
            <w:shd w:val="clear" w:color="auto" w:fill="FFFFFF" w:themeFill="background1"/>
            <w:noWrap/>
            <w:vAlign w:val="center"/>
            <w:hideMark/>
          </w:tcPr>
          <w:p w14:paraId="62814536"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1.4</w:t>
            </w:r>
          </w:p>
        </w:tc>
        <w:tc>
          <w:tcPr>
            <w:tcW w:w="285" w:type="pct"/>
            <w:tcBorders>
              <w:top w:val="nil"/>
              <w:left w:val="nil"/>
              <w:bottom w:val="nil"/>
              <w:right w:val="single" w:sz="4" w:space="0" w:color="auto"/>
            </w:tcBorders>
            <w:shd w:val="clear" w:color="auto" w:fill="FFFFFF" w:themeFill="background1"/>
            <w:noWrap/>
            <w:vAlign w:val="center"/>
            <w:hideMark/>
          </w:tcPr>
          <w:p w14:paraId="144922E8"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0.3</w:t>
            </w:r>
          </w:p>
        </w:tc>
        <w:tc>
          <w:tcPr>
            <w:tcW w:w="346" w:type="pct"/>
            <w:tcBorders>
              <w:top w:val="nil"/>
              <w:left w:val="nil"/>
              <w:bottom w:val="nil"/>
              <w:right w:val="single" w:sz="12" w:space="0" w:color="auto"/>
            </w:tcBorders>
            <w:shd w:val="clear" w:color="auto" w:fill="FFFFFF" w:themeFill="background1"/>
            <w:noWrap/>
            <w:vAlign w:val="center"/>
            <w:hideMark/>
          </w:tcPr>
          <w:p w14:paraId="54CCC7A4" w14:textId="77777777" w:rsidR="00F82628" w:rsidRPr="00616865" w:rsidRDefault="00F82628" w:rsidP="00A14076">
            <w:pPr>
              <w:spacing w:after="0" w:line="240" w:lineRule="auto"/>
              <w:jc w:val="center"/>
              <w:rPr>
                <w:rFonts w:eastAsia="Times New Roman" w:cs="Arial"/>
                <w:b/>
                <w:bCs/>
                <w:color w:val="000000"/>
                <w:sz w:val="16"/>
                <w:szCs w:val="16"/>
              </w:rPr>
            </w:pPr>
            <w:r>
              <w:rPr>
                <w:rFonts w:ascii="Calibri" w:eastAsia="Times New Roman" w:hAnsi="Calibri" w:cs="Arial"/>
                <w:b/>
                <w:bCs/>
                <w:color w:val="000000"/>
                <w:sz w:val="16"/>
                <w:szCs w:val="16"/>
              </w:rPr>
              <w:t>↑</w:t>
            </w:r>
            <w:r w:rsidRPr="00616865">
              <w:rPr>
                <w:rFonts w:eastAsia="Times New Roman" w:cs="Arial"/>
                <w:b/>
                <w:bCs/>
                <w:color w:val="000000"/>
                <w:sz w:val="16"/>
                <w:szCs w:val="16"/>
              </w:rPr>
              <w:t>0.0041</w:t>
            </w:r>
            <w:r>
              <w:rPr>
                <w:rFonts w:eastAsia="Times New Roman" w:cs="Arial"/>
                <w:b/>
                <w:bCs/>
                <w:color w:val="000000"/>
                <w:sz w:val="16"/>
                <w:szCs w:val="16"/>
              </w:rPr>
              <w:t>*</w:t>
            </w:r>
          </w:p>
        </w:tc>
        <w:tc>
          <w:tcPr>
            <w:tcW w:w="237" w:type="pct"/>
            <w:tcBorders>
              <w:top w:val="nil"/>
              <w:left w:val="single" w:sz="12" w:space="0" w:color="auto"/>
              <w:bottom w:val="nil"/>
              <w:right w:val="nil"/>
            </w:tcBorders>
            <w:shd w:val="clear" w:color="auto" w:fill="FFFFFF" w:themeFill="background1"/>
            <w:noWrap/>
            <w:vAlign w:val="center"/>
            <w:hideMark/>
          </w:tcPr>
          <w:p w14:paraId="4F13C29B"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0.8</w:t>
            </w:r>
          </w:p>
        </w:tc>
        <w:tc>
          <w:tcPr>
            <w:tcW w:w="285" w:type="pct"/>
            <w:tcBorders>
              <w:top w:val="nil"/>
              <w:left w:val="nil"/>
              <w:bottom w:val="nil"/>
              <w:right w:val="single" w:sz="4" w:space="0" w:color="auto"/>
            </w:tcBorders>
            <w:shd w:val="clear" w:color="auto" w:fill="FFFFFF" w:themeFill="background1"/>
            <w:noWrap/>
            <w:vAlign w:val="center"/>
            <w:hideMark/>
          </w:tcPr>
          <w:p w14:paraId="441DA0F4"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255" w:type="pct"/>
            <w:tcBorders>
              <w:top w:val="nil"/>
              <w:left w:val="nil"/>
              <w:bottom w:val="nil"/>
              <w:right w:val="nil"/>
            </w:tcBorders>
            <w:shd w:val="clear" w:color="auto" w:fill="FFFFFF" w:themeFill="background1"/>
            <w:noWrap/>
            <w:vAlign w:val="center"/>
            <w:hideMark/>
          </w:tcPr>
          <w:p w14:paraId="3FB49904"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0.9</w:t>
            </w:r>
          </w:p>
        </w:tc>
        <w:tc>
          <w:tcPr>
            <w:tcW w:w="285" w:type="pct"/>
            <w:tcBorders>
              <w:top w:val="nil"/>
              <w:left w:val="nil"/>
              <w:bottom w:val="nil"/>
              <w:right w:val="single" w:sz="4" w:space="0" w:color="auto"/>
            </w:tcBorders>
            <w:shd w:val="clear" w:color="auto" w:fill="FFFFFF" w:themeFill="background1"/>
            <w:noWrap/>
            <w:vAlign w:val="center"/>
            <w:hideMark/>
          </w:tcPr>
          <w:p w14:paraId="0E5F0945"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346" w:type="pct"/>
            <w:tcBorders>
              <w:top w:val="nil"/>
              <w:left w:val="nil"/>
              <w:bottom w:val="nil"/>
              <w:right w:val="single" w:sz="12" w:space="0" w:color="auto"/>
            </w:tcBorders>
            <w:shd w:val="clear" w:color="auto" w:fill="FFFFFF" w:themeFill="background1"/>
            <w:noWrap/>
            <w:vAlign w:val="center"/>
            <w:hideMark/>
          </w:tcPr>
          <w:p w14:paraId="6EF3553C"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0.6595</w:t>
            </w:r>
          </w:p>
        </w:tc>
      </w:tr>
      <w:tr w:rsidR="00F82628" w:rsidRPr="00616865" w14:paraId="24F790E7" w14:textId="77777777" w:rsidTr="00A14076">
        <w:trPr>
          <w:trHeight w:val="300"/>
        </w:trPr>
        <w:tc>
          <w:tcPr>
            <w:tcW w:w="690" w:type="pct"/>
            <w:tcBorders>
              <w:top w:val="nil"/>
              <w:left w:val="single" w:sz="12" w:space="0" w:color="auto"/>
              <w:bottom w:val="nil"/>
              <w:right w:val="single" w:sz="12" w:space="0" w:color="auto"/>
            </w:tcBorders>
            <w:shd w:val="clear" w:color="auto" w:fill="F2F2F2" w:themeFill="background1" w:themeFillShade="F2"/>
            <w:noWrap/>
            <w:vAlign w:val="center"/>
            <w:hideMark/>
          </w:tcPr>
          <w:p w14:paraId="61340FD9"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Cer</w:t>
            </w:r>
            <w:r>
              <w:rPr>
                <w:rFonts w:eastAsia="Times New Roman" w:cs="Arial"/>
                <w:b/>
                <w:bCs/>
                <w:color w:val="000000"/>
                <w:sz w:val="16"/>
                <w:szCs w:val="16"/>
              </w:rPr>
              <w:t xml:space="preserve"> d18:1/</w:t>
            </w:r>
            <w:r w:rsidRPr="00616865">
              <w:rPr>
                <w:rFonts w:eastAsia="Times New Roman" w:cs="Arial"/>
                <w:b/>
                <w:bCs/>
                <w:color w:val="000000"/>
                <w:sz w:val="16"/>
                <w:szCs w:val="16"/>
              </w:rPr>
              <w:t>22:0</w:t>
            </w:r>
          </w:p>
        </w:tc>
        <w:tc>
          <w:tcPr>
            <w:tcW w:w="268" w:type="pct"/>
            <w:tcBorders>
              <w:top w:val="nil"/>
              <w:left w:val="single" w:sz="12" w:space="0" w:color="auto"/>
              <w:bottom w:val="nil"/>
              <w:right w:val="nil"/>
            </w:tcBorders>
            <w:shd w:val="clear" w:color="auto" w:fill="F2F2F2" w:themeFill="background1" w:themeFillShade="F2"/>
            <w:noWrap/>
            <w:vAlign w:val="center"/>
            <w:hideMark/>
          </w:tcPr>
          <w:p w14:paraId="2550F078"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0.6</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2D25F001"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268" w:type="pct"/>
            <w:tcBorders>
              <w:top w:val="nil"/>
              <w:left w:val="nil"/>
              <w:bottom w:val="nil"/>
              <w:right w:val="nil"/>
            </w:tcBorders>
            <w:shd w:val="clear" w:color="auto" w:fill="F2F2F2" w:themeFill="background1" w:themeFillShade="F2"/>
            <w:noWrap/>
            <w:vAlign w:val="center"/>
            <w:hideMark/>
          </w:tcPr>
          <w:p w14:paraId="237529FC"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0.7</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60D8774B"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6B6574C6"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0.1888</w:t>
            </w:r>
          </w:p>
        </w:tc>
        <w:tc>
          <w:tcPr>
            <w:tcW w:w="268" w:type="pct"/>
            <w:tcBorders>
              <w:top w:val="nil"/>
              <w:left w:val="single" w:sz="12" w:space="0" w:color="auto"/>
              <w:bottom w:val="nil"/>
              <w:right w:val="nil"/>
            </w:tcBorders>
            <w:shd w:val="clear" w:color="auto" w:fill="F2F2F2" w:themeFill="background1" w:themeFillShade="F2"/>
            <w:noWrap/>
            <w:vAlign w:val="center"/>
            <w:hideMark/>
          </w:tcPr>
          <w:p w14:paraId="2E3DCBCA"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0.4</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13BFC19A"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268" w:type="pct"/>
            <w:tcBorders>
              <w:top w:val="nil"/>
              <w:left w:val="nil"/>
              <w:bottom w:val="nil"/>
              <w:right w:val="nil"/>
            </w:tcBorders>
            <w:shd w:val="clear" w:color="auto" w:fill="F2F2F2" w:themeFill="background1" w:themeFillShade="F2"/>
            <w:noWrap/>
            <w:vAlign w:val="center"/>
            <w:hideMark/>
          </w:tcPr>
          <w:p w14:paraId="3E72F3C8"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0.6</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5AFF1A65"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07A46D43" w14:textId="77777777" w:rsidR="00F82628" w:rsidRPr="00616865" w:rsidRDefault="00F82628" w:rsidP="00A14076">
            <w:pPr>
              <w:spacing w:after="0" w:line="240" w:lineRule="auto"/>
              <w:jc w:val="center"/>
              <w:rPr>
                <w:rFonts w:eastAsia="Times New Roman" w:cs="Arial"/>
                <w:b/>
                <w:bCs/>
                <w:color w:val="000000"/>
                <w:sz w:val="16"/>
                <w:szCs w:val="16"/>
              </w:rPr>
            </w:pPr>
            <w:r>
              <w:rPr>
                <w:rFonts w:ascii="Calibri" w:eastAsia="Times New Roman" w:hAnsi="Calibri" w:cs="Arial"/>
                <w:b/>
                <w:bCs/>
                <w:color w:val="000000"/>
                <w:sz w:val="16"/>
                <w:szCs w:val="16"/>
              </w:rPr>
              <w:t>↑</w:t>
            </w:r>
            <w:r w:rsidRPr="00616865">
              <w:rPr>
                <w:rFonts w:eastAsia="Times New Roman" w:cs="Arial"/>
                <w:b/>
                <w:bCs/>
                <w:color w:val="000000"/>
                <w:sz w:val="16"/>
                <w:szCs w:val="16"/>
              </w:rPr>
              <w:t>0.0222</w:t>
            </w:r>
            <w:r>
              <w:rPr>
                <w:rFonts w:eastAsia="Times New Roman" w:cs="Arial"/>
                <w:b/>
                <w:bCs/>
                <w:color w:val="000000"/>
                <w:sz w:val="16"/>
                <w:szCs w:val="16"/>
              </w:rPr>
              <w:t>*</w:t>
            </w:r>
          </w:p>
        </w:tc>
        <w:tc>
          <w:tcPr>
            <w:tcW w:w="237" w:type="pct"/>
            <w:tcBorders>
              <w:top w:val="nil"/>
              <w:left w:val="single" w:sz="12" w:space="0" w:color="auto"/>
              <w:bottom w:val="nil"/>
              <w:right w:val="nil"/>
            </w:tcBorders>
            <w:shd w:val="clear" w:color="auto" w:fill="F2F2F2" w:themeFill="background1" w:themeFillShade="F2"/>
            <w:noWrap/>
            <w:vAlign w:val="center"/>
            <w:hideMark/>
          </w:tcPr>
          <w:p w14:paraId="4A004B47"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0.6</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0854B584"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255" w:type="pct"/>
            <w:tcBorders>
              <w:top w:val="nil"/>
              <w:left w:val="nil"/>
              <w:bottom w:val="nil"/>
              <w:right w:val="nil"/>
            </w:tcBorders>
            <w:shd w:val="clear" w:color="auto" w:fill="F2F2F2" w:themeFill="background1" w:themeFillShade="F2"/>
            <w:noWrap/>
            <w:vAlign w:val="center"/>
            <w:hideMark/>
          </w:tcPr>
          <w:p w14:paraId="34C450CF"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0.6</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6A5CF674"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0B67B781"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0.9508</w:t>
            </w:r>
          </w:p>
        </w:tc>
      </w:tr>
      <w:tr w:rsidR="00F82628" w:rsidRPr="00616865" w14:paraId="76AFEF69" w14:textId="77777777" w:rsidTr="00A14076">
        <w:trPr>
          <w:trHeight w:val="300"/>
        </w:trPr>
        <w:tc>
          <w:tcPr>
            <w:tcW w:w="690" w:type="pct"/>
            <w:tcBorders>
              <w:top w:val="nil"/>
              <w:left w:val="single" w:sz="12" w:space="0" w:color="auto"/>
              <w:bottom w:val="nil"/>
              <w:right w:val="single" w:sz="12" w:space="0" w:color="auto"/>
            </w:tcBorders>
            <w:shd w:val="clear" w:color="auto" w:fill="FFFFFF" w:themeFill="background1"/>
            <w:noWrap/>
            <w:vAlign w:val="center"/>
            <w:hideMark/>
          </w:tcPr>
          <w:p w14:paraId="487EBADE"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Cer</w:t>
            </w:r>
            <w:r>
              <w:rPr>
                <w:rFonts w:eastAsia="Times New Roman" w:cs="Arial"/>
                <w:b/>
                <w:bCs/>
                <w:color w:val="000000"/>
                <w:sz w:val="16"/>
                <w:szCs w:val="16"/>
              </w:rPr>
              <w:t xml:space="preserve"> d18:1/</w:t>
            </w:r>
            <w:r w:rsidRPr="00616865">
              <w:rPr>
                <w:rFonts w:eastAsia="Times New Roman" w:cs="Arial"/>
                <w:b/>
                <w:bCs/>
                <w:color w:val="000000"/>
                <w:sz w:val="16"/>
                <w:szCs w:val="16"/>
              </w:rPr>
              <w:t>24:1</w:t>
            </w:r>
          </w:p>
        </w:tc>
        <w:tc>
          <w:tcPr>
            <w:tcW w:w="268" w:type="pct"/>
            <w:tcBorders>
              <w:top w:val="nil"/>
              <w:left w:val="single" w:sz="12" w:space="0" w:color="auto"/>
              <w:bottom w:val="nil"/>
              <w:right w:val="nil"/>
            </w:tcBorders>
            <w:shd w:val="clear" w:color="auto" w:fill="FFFFFF" w:themeFill="background1"/>
            <w:noWrap/>
            <w:vAlign w:val="center"/>
            <w:hideMark/>
          </w:tcPr>
          <w:p w14:paraId="40D3C565"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50.5</w:t>
            </w:r>
          </w:p>
        </w:tc>
        <w:tc>
          <w:tcPr>
            <w:tcW w:w="285" w:type="pct"/>
            <w:tcBorders>
              <w:top w:val="nil"/>
              <w:left w:val="nil"/>
              <w:bottom w:val="nil"/>
              <w:right w:val="single" w:sz="4" w:space="0" w:color="auto"/>
            </w:tcBorders>
            <w:shd w:val="clear" w:color="auto" w:fill="FFFFFF" w:themeFill="background1"/>
            <w:noWrap/>
            <w:vAlign w:val="center"/>
            <w:hideMark/>
          </w:tcPr>
          <w:p w14:paraId="17487901"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25.0</w:t>
            </w:r>
          </w:p>
        </w:tc>
        <w:tc>
          <w:tcPr>
            <w:tcW w:w="268" w:type="pct"/>
            <w:tcBorders>
              <w:top w:val="nil"/>
              <w:left w:val="nil"/>
              <w:bottom w:val="nil"/>
              <w:right w:val="nil"/>
            </w:tcBorders>
            <w:shd w:val="clear" w:color="auto" w:fill="FFFFFF" w:themeFill="background1"/>
            <w:noWrap/>
            <w:vAlign w:val="center"/>
            <w:hideMark/>
          </w:tcPr>
          <w:p w14:paraId="5256CF83"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55.9</w:t>
            </w:r>
          </w:p>
        </w:tc>
        <w:tc>
          <w:tcPr>
            <w:tcW w:w="285" w:type="pct"/>
            <w:tcBorders>
              <w:top w:val="nil"/>
              <w:left w:val="nil"/>
              <w:bottom w:val="nil"/>
              <w:right w:val="single" w:sz="4" w:space="0" w:color="auto"/>
            </w:tcBorders>
            <w:shd w:val="clear" w:color="auto" w:fill="FFFFFF" w:themeFill="background1"/>
            <w:noWrap/>
            <w:vAlign w:val="center"/>
            <w:hideMark/>
          </w:tcPr>
          <w:p w14:paraId="6763BE9C"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20.6</w:t>
            </w:r>
          </w:p>
        </w:tc>
        <w:tc>
          <w:tcPr>
            <w:tcW w:w="346" w:type="pct"/>
            <w:tcBorders>
              <w:top w:val="nil"/>
              <w:left w:val="nil"/>
              <w:bottom w:val="nil"/>
              <w:right w:val="single" w:sz="12" w:space="0" w:color="auto"/>
            </w:tcBorders>
            <w:shd w:val="clear" w:color="auto" w:fill="FFFFFF" w:themeFill="background1"/>
            <w:noWrap/>
            <w:vAlign w:val="center"/>
            <w:hideMark/>
          </w:tcPr>
          <w:p w14:paraId="789467B2"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0.5752</w:t>
            </w:r>
          </w:p>
        </w:tc>
        <w:tc>
          <w:tcPr>
            <w:tcW w:w="268" w:type="pct"/>
            <w:tcBorders>
              <w:top w:val="nil"/>
              <w:left w:val="single" w:sz="12" w:space="0" w:color="auto"/>
              <w:bottom w:val="nil"/>
              <w:right w:val="nil"/>
            </w:tcBorders>
            <w:shd w:val="clear" w:color="auto" w:fill="FFFFFF" w:themeFill="background1"/>
            <w:noWrap/>
            <w:vAlign w:val="center"/>
            <w:hideMark/>
          </w:tcPr>
          <w:p w14:paraId="705B0F9F"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31.3</w:t>
            </w:r>
          </w:p>
        </w:tc>
        <w:tc>
          <w:tcPr>
            <w:tcW w:w="285" w:type="pct"/>
            <w:tcBorders>
              <w:top w:val="nil"/>
              <w:left w:val="nil"/>
              <w:bottom w:val="nil"/>
              <w:right w:val="single" w:sz="4" w:space="0" w:color="auto"/>
            </w:tcBorders>
            <w:shd w:val="clear" w:color="auto" w:fill="FFFFFF" w:themeFill="background1"/>
            <w:noWrap/>
            <w:vAlign w:val="center"/>
            <w:hideMark/>
          </w:tcPr>
          <w:p w14:paraId="70733F9E"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11.1</w:t>
            </w:r>
          </w:p>
        </w:tc>
        <w:tc>
          <w:tcPr>
            <w:tcW w:w="268" w:type="pct"/>
            <w:tcBorders>
              <w:top w:val="nil"/>
              <w:left w:val="nil"/>
              <w:bottom w:val="nil"/>
              <w:right w:val="nil"/>
            </w:tcBorders>
            <w:shd w:val="clear" w:color="auto" w:fill="FFFFFF" w:themeFill="background1"/>
            <w:noWrap/>
            <w:vAlign w:val="center"/>
            <w:hideMark/>
          </w:tcPr>
          <w:p w14:paraId="105C9028"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32.1</w:t>
            </w:r>
          </w:p>
        </w:tc>
        <w:tc>
          <w:tcPr>
            <w:tcW w:w="285" w:type="pct"/>
            <w:tcBorders>
              <w:top w:val="nil"/>
              <w:left w:val="nil"/>
              <w:bottom w:val="nil"/>
              <w:right w:val="single" w:sz="4" w:space="0" w:color="auto"/>
            </w:tcBorders>
            <w:shd w:val="clear" w:color="auto" w:fill="FFFFFF" w:themeFill="background1"/>
            <w:noWrap/>
            <w:vAlign w:val="center"/>
            <w:hideMark/>
          </w:tcPr>
          <w:p w14:paraId="4A12F678"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9.6</w:t>
            </w:r>
          </w:p>
        </w:tc>
        <w:tc>
          <w:tcPr>
            <w:tcW w:w="346" w:type="pct"/>
            <w:tcBorders>
              <w:top w:val="nil"/>
              <w:left w:val="nil"/>
              <w:bottom w:val="nil"/>
              <w:right w:val="single" w:sz="12" w:space="0" w:color="auto"/>
            </w:tcBorders>
            <w:shd w:val="clear" w:color="auto" w:fill="FFFFFF" w:themeFill="background1"/>
            <w:noWrap/>
            <w:vAlign w:val="center"/>
            <w:hideMark/>
          </w:tcPr>
          <w:p w14:paraId="54862C50"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0.7817</w:t>
            </w:r>
          </w:p>
        </w:tc>
        <w:tc>
          <w:tcPr>
            <w:tcW w:w="237" w:type="pct"/>
            <w:tcBorders>
              <w:top w:val="nil"/>
              <w:left w:val="single" w:sz="12" w:space="0" w:color="auto"/>
              <w:bottom w:val="nil"/>
              <w:right w:val="nil"/>
            </w:tcBorders>
            <w:shd w:val="clear" w:color="auto" w:fill="FFFFFF" w:themeFill="background1"/>
            <w:noWrap/>
            <w:vAlign w:val="center"/>
            <w:hideMark/>
          </w:tcPr>
          <w:p w14:paraId="3A5EE748"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101.7</w:t>
            </w:r>
          </w:p>
        </w:tc>
        <w:tc>
          <w:tcPr>
            <w:tcW w:w="285" w:type="pct"/>
            <w:tcBorders>
              <w:top w:val="nil"/>
              <w:left w:val="nil"/>
              <w:bottom w:val="nil"/>
              <w:right w:val="single" w:sz="4" w:space="0" w:color="auto"/>
            </w:tcBorders>
            <w:shd w:val="clear" w:color="auto" w:fill="FFFFFF" w:themeFill="background1"/>
            <w:noWrap/>
            <w:vAlign w:val="center"/>
            <w:hideMark/>
          </w:tcPr>
          <w:p w14:paraId="65DB9669"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57.9</w:t>
            </w:r>
          </w:p>
        </w:tc>
        <w:tc>
          <w:tcPr>
            <w:tcW w:w="255" w:type="pct"/>
            <w:tcBorders>
              <w:top w:val="nil"/>
              <w:left w:val="nil"/>
              <w:bottom w:val="nil"/>
              <w:right w:val="nil"/>
            </w:tcBorders>
            <w:shd w:val="clear" w:color="auto" w:fill="FFFFFF" w:themeFill="background1"/>
            <w:noWrap/>
            <w:vAlign w:val="center"/>
            <w:hideMark/>
          </w:tcPr>
          <w:p w14:paraId="34263182"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90.7</w:t>
            </w:r>
          </w:p>
        </w:tc>
        <w:tc>
          <w:tcPr>
            <w:tcW w:w="285" w:type="pct"/>
            <w:tcBorders>
              <w:top w:val="nil"/>
              <w:left w:val="nil"/>
              <w:bottom w:val="nil"/>
              <w:right w:val="single" w:sz="4" w:space="0" w:color="auto"/>
            </w:tcBorders>
            <w:shd w:val="clear" w:color="auto" w:fill="FFFFFF" w:themeFill="background1"/>
            <w:noWrap/>
            <w:vAlign w:val="center"/>
            <w:hideMark/>
          </w:tcPr>
          <w:p w14:paraId="38460944"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36.9</w:t>
            </w:r>
          </w:p>
        </w:tc>
        <w:tc>
          <w:tcPr>
            <w:tcW w:w="346" w:type="pct"/>
            <w:tcBorders>
              <w:top w:val="nil"/>
              <w:left w:val="nil"/>
              <w:bottom w:val="nil"/>
              <w:right w:val="single" w:sz="12" w:space="0" w:color="auto"/>
            </w:tcBorders>
            <w:shd w:val="clear" w:color="auto" w:fill="FFFFFF" w:themeFill="background1"/>
            <w:noWrap/>
            <w:vAlign w:val="center"/>
            <w:hideMark/>
          </w:tcPr>
          <w:p w14:paraId="71DE42A7"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0.5888</w:t>
            </w:r>
          </w:p>
        </w:tc>
      </w:tr>
      <w:tr w:rsidR="00F82628" w:rsidRPr="00616865" w14:paraId="0FCFABDF" w14:textId="77777777" w:rsidTr="00A14076">
        <w:trPr>
          <w:trHeight w:val="300"/>
        </w:trPr>
        <w:tc>
          <w:tcPr>
            <w:tcW w:w="690" w:type="pct"/>
            <w:tcBorders>
              <w:top w:val="nil"/>
              <w:left w:val="single" w:sz="12" w:space="0" w:color="auto"/>
              <w:bottom w:val="nil"/>
              <w:right w:val="single" w:sz="12" w:space="0" w:color="auto"/>
            </w:tcBorders>
            <w:shd w:val="clear" w:color="auto" w:fill="F2F2F2" w:themeFill="background1" w:themeFillShade="F2"/>
            <w:noWrap/>
            <w:vAlign w:val="center"/>
            <w:hideMark/>
          </w:tcPr>
          <w:p w14:paraId="56807AF7"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Cer</w:t>
            </w:r>
            <w:r>
              <w:rPr>
                <w:rFonts w:eastAsia="Times New Roman" w:cs="Arial"/>
                <w:b/>
                <w:bCs/>
                <w:color w:val="000000"/>
                <w:sz w:val="16"/>
                <w:szCs w:val="16"/>
              </w:rPr>
              <w:t xml:space="preserve"> d18:1/</w:t>
            </w:r>
            <w:r w:rsidRPr="00616865">
              <w:rPr>
                <w:rFonts w:eastAsia="Times New Roman" w:cs="Arial"/>
                <w:b/>
                <w:bCs/>
                <w:color w:val="000000"/>
                <w:sz w:val="16"/>
                <w:szCs w:val="16"/>
              </w:rPr>
              <w:t>24:0</w:t>
            </w:r>
          </w:p>
        </w:tc>
        <w:tc>
          <w:tcPr>
            <w:tcW w:w="268" w:type="pct"/>
            <w:tcBorders>
              <w:top w:val="nil"/>
              <w:left w:val="single" w:sz="12" w:space="0" w:color="auto"/>
              <w:bottom w:val="nil"/>
              <w:right w:val="nil"/>
            </w:tcBorders>
            <w:shd w:val="clear" w:color="auto" w:fill="F2F2F2" w:themeFill="background1" w:themeFillShade="F2"/>
            <w:noWrap/>
            <w:vAlign w:val="center"/>
            <w:hideMark/>
          </w:tcPr>
          <w:p w14:paraId="19FA3E42"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0.4</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30332C5D"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268" w:type="pct"/>
            <w:tcBorders>
              <w:top w:val="nil"/>
              <w:left w:val="nil"/>
              <w:bottom w:val="nil"/>
              <w:right w:val="nil"/>
            </w:tcBorders>
            <w:shd w:val="clear" w:color="auto" w:fill="F2F2F2" w:themeFill="background1" w:themeFillShade="F2"/>
            <w:noWrap/>
            <w:vAlign w:val="center"/>
            <w:hideMark/>
          </w:tcPr>
          <w:p w14:paraId="3639C314"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0.5</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60FDA131"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7D1DC736"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0.5214</w:t>
            </w:r>
          </w:p>
        </w:tc>
        <w:tc>
          <w:tcPr>
            <w:tcW w:w="268" w:type="pct"/>
            <w:tcBorders>
              <w:top w:val="nil"/>
              <w:left w:val="single" w:sz="12" w:space="0" w:color="auto"/>
              <w:bottom w:val="nil"/>
              <w:right w:val="nil"/>
            </w:tcBorders>
            <w:shd w:val="clear" w:color="auto" w:fill="F2F2F2" w:themeFill="background1" w:themeFillShade="F2"/>
            <w:noWrap/>
            <w:vAlign w:val="center"/>
            <w:hideMark/>
          </w:tcPr>
          <w:p w14:paraId="7A7070D4"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46A56BED"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0.1</w:t>
            </w:r>
          </w:p>
        </w:tc>
        <w:tc>
          <w:tcPr>
            <w:tcW w:w="268" w:type="pct"/>
            <w:tcBorders>
              <w:top w:val="nil"/>
              <w:left w:val="nil"/>
              <w:bottom w:val="nil"/>
              <w:right w:val="nil"/>
            </w:tcBorders>
            <w:shd w:val="clear" w:color="auto" w:fill="F2F2F2" w:themeFill="background1" w:themeFillShade="F2"/>
            <w:noWrap/>
            <w:vAlign w:val="center"/>
            <w:hideMark/>
          </w:tcPr>
          <w:p w14:paraId="532A4720"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0.4</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17F78346"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0D73D672"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0.0666</w:t>
            </w:r>
          </w:p>
        </w:tc>
        <w:tc>
          <w:tcPr>
            <w:tcW w:w="237" w:type="pct"/>
            <w:tcBorders>
              <w:top w:val="nil"/>
              <w:left w:val="single" w:sz="12" w:space="0" w:color="auto"/>
              <w:bottom w:val="nil"/>
              <w:right w:val="nil"/>
            </w:tcBorders>
            <w:shd w:val="clear" w:color="auto" w:fill="F2F2F2" w:themeFill="background1" w:themeFillShade="F2"/>
            <w:noWrap/>
            <w:vAlign w:val="center"/>
            <w:hideMark/>
          </w:tcPr>
          <w:p w14:paraId="2FF687DD"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0.5</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1FC708D2"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255" w:type="pct"/>
            <w:tcBorders>
              <w:top w:val="nil"/>
              <w:left w:val="nil"/>
              <w:bottom w:val="nil"/>
              <w:right w:val="nil"/>
            </w:tcBorders>
            <w:shd w:val="clear" w:color="auto" w:fill="F2F2F2" w:themeFill="background1" w:themeFillShade="F2"/>
            <w:noWrap/>
            <w:vAlign w:val="center"/>
            <w:hideMark/>
          </w:tcPr>
          <w:p w14:paraId="31AA2A78"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0.5</w:t>
            </w:r>
          </w:p>
        </w:tc>
        <w:tc>
          <w:tcPr>
            <w:tcW w:w="285" w:type="pct"/>
            <w:tcBorders>
              <w:top w:val="nil"/>
              <w:left w:val="nil"/>
              <w:bottom w:val="nil"/>
              <w:right w:val="single" w:sz="4" w:space="0" w:color="auto"/>
            </w:tcBorders>
            <w:shd w:val="clear" w:color="auto" w:fill="F2F2F2" w:themeFill="background1" w:themeFillShade="F2"/>
            <w:noWrap/>
            <w:vAlign w:val="center"/>
            <w:hideMark/>
          </w:tcPr>
          <w:p w14:paraId="682C10B0"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0.2</w:t>
            </w:r>
          </w:p>
        </w:tc>
        <w:tc>
          <w:tcPr>
            <w:tcW w:w="346" w:type="pct"/>
            <w:tcBorders>
              <w:top w:val="nil"/>
              <w:left w:val="nil"/>
              <w:bottom w:val="nil"/>
              <w:right w:val="single" w:sz="12" w:space="0" w:color="auto"/>
            </w:tcBorders>
            <w:shd w:val="clear" w:color="auto" w:fill="F2F2F2" w:themeFill="background1" w:themeFillShade="F2"/>
            <w:noWrap/>
            <w:vAlign w:val="center"/>
            <w:hideMark/>
          </w:tcPr>
          <w:p w14:paraId="7D891AA2"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0.9824</w:t>
            </w:r>
          </w:p>
        </w:tc>
      </w:tr>
      <w:tr w:rsidR="00F82628" w:rsidRPr="00616865" w14:paraId="248DCEB3" w14:textId="77777777" w:rsidTr="00A14076">
        <w:trPr>
          <w:trHeight w:val="315"/>
        </w:trPr>
        <w:tc>
          <w:tcPr>
            <w:tcW w:w="690" w:type="pct"/>
            <w:tcBorders>
              <w:top w:val="nil"/>
              <w:left w:val="single" w:sz="12" w:space="0" w:color="auto"/>
              <w:bottom w:val="single" w:sz="12" w:space="0" w:color="auto"/>
              <w:right w:val="single" w:sz="12" w:space="0" w:color="auto"/>
            </w:tcBorders>
            <w:shd w:val="clear" w:color="auto" w:fill="FFFFFF" w:themeFill="background1"/>
            <w:noWrap/>
            <w:vAlign w:val="center"/>
            <w:hideMark/>
          </w:tcPr>
          <w:p w14:paraId="2D013698" w14:textId="77777777" w:rsidR="00F82628" w:rsidRPr="00616865" w:rsidRDefault="00F82628" w:rsidP="00A14076">
            <w:pPr>
              <w:spacing w:after="0" w:line="240" w:lineRule="auto"/>
              <w:jc w:val="center"/>
              <w:rPr>
                <w:rFonts w:eastAsia="Times New Roman" w:cs="Arial"/>
                <w:b/>
                <w:bCs/>
                <w:color w:val="000000"/>
                <w:sz w:val="16"/>
                <w:szCs w:val="16"/>
              </w:rPr>
            </w:pPr>
            <w:r w:rsidRPr="00616865">
              <w:rPr>
                <w:rFonts w:eastAsia="Times New Roman" w:cs="Arial"/>
                <w:b/>
                <w:bCs/>
                <w:color w:val="000000"/>
                <w:sz w:val="16"/>
                <w:szCs w:val="16"/>
              </w:rPr>
              <w:t>Total SM</w:t>
            </w:r>
          </w:p>
        </w:tc>
        <w:tc>
          <w:tcPr>
            <w:tcW w:w="268" w:type="pct"/>
            <w:tcBorders>
              <w:top w:val="nil"/>
              <w:left w:val="single" w:sz="12" w:space="0" w:color="auto"/>
              <w:bottom w:val="single" w:sz="12" w:space="0" w:color="auto"/>
              <w:right w:val="nil"/>
            </w:tcBorders>
            <w:shd w:val="clear" w:color="auto" w:fill="FFFFFF" w:themeFill="background1"/>
            <w:noWrap/>
            <w:vAlign w:val="center"/>
            <w:hideMark/>
          </w:tcPr>
          <w:p w14:paraId="229841FB"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2592.1</w:t>
            </w:r>
          </w:p>
        </w:tc>
        <w:tc>
          <w:tcPr>
            <w:tcW w:w="285" w:type="pct"/>
            <w:tcBorders>
              <w:top w:val="nil"/>
              <w:left w:val="nil"/>
              <w:bottom w:val="single" w:sz="12" w:space="0" w:color="auto"/>
              <w:right w:val="single" w:sz="4" w:space="0" w:color="auto"/>
            </w:tcBorders>
            <w:shd w:val="clear" w:color="auto" w:fill="FFFFFF" w:themeFill="background1"/>
            <w:noWrap/>
            <w:vAlign w:val="center"/>
            <w:hideMark/>
          </w:tcPr>
          <w:p w14:paraId="46280F14"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1221.9</w:t>
            </w:r>
          </w:p>
        </w:tc>
        <w:tc>
          <w:tcPr>
            <w:tcW w:w="268" w:type="pct"/>
            <w:tcBorders>
              <w:top w:val="nil"/>
              <w:left w:val="nil"/>
              <w:bottom w:val="single" w:sz="12" w:space="0" w:color="auto"/>
              <w:right w:val="nil"/>
            </w:tcBorders>
            <w:shd w:val="clear" w:color="auto" w:fill="FFFFFF" w:themeFill="background1"/>
            <w:noWrap/>
            <w:vAlign w:val="center"/>
            <w:hideMark/>
          </w:tcPr>
          <w:p w14:paraId="09D74464"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2895.1</w:t>
            </w:r>
          </w:p>
        </w:tc>
        <w:tc>
          <w:tcPr>
            <w:tcW w:w="285" w:type="pct"/>
            <w:tcBorders>
              <w:top w:val="nil"/>
              <w:left w:val="nil"/>
              <w:bottom w:val="single" w:sz="12" w:space="0" w:color="auto"/>
              <w:right w:val="single" w:sz="4" w:space="0" w:color="auto"/>
            </w:tcBorders>
            <w:shd w:val="clear" w:color="auto" w:fill="FFFFFF" w:themeFill="background1"/>
            <w:noWrap/>
            <w:vAlign w:val="center"/>
            <w:hideMark/>
          </w:tcPr>
          <w:p w14:paraId="226766CE"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888.2</w:t>
            </w:r>
          </w:p>
        </w:tc>
        <w:tc>
          <w:tcPr>
            <w:tcW w:w="346" w:type="pct"/>
            <w:tcBorders>
              <w:top w:val="nil"/>
              <w:left w:val="nil"/>
              <w:bottom w:val="single" w:sz="12" w:space="0" w:color="auto"/>
              <w:right w:val="single" w:sz="12" w:space="0" w:color="auto"/>
            </w:tcBorders>
            <w:shd w:val="clear" w:color="auto" w:fill="FFFFFF" w:themeFill="background1"/>
            <w:noWrap/>
            <w:vAlign w:val="center"/>
            <w:hideMark/>
          </w:tcPr>
          <w:p w14:paraId="73DFA255" w14:textId="77777777" w:rsidR="00F82628" w:rsidRPr="00616865" w:rsidRDefault="00F82628" w:rsidP="00A14076">
            <w:pPr>
              <w:spacing w:after="0" w:line="240" w:lineRule="auto"/>
              <w:jc w:val="center"/>
              <w:rPr>
                <w:rFonts w:eastAsia="Times New Roman" w:cs="Arial"/>
                <w:i/>
                <w:iCs/>
                <w:sz w:val="16"/>
                <w:szCs w:val="16"/>
              </w:rPr>
            </w:pPr>
            <w:r w:rsidRPr="00616865">
              <w:rPr>
                <w:rFonts w:eastAsia="Times New Roman" w:cs="Arial"/>
                <w:i/>
                <w:iCs/>
                <w:sz w:val="16"/>
                <w:szCs w:val="16"/>
              </w:rPr>
              <w:t>0.2631</w:t>
            </w:r>
          </w:p>
        </w:tc>
        <w:tc>
          <w:tcPr>
            <w:tcW w:w="268" w:type="pct"/>
            <w:tcBorders>
              <w:top w:val="nil"/>
              <w:left w:val="single" w:sz="12" w:space="0" w:color="auto"/>
              <w:bottom w:val="single" w:sz="12" w:space="0" w:color="auto"/>
              <w:right w:val="nil"/>
            </w:tcBorders>
            <w:shd w:val="clear" w:color="auto" w:fill="FFFFFF" w:themeFill="background1"/>
            <w:noWrap/>
            <w:vAlign w:val="center"/>
            <w:hideMark/>
          </w:tcPr>
          <w:p w14:paraId="65638B3E"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4041.1</w:t>
            </w:r>
          </w:p>
        </w:tc>
        <w:tc>
          <w:tcPr>
            <w:tcW w:w="285" w:type="pct"/>
            <w:tcBorders>
              <w:top w:val="nil"/>
              <w:left w:val="nil"/>
              <w:bottom w:val="single" w:sz="12" w:space="0" w:color="auto"/>
              <w:right w:val="single" w:sz="4" w:space="0" w:color="auto"/>
            </w:tcBorders>
            <w:shd w:val="clear" w:color="auto" w:fill="FFFFFF" w:themeFill="background1"/>
            <w:noWrap/>
            <w:vAlign w:val="center"/>
            <w:hideMark/>
          </w:tcPr>
          <w:p w14:paraId="36E1A6CF"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1926.9</w:t>
            </w:r>
          </w:p>
        </w:tc>
        <w:tc>
          <w:tcPr>
            <w:tcW w:w="268" w:type="pct"/>
            <w:tcBorders>
              <w:top w:val="nil"/>
              <w:left w:val="nil"/>
              <w:bottom w:val="single" w:sz="12" w:space="0" w:color="auto"/>
              <w:right w:val="nil"/>
            </w:tcBorders>
            <w:shd w:val="clear" w:color="auto" w:fill="FFFFFF" w:themeFill="background1"/>
            <w:noWrap/>
            <w:vAlign w:val="center"/>
            <w:hideMark/>
          </w:tcPr>
          <w:p w14:paraId="09C93283"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5050.3</w:t>
            </w:r>
          </w:p>
        </w:tc>
        <w:tc>
          <w:tcPr>
            <w:tcW w:w="285" w:type="pct"/>
            <w:tcBorders>
              <w:top w:val="nil"/>
              <w:left w:val="nil"/>
              <w:bottom w:val="single" w:sz="12" w:space="0" w:color="auto"/>
              <w:right w:val="single" w:sz="4" w:space="0" w:color="auto"/>
            </w:tcBorders>
            <w:shd w:val="clear" w:color="auto" w:fill="FFFFFF" w:themeFill="background1"/>
            <w:noWrap/>
            <w:vAlign w:val="center"/>
            <w:hideMark/>
          </w:tcPr>
          <w:p w14:paraId="06A380DE" w14:textId="77777777" w:rsidR="00F82628" w:rsidRPr="00616865" w:rsidRDefault="00F82628" w:rsidP="00A14076">
            <w:pPr>
              <w:spacing w:after="0" w:line="240" w:lineRule="auto"/>
              <w:jc w:val="center"/>
              <w:rPr>
                <w:rFonts w:eastAsia="Times New Roman" w:cs="Arial"/>
                <w:sz w:val="16"/>
                <w:szCs w:val="16"/>
              </w:rPr>
            </w:pPr>
            <w:r w:rsidRPr="00616865">
              <w:rPr>
                <w:rFonts w:eastAsia="Times New Roman" w:cs="Arial"/>
                <w:sz w:val="16"/>
                <w:szCs w:val="16"/>
              </w:rPr>
              <w:t>3730.6</w:t>
            </w:r>
          </w:p>
        </w:tc>
        <w:tc>
          <w:tcPr>
            <w:tcW w:w="346" w:type="pct"/>
            <w:tcBorders>
              <w:top w:val="nil"/>
              <w:left w:val="nil"/>
              <w:bottom w:val="single" w:sz="12" w:space="0" w:color="auto"/>
              <w:right w:val="single" w:sz="12" w:space="0" w:color="auto"/>
            </w:tcBorders>
            <w:shd w:val="clear" w:color="auto" w:fill="FFFFFF" w:themeFill="background1"/>
            <w:noWrap/>
            <w:vAlign w:val="center"/>
            <w:hideMark/>
          </w:tcPr>
          <w:p w14:paraId="49937DBE" w14:textId="77777777" w:rsidR="00F82628" w:rsidRPr="00616865" w:rsidRDefault="00F82628" w:rsidP="00A14076">
            <w:pPr>
              <w:spacing w:after="0" w:line="240" w:lineRule="auto"/>
              <w:jc w:val="center"/>
              <w:rPr>
                <w:rFonts w:eastAsia="Times New Roman" w:cs="Arial"/>
                <w:i/>
                <w:iCs/>
                <w:color w:val="000000"/>
                <w:sz w:val="16"/>
                <w:szCs w:val="16"/>
              </w:rPr>
            </w:pPr>
            <w:r w:rsidRPr="00616865">
              <w:rPr>
                <w:rFonts w:eastAsia="Times New Roman" w:cs="Arial"/>
                <w:i/>
                <w:iCs/>
                <w:color w:val="000000"/>
                <w:sz w:val="16"/>
                <w:szCs w:val="16"/>
              </w:rPr>
              <w:t>0.4308</w:t>
            </w:r>
          </w:p>
        </w:tc>
        <w:tc>
          <w:tcPr>
            <w:tcW w:w="237" w:type="pct"/>
            <w:tcBorders>
              <w:top w:val="nil"/>
              <w:left w:val="single" w:sz="12" w:space="0" w:color="auto"/>
              <w:bottom w:val="single" w:sz="12" w:space="0" w:color="auto"/>
              <w:right w:val="nil"/>
            </w:tcBorders>
            <w:shd w:val="clear" w:color="auto" w:fill="FFFFFF" w:themeFill="background1"/>
            <w:noWrap/>
            <w:vAlign w:val="center"/>
            <w:hideMark/>
          </w:tcPr>
          <w:p w14:paraId="3A4BCB99" w14:textId="77777777" w:rsidR="00F82628" w:rsidRPr="00616865" w:rsidRDefault="00F82628" w:rsidP="00A14076">
            <w:pPr>
              <w:spacing w:after="0" w:line="240" w:lineRule="auto"/>
              <w:jc w:val="center"/>
              <w:rPr>
                <w:rFonts w:eastAsia="Times New Roman" w:cs="Arial"/>
                <w:color w:val="000000"/>
                <w:sz w:val="16"/>
                <w:szCs w:val="16"/>
              </w:rPr>
            </w:pPr>
            <w:r w:rsidRPr="00616865">
              <w:rPr>
                <w:rFonts w:eastAsia="Times New Roman" w:cs="Arial"/>
                <w:color w:val="000000"/>
                <w:sz w:val="16"/>
                <w:szCs w:val="16"/>
              </w:rPr>
              <w:t>-</w:t>
            </w:r>
          </w:p>
        </w:tc>
        <w:tc>
          <w:tcPr>
            <w:tcW w:w="285" w:type="pct"/>
            <w:tcBorders>
              <w:top w:val="nil"/>
              <w:left w:val="nil"/>
              <w:bottom w:val="single" w:sz="12" w:space="0" w:color="auto"/>
              <w:right w:val="single" w:sz="4" w:space="0" w:color="auto"/>
            </w:tcBorders>
            <w:shd w:val="clear" w:color="auto" w:fill="FFFFFF" w:themeFill="background1"/>
            <w:noWrap/>
            <w:vAlign w:val="center"/>
            <w:hideMark/>
          </w:tcPr>
          <w:p w14:paraId="08CE83CD" w14:textId="77777777" w:rsidR="00F82628" w:rsidRPr="00616865" w:rsidRDefault="00F82628" w:rsidP="00A14076">
            <w:pPr>
              <w:spacing w:after="0" w:line="240" w:lineRule="auto"/>
              <w:jc w:val="center"/>
              <w:rPr>
                <w:rFonts w:eastAsia="Times New Roman" w:cs="Arial"/>
                <w:color w:val="000000"/>
                <w:sz w:val="16"/>
                <w:szCs w:val="16"/>
              </w:rPr>
            </w:pPr>
            <w:r w:rsidRPr="00616865">
              <w:rPr>
                <w:rFonts w:eastAsia="Times New Roman" w:cs="Arial"/>
                <w:color w:val="000000"/>
                <w:sz w:val="16"/>
                <w:szCs w:val="16"/>
              </w:rPr>
              <w:t>-</w:t>
            </w:r>
          </w:p>
        </w:tc>
        <w:tc>
          <w:tcPr>
            <w:tcW w:w="255" w:type="pct"/>
            <w:tcBorders>
              <w:top w:val="nil"/>
              <w:left w:val="nil"/>
              <w:bottom w:val="single" w:sz="12" w:space="0" w:color="auto"/>
              <w:right w:val="nil"/>
            </w:tcBorders>
            <w:shd w:val="clear" w:color="auto" w:fill="FFFFFF" w:themeFill="background1"/>
            <w:noWrap/>
            <w:vAlign w:val="center"/>
            <w:hideMark/>
          </w:tcPr>
          <w:p w14:paraId="75A3136E" w14:textId="77777777" w:rsidR="00F82628" w:rsidRPr="00616865" w:rsidRDefault="00F82628" w:rsidP="00A14076">
            <w:pPr>
              <w:spacing w:after="0" w:line="240" w:lineRule="auto"/>
              <w:jc w:val="center"/>
              <w:rPr>
                <w:rFonts w:eastAsia="Times New Roman" w:cs="Arial"/>
                <w:color w:val="000000"/>
                <w:sz w:val="16"/>
                <w:szCs w:val="16"/>
              </w:rPr>
            </w:pPr>
            <w:r w:rsidRPr="00616865">
              <w:rPr>
                <w:rFonts w:eastAsia="Times New Roman" w:cs="Arial"/>
                <w:color w:val="000000"/>
                <w:sz w:val="16"/>
                <w:szCs w:val="16"/>
              </w:rPr>
              <w:t>-</w:t>
            </w:r>
          </w:p>
        </w:tc>
        <w:tc>
          <w:tcPr>
            <w:tcW w:w="285" w:type="pct"/>
            <w:tcBorders>
              <w:top w:val="nil"/>
              <w:left w:val="nil"/>
              <w:bottom w:val="single" w:sz="12" w:space="0" w:color="auto"/>
              <w:right w:val="single" w:sz="4" w:space="0" w:color="auto"/>
            </w:tcBorders>
            <w:shd w:val="clear" w:color="auto" w:fill="FFFFFF" w:themeFill="background1"/>
            <w:noWrap/>
            <w:vAlign w:val="center"/>
            <w:hideMark/>
          </w:tcPr>
          <w:p w14:paraId="0C2D5980" w14:textId="77777777" w:rsidR="00F82628" w:rsidRPr="00616865" w:rsidRDefault="00F82628" w:rsidP="00A14076">
            <w:pPr>
              <w:spacing w:after="0" w:line="240" w:lineRule="auto"/>
              <w:jc w:val="center"/>
              <w:rPr>
                <w:rFonts w:eastAsia="Times New Roman" w:cs="Arial"/>
                <w:color w:val="000000"/>
                <w:sz w:val="16"/>
                <w:szCs w:val="16"/>
              </w:rPr>
            </w:pPr>
            <w:r w:rsidRPr="00616865">
              <w:rPr>
                <w:rFonts w:eastAsia="Times New Roman" w:cs="Arial"/>
                <w:color w:val="000000"/>
                <w:sz w:val="16"/>
                <w:szCs w:val="16"/>
              </w:rPr>
              <w:t>-</w:t>
            </w:r>
          </w:p>
        </w:tc>
        <w:tc>
          <w:tcPr>
            <w:tcW w:w="346" w:type="pct"/>
            <w:tcBorders>
              <w:top w:val="nil"/>
              <w:left w:val="nil"/>
              <w:bottom w:val="single" w:sz="12" w:space="0" w:color="auto"/>
              <w:right w:val="single" w:sz="12" w:space="0" w:color="auto"/>
            </w:tcBorders>
            <w:shd w:val="clear" w:color="auto" w:fill="FFFFFF" w:themeFill="background1"/>
            <w:noWrap/>
            <w:vAlign w:val="center"/>
            <w:hideMark/>
          </w:tcPr>
          <w:p w14:paraId="42CF44C3" w14:textId="77777777" w:rsidR="00F82628" w:rsidRPr="00616865" w:rsidRDefault="00F82628" w:rsidP="00A14076">
            <w:pPr>
              <w:spacing w:after="0" w:line="240" w:lineRule="auto"/>
              <w:jc w:val="center"/>
              <w:rPr>
                <w:rFonts w:eastAsia="Times New Roman" w:cs="Arial"/>
                <w:color w:val="000000"/>
                <w:sz w:val="16"/>
                <w:szCs w:val="16"/>
              </w:rPr>
            </w:pPr>
            <w:r w:rsidRPr="00616865">
              <w:rPr>
                <w:rFonts w:eastAsia="Times New Roman" w:cs="Arial"/>
                <w:color w:val="000000"/>
                <w:sz w:val="16"/>
                <w:szCs w:val="16"/>
              </w:rPr>
              <w:t>-</w:t>
            </w:r>
          </w:p>
        </w:tc>
      </w:tr>
    </w:tbl>
    <w:p w14:paraId="6F3F650B" w14:textId="77777777" w:rsidR="00F82628" w:rsidRDefault="00F82628" w:rsidP="00F82628">
      <w:pPr>
        <w:spacing w:after="0"/>
        <w:rPr>
          <w:rFonts w:cs="Arial"/>
          <w:b/>
        </w:rPr>
      </w:pPr>
    </w:p>
    <w:p w14:paraId="6E1443CA" w14:textId="77777777" w:rsidR="00F82628" w:rsidRPr="00FA7E65" w:rsidRDefault="00F82628" w:rsidP="00F82628">
      <w:pPr>
        <w:spacing w:after="0"/>
        <w:rPr>
          <w:rFonts w:cs="Arial"/>
        </w:rPr>
      </w:pPr>
      <w:r>
        <w:rPr>
          <w:rFonts w:cs="Arial"/>
          <w:b/>
        </w:rPr>
        <w:t xml:space="preserve">Supplementary </w:t>
      </w:r>
      <w:r w:rsidRPr="00FA7E65">
        <w:rPr>
          <w:rFonts w:cs="Arial"/>
          <w:b/>
        </w:rPr>
        <w:t xml:space="preserve">Table </w:t>
      </w:r>
      <w:r>
        <w:rPr>
          <w:rFonts w:cs="Arial"/>
          <w:b/>
        </w:rPr>
        <w:t>1</w:t>
      </w:r>
      <w:r w:rsidRPr="00FA7E65">
        <w:rPr>
          <w:rFonts w:cs="Arial"/>
        </w:rPr>
        <w:t xml:space="preserve"> Sphingolipid </w:t>
      </w:r>
      <w:r>
        <w:rPr>
          <w:rFonts w:cs="Arial"/>
        </w:rPr>
        <w:t xml:space="preserve">levels </w:t>
      </w:r>
      <w:r w:rsidRPr="00FA7E65">
        <w:rPr>
          <w:rFonts w:cs="Arial"/>
        </w:rPr>
        <w:t>on cortex, hippocampus</w:t>
      </w:r>
      <w:r>
        <w:rPr>
          <w:rFonts w:cs="Arial"/>
        </w:rPr>
        <w:t>, and</w:t>
      </w:r>
      <w:r w:rsidRPr="00FA7E65">
        <w:rPr>
          <w:rFonts w:cs="Arial"/>
        </w:rPr>
        <w:t xml:space="preserve"> cerebellum of WT and 5xFAD treated with AAV-control</w:t>
      </w:r>
    </w:p>
    <w:p w14:paraId="1A7992B2" w14:textId="77777777" w:rsidR="00F82628" w:rsidRDefault="00F82628" w:rsidP="00F82628">
      <w:pPr>
        <w:spacing w:after="0"/>
        <w:rPr>
          <w:rFonts w:cs="Arial"/>
        </w:rPr>
      </w:pPr>
      <w:r>
        <w:rPr>
          <w:rFonts w:cs="Arial"/>
        </w:rPr>
        <w:t>(s</w:t>
      </w:r>
      <w:r w:rsidRPr="00684184">
        <w:rPr>
          <w:rFonts w:cs="Arial"/>
        </w:rPr>
        <w:t>tudent′s t</w:t>
      </w:r>
      <w:r w:rsidRPr="00684184">
        <w:rPr>
          <w:rFonts w:ascii="Cambria Math" w:hAnsi="Cambria Math" w:cs="Cambria Math"/>
        </w:rPr>
        <w:t>‐</w:t>
      </w:r>
      <w:r w:rsidRPr="00684184">
        <w:rPr>
          <w:rFonts w:cs="Arial"/>
        </w:rPr>
        <w:t>test</w:t>
      </w:r>
      <w:r>
        <w:rPr>
          <w:rFonts w:cs="Arial"/>
        </w:rPr>
        <w:t>*p&lt;0.05)</w:t>
      </w:r>
    </w:p>
    <w:p w14:paraId="44FD894F" w14:textId="77777777" w:rsidR="00F82628" w:rsidRDefault="00F82628" w:rsidP="00F82628">
      <w:pPr>
        <w:spacing w:after="0"/>
        <w:rPr>
          <w:rFonts w:cs="Arial"/>
        </w:rPr>
      </w:pPr>
      <w:r>
        <w:rPr>
          <w:rFonts w:ascii="Calibri" w:hAnsi="Calibri" w:cs="Arial"/>
        </w:rPr>
        <w:t xml:space="preserve">↑ </w:t>
      </w:r>
      <w:r>
        <w:rPr>
          <w:rFonts w:cs="Arial"/>
        </w:rPr>
        <w:t>5xFAD mean significantly bigger than WT animals</w:t>
      </w:r>
    </w:p>
    <w:p w14:paraId="4D8982F3" w14:textId="77777777" w:rsidR="00F82628" w:rsidRPr="00FA7E65" w:rsidRDefault="00F82628" w:rsidP="00F82628">
      <w:pPr>
        <w:spacing w:after="0"/>
        <w:rPr>
          <w:rFonts w:cs="Arial"/>
        </w:rPr>
      </w:pPr>
    </w:p>
    <w:p w14:paraId="2F7189A8" w14:textId="77777777" w:rsidR="00F82628" w:rsidRDefault="00F82628" w:rsidP="00F82628">
      <w:pPr>
        <w:rPr>
          <w:rFonts w:cs="Arial"/>
          <w:b/>
        </w:rPr>
      </w:pPr>
    </w:p>
    <w:p w14:paraId="31BAC2A8" w14:textId="77777777" w:rsidR="00F82628" w:rsidRDefault="00F82628" w:rsidP="00F82628">
      <w:pPr>
        <w:rPr>
          <w:rFonts w:cs="Arial"/>
          <w:b/>
        </w:rPr>
        <w:sectPr w:rsidR="00F82628" w:rsidSect="00D8325E">
          <w:pgSz w:w="15840" w:h="12240" w:orient="landscape"/>
          <w:pgMar w:top="1440" w:right="1440" w:bottom="1440" w:left="1440" w:header="708" w:footer="708" w:gutter="0"/>
          <w:cols w:space="708"/>
          <w:docGrid w:linePitch="360"/>
        </w:sectPr>
      </w:pPr>
    </w:p>
    <w:p w14:paraId="64CA6B97" w14:textId="77777777" w:rsidR="00F82628" w:rsidRPr="007703E1" w:rsidRDefault="00F82628" w:rsidP="00F82628"/>
    <w:tbl>
      <w:tblPr>
        <w:tblStyle w:val="PlainTable11"/>
        <w:tblW w:w="5000" w:type="pct"/>
        <w:tblLook w:val="04A0" w:firstRow="1" w:lastRow="0" w:firstColumn="1" w:lastColumn="0" w:noHBand="0" w:noVBand="1"/>
      </w:tblPr>
      <w:tblGrid>
        <w:gridCol w:w="2566"/>
        <w:gridCol w:w="2584"/>
        <w:gridCol w:w="3239"/>
        <w:gridCol w:w="961"/>
      </w:tblGrid>
      <w:tr w:rsidR="00F82628" w:rsidRPr="00D521E1" w14:paraId="4898CE06" w14:textId="77777777" w:rsidTr="00A140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pct"/>
            <w:noWrap/>
            <w:hideMark/>
          </w:tcPr>
          <w:p w14:paraId="448E616A" w14:textId="77777777" w:rsidR="00F82628" w:rsidRPr="00FB43C6" w:rsidRDefault="00F82628" w:rsidP="00A14076">
            <w:pPr>
              <w:spacing w:line="240" w:lineRule="auto"/>
              <w:jc w:val="left"/>
              <w:rPr>
                <w:rFonts w:eastAsia="Times New Roman" w:cs="Arial"/>
                <w:color w:val="000000" w:themeColor="text1"/>
                <w:sz w:val="20"/>
                <w:szCs w:val="20"/>
              </w:rPr>
            </w:pPr>
            <w:r w:rsidRPr="00FB43C6">
              <w:rPr>
                <w:rFonts w:eastAsia="Times New Roman" w:cs="Arial"/>
                <w:color w:val="000000" w:themeColor="text1"/>
                <w:sz w:val="20"/>
                <w:szCs w:val="20"/>
              </w:rPr>
              <w:t>Gene </w:t>
            </w:r>
          </w:p>
        </w:tc>
        <w:tc>
          <w:tcPr>
            <w:tcW w:w="1164" w:type="pct"/>
            <w:noWrap/>
            <w:hideMark/>
          </w:tcPr>
          <w:p w14:paraId="253BE604" w14:textId="77777777" w:rsidR="00F82628" w:rsidRPr="00FB43C6" w:rsidRDefault="00F82628" w:rsidP="00A14076">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rPr>
            </w:pPr>
            <w:r w:rsidRPr="00FB43C6">
              <w:rPr>
                <w:rFonts w:eastAsia="Times New Roman" w:cs="Arial"/>
                <w:color w:val="000000" w:themeColor="text1"/>
                <w:sz w:val="20"/>
                <w:szCs w:val="20"/>
              </w:rPr>
              <w:t>GenBank Accession No. </w:t>
            </w:r>
          </w:p>
        </w:tc>
        <w:tc>
          <w:tcPr>
            <w:tcW w:w="1821" w:type="pct"/>
            <w:noWrap/>
            <w:hideMark/>
          </w:tcPr>
          <w:p w14:paraId="05F3FE60" w14:textId="77777777" w:rsidR="00F82628" w:rsidRPr="00FB43C6" w:rsidRDefault="00F82628" w:rsidP="00A14076">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rPr>
            </w:pPr>
            <w:r w:rsidRPr="00C26CF6">
              <w:rPr>
                <w:rFonts w:eastAsia="Times New Roman" w:cs="Arial"/>
                <w:color w:val="000000" w:themeColor="text1"/>
                <w:sz w:val="20"/>
                <w:szCs w:val="20"/>
              </w:rPr>
              <w:t>S</w:t>
            </w:r>
            <w:r w:rsidRPr="00FB43C6">
              <w:rPr>
                <w:rFonts w:eastAsia="Times New Roman" w:cs="Arial"/>
                <w:color w:val="000000" w:themeColor="text1"/>
                <w:sz w:val="20"/>
                <w:szCs w:val="20"/>
              </w:rPr>
              <w:t>equence</w:t>
            </w:r>
            <w:r>
              <w:rPr>
                <w:rFonts w:eastAsia="Times New Roman" w:cs="Arial"/>
                <w:color w:val="000000" w:themeColor="text1"/>
                <w:sz w:val="20"/>
                <w:szCs w:val="20"/>
              </w:rPr>
              <w:t xml:space="preserve"> </w:t>
            </w:r>
            <w:r w:rsidRPr="00FB43C6">
              <w:rPr>
                <w:rFonts w:eastAsia="Times New Roman" w:cs="Arial"/>
                <w:color w:val="000000" w:themeColor="text1"/>
                <w:sz w:val="20"/>
                <w:szCs w:val="20"/>
              </w:rPr>
              <w:t>(5'-&gt;3')</w:t>
            </w:r>
          </w:p>
        </w:tc>
        <w:tc>
          <w:tcPr>
            <w:tcW w:w="444" w:type="pct"/>
            <w:noWrap/>
            <w:hideMark/>
          </w:tcPr>
          <w:p w14:paraId="7C7250F5" w14:textId="77777777" w:rsidR="00F82628" w:rsidRPr="00FB43C6" w:rsidRDefault="00F82628" w:rsidP="00A14076">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rPr>
            </w:pPr>
            <w:r w:rsidRPr="00FB43C6">
              <w:rPr>
                <w:rFonts w:eastAsia="Times New Roman" w:cs="Arial"/>
                <w:color w:val="000000" w:themeColor="text1"/>
                <w:sz w:val="20"/>
                <w:szCs w:val="20"/>
              </w:rPr>
              <w:t> </w:t>
            </w:r>
          </w:p>
        </w:tc>
      </w:tr>
      <w:tr w:rsidR="00F82628" w:rsidRPr="00D521E1" w14:paraId="69BBA42A" w14:textId="77777777" w:rsidTr="00A140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pct"/>
            <w:noWrap/>
            <w:hideMark/>
          </w:tcPr>
          <w:p w14:paraId="2924A24F" w14:textId="77777777" w:rsidR="00F82628" w:rsidRPr="00FB43C6" w:rsidRDefault="00F82628" w:rsidP="00A14076">
            <w:pPr>
              <w:spacing w:line="240" w:lineRule="auto"/>
              <w:jc w:val="left"/>
              <w:rPr>
                <w:rFonts w:eastAsia="Times New Roman" w:cs="Arial"/>
                <w:color w:val="000000" w:themeColor="text1"/>
                <w:sz w:val="20"/>
                <w:szCs w:val="20"/>
              </w:rPr>
            </w:pPr>
            <w:r w:rsidRPr="00FB43C6">
              <w:rPr>
                <w:rFonts w:eastAsia="Times New Roman" w:cs="Arial"/>
                <w:color w:val="000000" w:themeColor="text1"/>
                <w:sz w:val="20"/>
                <w:szCs w:val="20"/>
              </w:rPr>
              <w:t>Bax</w:t>
            </w:r>
          </w:p>
        </w:tc>
        <w:tc>
          <w:tcPr>
            <w:tcW w:w="1164" w:type="pct"/>
            <w:noWrap/>
            <w:hideMark/>
          </w:tcPr>
          <w:p w14:paraId="7D737A46" w14:textId="77777777" w:rsidR="00F82628" w:rsidRPr="00FB43C6"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rPr>
            </w:pPr>
            <w:hyperlink r:id="rId11" w:history="1">
              <w:r w:rsidRPr="00FB43C6">
                <w:rPr>
                  <w:rFonts w:eastAsia="Times New Roman" w:cs="Arial"/>
                  <w:color w:val="000000" w:themeColor="text1"/>
                  <w:sz w:val="20"/>
                  <w:szCs w:val="20"/>
                </w:rPr>
                <w:t>XM_011250780.2</w:t>
              </w:r>
            </w:hyperlink>
          </w:p>
        </w:tc>
        <w:tc>
          <w:tcPr>
            <w:tcW w:w="1821" w:type="pct"/>
            <w:noWrap/>
            <w:hideMark/>
          </w:tcPr>
          <w:p w14:paraId="5226DDDE"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222222"/>
                <w:sz w:val="20"/>
                <w:szCs w:val="20"/>
              </w:rPr>
            </w:pPr>
            <w:r w:rsidRPr="00D521E1">
              <w:rPr>
                <w:rFonts w:eastAsia="Times New Roman" w:cs="Arial"/>
                <w:color w:val="222222"/>
                <w:sz w:val="20"/>
                <w:szCs w:val="20"/>
              </w:rPr>
              <w:t xml:space="preserve">CACCTGAGCTGACCTTGGAG </w:t>
            </w:r>
          </w:p>
        </w:tc>
        <w:tc>
          <w:tcPr>
            <w:tcW w:w="444" w:type="pct"/>
            <w:noWrap/>
            <w:hideMark/>
          </w:tcPr>
          <w:p w14:paraId="381A7307"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Forward</w:t>
            </w:r>
          </w:p>
        </w:tc>
      </w:tr>
      <w:tr w:rsidR="00F82628" w:rsidRPr="00D521E1" w14:paraId="04E94B3E" w14:textId="77777777" w:rsidTr="00A14076">
        <w:trPr>
          <w:trHeight w:val="300"/>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noWrap/>
            <w:hideMark/>
          </w:tcPr>
          <w:p w14:paraId="5E95CA2E" w14:textId="77777777" w:rsidR="00F82628" w:rsidRPr="00D521E1" w:rsidRDefault="00F82628" w:rsidP="00A14076">
            <w:pPr>
              <w:spacing w:line="240" w:lineRule="auto"/>
              <w:jc w:val="left"/>
              <w:rPr>
                <w:rFonts w:eastAsia="Times New Roman" w:cs="Arial"/>
                <w:color w:val="000000"/>
                <w:sz w:val="20"/>
                <w:szCs w:val="20"/>
              </w:rPr>
            </w:pPr>
          </w:p>
        </w:tc>
        <w:tc>
          <w:tcPr>
            <w:tcW w:w="1164" w:type="pct"/>
            <w:shd w:val="clear" w:color="auto" w:fill="auto"/>
            <w:noWrap/>
            <w:hideMark/>
          </w:tcPr>
          <w:p w14:paraId="337A2845" w14:textId="77777777" w:rsidR="00F82628" w:rsidRPr="00FB43C6"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1821" w:type="pct"/>
            <w:shd w:val="clear" w:color="auto" w:fill="auto"/>
            <w:noWrap/>
            <w:hideMark/>
          </w:tcPr>
          <w:p w14:paraId="7067A592"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222222"/>
                <w:sz w:val="20"/>
                <w:szCs w:val="20"/>
              </w:rPr>
            </w:pPr>
            <w:r w:rsidRPr="00D521E1">
              <w:rPr>
                <w:rFonts w:eastAsia="Times New Roman" w:cs="Arial"/>
                <w:color w:val="222222"/>
                <w:sz w:val="20"/>
                <w:szCs w:val="20"/>
              </w:rPr>
              <w:t>CCACGTCAGCAATCATCCTCT</w:t>
            </w:r>
          </w:p>
        </w:tc>
        <w:tc>
          <w:tcPr>
            <w:tcW w:w="444" w:type="pct"/>
            <w:shd w:val="clear" w:color="auto" w:fill="auto"/>
            <w:noWrap/>
            <w:hideMark/>
          </w:tcPr>
          <w:p w14:paraId="5347CF51"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Reverse</w:t>
            </w:r>
          </w:p>
        </w:tc>
      </w:tr>
      <w:tr w:rsidR="00F82628" w:rsidRPr="00D521E1" w14:paraId="0AB5AA48" w14:textId="77777777" w:rsidTr="00A140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pct"/>
            <w:noWrap/>
            <w:hideMark/>
          </w:tcPr>
          <w:p w14:paraId="04F843D2" w14:textId="77777777" w:rsidR="00F82628" w:rsidRPr="00D521E1" w:rsidRDefault="00F82628" w:rsidP="00A14076">
            <w:pPr>
              <w:spacing w:line="240" w:lineRule="auto"/>
              <w:jc w:val="left"/>
              <w:rPr>
                <w:rFonts w:eastAsia="Times New Roman" w:cs="Arial"/>
                <w:color w:val="000000"/>
                <w:sz w:val="20"/>
                <w:szCs w:val="20"/>
              </w:rPr>
            </w:pPr>
            <w:r w:rsidRPr="00D521E1">
              <w:rPr>
                <w:rFonts w:eastAsia="Times New Roman" w:cs="Arial"/>
                <w:color w:val="000000"/>
                <w:sz w:val="20"/>
                <w:szCs w:val="20"/>
              </w:rPr>
              <w:t>Caspase 3 </w:t>
            </w:r>
          </w:p>
        </w:tc>
        <w:tc>
          <w:tcPr>
            <w:tcW w:w="1164" w:type="pct"/>
            <w:noWrap/>
            <w:hideMark/>
          </w:tcPr>
          <w:p w14:paraId="434E8EE7" w14:textId="77777777" w:rsidR="00F82628" w:rsidRPr="00FB43C6"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rPr>
            </w:pPr>
            <w:r w:rsidRPr="00FB43C6">
              <w:rPr>
                <w:rFonts w:eastAsia="Times New Roman" w:cs="Arial"/>
                <w:color w:val="000000" w:themeColor="text1"/>
                <w:sz w:val="20"/>
                <w:szCs w:val="20"/>
              </w:rPr>
              <w:t>NM_009810 </w:t>
            </w:r>
          </w:p>
        </w:tc>
        <w:tc>
          <w:tcPr>
            <w:tcW w:w="1821" w:type="pct"/>
            <w:noWrap/>
            <w:hideMark/>
          </w:tcPr>
          <w:p w14:paraId="37CD15ED"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521E1">
              <w:rPr>
                <w:rFonts w:ascii="Calibri" w:eastAsia="Times New Roman" w:hAnsi="Calibri" w:cs="Calibri"/>
                <w:color w:val="000000"/>
              </w:rPr>
              <w:t>TGCAGCATGCTAAGCTGTA</w:t>
            </w:r>
          </w:p>
        </w:tc>
        <w:tc>
          <w:tcPr>
            <w:tcW w:w="444" w:type="pct"/>
            <w:noWrap/>
            <w:hideMark/>
          </w:tcPr>
          <w:p w14:paraId="51CEEF0D"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Forward</w:t>
            </w:r>
          </w:p>
        </w:tc>
      </w:tr>
      <w:tr w:rsidR="00F82628" w:rsidRPr="00D521E1" w14:paraId="1DADCCF1" w14:textId="77777777" w:rsidTr="00A14076">
        <w:trPr>
          <w:trHeight w:val="300"/>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noWrap/>
            <w:hideMark/>
          </w:tcPr>
          <w:p w14:paraId="7652367D" w14:textId="77777777" w:rsidR="00F82628" w:rsidRPr="00D521E1" w:rsidRDefault="00F82628" w:rsidP="00A14076">
            <w:pPr>
              <w:spacing w:line="240" w:lineRule="auto"/>
              <w:jc w:val="left"/>
              <w:rPr>
                <w:rFonts w:eastAsia="Times New Roman" w:cs="Arial"/>
                <w:color w:val="000000"/>
                <w:sz w:val="20"/>
                <w:szCs w:val="20"/>
              </w:rPr>
            </w:pPr>
          </w:p>
        </w:tc>
        <w:tc>
          <w:tcPr>
            <w:tcW w:w="1164" w:type="pct"/>
            <w:shd w:val="clear" w:color="auto" w:fill="auto"/>
            <w:noWrap/>
            <w:hideMark/>
          </w:tcPr>
          <w:p w14:paraId="4B014B4D" w14:textId="77777777" w:rsidR="00F82628" w:rsidRPr="00FB43C6"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1821" w:type="pct"/>
            <w:shd w:val="clear" w:color="auto" w:fill="auto"/>
            <w:noWrap/>
            <w:hideMark/>
          </w:tcPr>
          <w:p w14:paraId="0BB2A669"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521E1">
              <w:rPr>
                <w:rFonts w:ascii="Calibri" w:eastAsia="Times New Roman" w:hAnsi="Calibri" w:cs="Calibri"/>
                <w:color w:val="000000"/>
              </w:rPr>
              <w:t>GAGCATGGACAATACACG</w:t>
            </w:r>
          </w:p>
        </w:tc>
        <w:tc>
          <w:tcPr>
            <w:tcW w:w="444" w:type="pct"/>
            <w:shd w:val="clear" w:color="auto" w:fill="auto"/>
            <w:noWrap/>
            <w:hideMark/>
          </w:tcPr>
          <w:p w14:paraId="5FA6D106"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Reverse</w:t>
            </w:r>
          </w:p>
        </w:tc>
      </w:tr>
      <w:tr w:rsidR="00F82628" w:rsidRPr="00D521E1" w14:paraId="3AC624DA" w14:textId="77777777" w:rsidTr="00A140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pct"/>
            <w:noWrap/>
            <w:hideMark/>
          </w:tcPr>
          <w:p w14:paraId="2F9BF366" w14:textId="77777777" w:rsidR="00F82628" w:rsidRPr="00D521E1" w:rsidRDefault="00F82628" w:rsidP="00A14076">
            <w:pPr>
              <w:spacing w:line="240" w:lineRule="auto"/>
              <w:jc w:val="left"/>
              <w:rPr>
                <w:rFonts w:eastAsia="Times New Roman" w:cs="Arial"/>
                <w:color w:val="000000"/>
                <w:sz w:val="20"/>
                <w:szCs w:val="20"/>
              </w:rPr>
            </w:pPr>
            <w:r w:rsidRPr="00D521E1">
              <w:rPr>
                <w:rFonts w:eastAsia="Times New Roman" w:cs="Arial"/>
                <w:color w:val="000000"/>
                <w:sz w:val="20"/>
                <w:szCs w:val="20"/>
              </w:rPr>
              <w:t>Bcl-2 </w:t>
            </w:r>
          </w:p>
        </w:tc>
        <w:tc>
          <w:tcPr>
            <w:tcW w:w="1164" w:type="pct"/>
            <w:noWrap/>
            <w:hideMark/>
          </w:tcPr>
          <w:p w14:paraId="0CD54C3A" w14:textId="77777777" w:rsidR="00F82628" w:rsidRPr="00FB43C6"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rPr>
            </w:pPr>
            <w:r w:rsidRPr="00FB43C6">
              <w:rPr>
                <w:rFonts w:eastAsia="Times New Roman" w:cs="Arial"/>
                <w:color w:val="000000" w:themeColor="text1"/>
                <w:sz w:val="20"/>
                <w:szCs w:val="20"/>
              </w:rPr>
              <w:t>NM_009741 </w:t>
            </w:r>
          </w:p>
        </w:tc>
        <w:tc>
          <w:tcPr>
            <w:tcW w:w="1821" w:type="pct"/>
            <w:noWrap/>
            <w:hideMark/>
          </w:tcPr>
          <w:p w14:paraId="6DD9FB13"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521E1">
              <w:rPr>
                <w:rFonts w:ascii="Calibri" w:eastAsia="Times New Roman" w:hAnsi="Calibri" w:cs="Calibri"/>
                <w:color w:val="000000"/>
              </w:rPr>
              <w:t>TGGGATGCCTTTGTGGAACT</w:t>
            </w:r>
          </w:p>
        </w:tc>
        <w:tc>
          <w:tcPr>
            <w:tcW w:w="444" w:type="pct"/>
            <w:noWrap/>
            <w:hideMark/>
          </w:tcPr>
          <w:p w14:paraId="5E81F5F8"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Forward</w:t>
            </w:r>
          </w:p>
        </w:tc>
      </w:tr>
      <w:tr w:rsidR="00F82628" w:rsidRPr="00D521E1" w14:paraId="35EB607C" w14:textId="77777777" w:rsidTr="00A14076">
        <w:trPr>
          <w:trHeight w:val="300"/>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noWrap/>
            <w:hideMark/>
          </w:tcPr>
          <w:p w14:paraId="5E809F67" w14:textId="77777777" w:rsidR="00F82628" w:rsidRPr="00D521E1" w:rsidRDefault="00F82628" w:rsidP="00A14076">
            <w:pPr>
              <w:spacing w:line="240" w:lineRule="auto"/>
              <w:jc w:val="left"/>
              <w:rPr>
                <w:rFonts w:eastAsia="Times New Roman" w:cs="Arial"/>
                <w:color w:val="000000"/>
                <w:sz w:val="20"/>
                <w:szCs w:val="20"/>
              </w:rPr>
            </w:pPr>
          </w:p>
        </w:tc>
        <w:tc>
          <w:tcPr>
            <w:tcW w:w="1164" w:type="pct"/>
            <w:shd w:val="clear" w:color="auto" w:fill="auto"/>
            <w:noWrap/>
            <w:hideMark/>
          </w:tcPr>
          <w:p w14:paraId="077014F4" w14:textId="77777777" w:rsidR="00F82628" w:rsidRPr="00FB43C6"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1821" w:type="pct"/>
            <w:shd w:val="clear" w:color="auto" w:fill="auto"/>
            <w:noWrap/>
            <w:hideMark/>
          </w:tcPr>
          <w:p w14:paraId="71E082A5"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521E1">
              <w:rPr>
                <w:rFonts w:ascii="Calibri" w:eastAsia="Times New Roman" w:hAnsi="Calibri" w:cs="Calibri"/>
                <w:color w:val="000000"/>
              </w:rPr>
              <w:t>GAGACAGCCAGGAGAAATCA</w:t>
            </w:r>
          </w:p>
        </w:tc>
        <w:tc>
          <w:tcPr>
            <w:tcW w:w="444" w:type="pct"/>
            <w:shd w:val="clear" w:color="auto" w:fill="auto"/>
            <w:noWrap/>
            <w:hideMark/>
          </w:tcPr>
          <w:p w14:paraId="4D00E203"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Reverse</w:t>
            </w:r>
          </w:p>
        </w:tc>
      </w:tr>
      <w:tr w:rsidR="00F82628" w:rsidRPr="00D521E1" w14:paraId="394A8D63" w14:textId="77777777" w:rsidTr="00A140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pct"/>
            <w:noWrap/>
            <w:hideMark/>
          </w:tcPr>
          <w:p w14:paraId="21E15542" w14:textId="77777777" w:rsidR="00F82628" w:rsidRPr="00D521E1" w:rsidRDefault="00F82628" w:rsidP="00A14076">
            <w:pPr>
              <w:spacing w:line="240" w:lineRule="auto"/>
              <w:jc w:val="left"/>
              <w:rPr>
                <w:rFonts w:eastAsia="Times New Roman" w:cs="Arial"/>
                <w:color w:val="000000"/>
                <w:sz w:val="20"/>
                <w:szCs w:val="20"/>
              </w:rPr>
            </w:pPr>
            <w:r w:rsidRPr="00D521E1">
              <w:rPr>
                <w:rFonts w:eastAsia="Times New Roman" w:cs="Arial"/>
                <w:color w:val="000000"/>
                <w:sz w:val="20"/>
                <w:szCs w:val="20"/>
              </w:rPr>
              <w:t>CERT</w:t>
            </w:r>
            <w:r w:rsidRPr="00FB43C6">
              <w:rPr>
                <w:rFonts w:eastAsia="Times New Roman" w:cs="Arial"/>
                <w:color w:val="000000"/>
                <w:sz w:val="20"/>
                <w:szCs w:val="20"/>
                <w:vertAlign w:val="subscript"/>
              </w:rPr>
              <w:t>L</w:t>
            </w:r>
          </w:p>
        </w:tc>
        <w:tc>
          <w:tcPr>
            <w:tcW w:w="1164" w:type="pct"/>
            <w:noWrap/>
            <w:hideMark/>
          </w:tcPr>
          <w:p w14:paraId="5C908124" w14:textId="77777777" w:rsidR="00F82628" w:rsidRPr="00FB43C6"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rPr>
            </w:pPr>
            <w:hyperlink r:id="rId12" w:history="1">
              <w:r w:rsidRPr="00FB43C6">
                <w:rPr>
                  <w:rFonts w:eastAsia="Times New Roman" w:cs="Arial"/>
                  <w:color w:val="000000" w:themeColor="text1"/>
                  <w:sz w:val="20"/>
                  <w:szCs w:val="20"/>
                </w:rPr>
                <w:t>NM_023420.2</w:t>
              </w:r>
            </w:hyperlink>
          </w:p>
        </w:tc>
        <w:tc>
          <w:tcPr>
            <w:tcW w:w="1821" w:type="pct"/>
            <w:noWrap/>
            <w:hideMark/>
          </w:tcPr>
          <w:p w14:paraId="2EB73CD0"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ATGTTCACAGATTCAGCTCCC</w:t>
            </w:r>
          </w:p>
        </w:tc>
        <w:tc>
          <w:tcPr>
            <w:tcW w:w="444" w:type="pct"/>
            <w:noWrap/>
            <w:hideMark/>
          </w:tcPr>
          <w:p w14:paraId="46A4BF45"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Forward</w:t>
            </w:r>
          </w:p>
        </w:tc>
      </w:tr>
      <w:tr w:rsidR="00F82628" w:rsidRPr="00D521E1" w14:paraId="5D8159B5" w14:textId="77777777" w:rsidTr="00A14076">
        <w:trPr>
          <w:trHeight w:val="300"/>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noWrap/>
            <w:hideMark/>
          </w:tcPr>
          <w:p w14:paraId="7C1EE833" w14:textId="77777777" w:rsidR="00F82628" w:rsidRPr="00D521E1" w:rsidRDefault="00F82628" w:rsidP="00A14076">
            <w:pPr>
              <w:spacing w:line="240" w:lineRule="auto"/>
              <w:jc w:val="left"/>
              <w:rPr>
                <w:rFonts w:eastAsia="Times New Roman" w:cs="Arial"/>
                <w:color w:val="000000"/>
                <w:sz w:val="20"/>
                <w:szCs w:val="20"/>
              </w:rPr>
            </w:pPr>
          </w:p>
        </w:tc>
        <w:tc>
          <w:tcPr>
            <w:tcW w:w="1164" w:type="pct"/>
            <w:shd w:val="clear" w:color="auto" w:fill="auto"/>
            <w:noWrap/>
            <w:hideMark/>
          </w:tcPr>
          <w:p w14:paraId="48BEF98B" w14:textId="77777777" w:rsidR="00F82628" w:rsidRPr="00FB43C6"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1821" w:type="pct"/>
            <w:shd w:val="clear" w:color="auto" w:fill="auto"/>
            <w:noWrap/>
            <w:hideMark/>
          </w:tcPr>
          <w:p w14:paraId="61781DA4"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CTTCTTCAACAACCAGTTGCC</w:t>
            </w:r>
          </w:p>
        </w:tc>
        <w:tc>
          <w:tcPr>
            <w:tcW w:w="444" w:type="pct"/>
            <w:shd w:val="clear" w:color="auto" w:fill="auto"/>
            <w:noWrap/>
            <w:hideMark/>
          </w:tcPr>
          <w:p w14:paraId="5815F5BE"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Reverse</w:t>
            </w:r>
          </w:p>
        </w:tc>
      </w:tr>
      <w:tr w:rsidR="00F82628" w:rsidRPr="00D521E1" w14:paraId="140B474F" w14:textId="77777777" w:rsidTr="00A140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pct"/>
            <w:noWrap/>
            <w:hideMark/>
          </w:tcPr>
          <w:p w14:paraId="465B4CDF" w14:textId="77777777" w:rsidR="00F82628" w:rsidRPr="00D521E1" w:rsidRDefault="00F82628" w:rsidP="00A14076">
            <w:pPr>
              <w:spacing w:line="240" w:lineRule="auto"/>
              <w:jc w:val="left"/>
              <w:rPr>
                <w:rFonts w:eastAsia="Times New Roman" w:cs="Arial"/>
                <w:color w:val="000000"/>
                <w:sz w:val="20"/>
                <w:szCs w:val="20"/>
              </w:rPr>
            </w:pPr>
            <w:r w:rsidRPr="00D521E1">
              <w:rPr>
                <w:rFonts w:eastAsia="Times New Roman" w:cs="Arial"/>
                <w:color w:val="000000"/>
                <w:sz w:val="20"/>
                <w:szCs w:val="20"/>
              </w:rPr>
              <w:t>CERT</w:t>
            </w:r>
          </w:p>
        </w:tc>
        <w:tc>
          <w:tcPr>
            <w:tcW w:w="1164" w:type="pct"/>
            <w:noWrap/>
            <w:hideMark/>
          </w:tcPr>
          <w:p w14:paraId="37A0D1DE" w14:textId="77777777" w:rsidR="00F82628" w:rsidRPr="00FB43C6"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rPr>
            </w:pPr>
            <w:hyperlink r:id="rId13" w:history="1">
              <w:r w:rsidRPr="00FB43C6">
                <w:rPr>
                  <w:rFonts w:eastAsia="Times New Roman" w:cs="Arial"/>
                  <w:color w:val="000000" w:themeColor="text1"/>
                  <w:sz w:val="20"/>
                  <w:szCs w:val="20"/>
                </w:rPr>
                <w:t>XM_011244694.2</w:t>
              </w:r>
            </w:hyperlink>
          </w:p>
        </w:tc>
        <w:tc>
          <w:tcPr>
            <w:tcW w:w="1821" w:type="pct"/>
            <w:noWrap/>
            <w:hideMark/>
          </w:tcPr>
          <w:p w14:paraId="2F9FF6BC"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222222"/>
                <w:sz w:val="20"/>
                <w:szCs w:val="20"/>
              </w:rPr>
            </w:pPr>
            <w:r w:rsidRPr="00D521E1">
              <w:rPr>
                <w:rFonts w:eastAsia="Times New Roman" w:cs="Arial"/>
                <w:color w:val="222222"/>
                <w:sz w:val="20"/>
                <w:szCs w:val="20"/>
              </w:rPr>
              <w:t>CAGGATGTAGGTGGTGATGC</w:t>
            </w:r>
          </w:p>
        </w:tc>
        <w:tc>
          <w:tcPr>
            <w:tcW w:w="444" w:type="pct"/>
            <w:noWrap/>
            <w:hideMark/>
          </w:tcPr>
          <w:p w14:paraId="26C94FE8"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Forward</w:t>
            </w:r>
          </w:p>
        </w:tc>
      </w:tr>
      <w:tr w:rsidR="00F82628" w:rsidRPr="00D521E1" w14:paraId="312695F6" w14:textId="77777777" w:rsidTr="00A14076">
        <w:trPr>
          <w:trHeight w:val="300"/>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noWrap/>
            <w:hideMark/>
          </w:tcPr>
          <w:p w14:paraId="0FBB54E1" w14:textId="77777777" w:rsidR="00F82628" w:rsidRPr="00D521E1" w:rsidRDefault="00F82628" w:rsidP="00A14076">
            <w:pPr>
              <w:spacing w:line="240" w:lineRule="auto"/>
              <w:jc w:val="left"/>
              <w:rPr>
                <w:rFonts w:eastAsia="Times New Roman" w:cs="Arial"/>
                <w:color w:val="000000"/>
                <w:sz w:val="20"/>
                <w:szCs w:val="20"/>
              </w:rPr>
            </w:pPr>
          </w:p>
        </w:tc>
        <w:tc>
          <w:tcPr>
            <w:tcW w:w="1164" w:type="pct"/>
            <w:shd w:val="clear" w:color="auto" w:fill="auto"/>
            <w:noWrap/>
            <w:hideMark/>
          </w:tcPr>
          <w:p w14:paraId="20B3F18A" w14:textId="77777777" w:rsidR="00F82628" w:rsidRPr="00FB43C6"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1821" w:type="pct"/>
            <w:shd w:val="clear" w:color="auto" w:fill="auto"/>
            <w:noWrap/>
            <w:hideMark/>
          </w:tcPr>
          <w:p w14:paraId="3245FEA5"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222222"/>
                <w:sz w:val="20"/>
                <w:szCs w:val="20"/>
              </w:rPr>
            </w:pPr>
            <w:r w:rsidRPr="00D521E1">
              <w:rPr>
                <w:rFonts w:eastAsia="Times New Roman" w:cs="Arial"/>
                <w:color w:val="222222"/>
                <w:sz w:val="20"/>
                <w:szCs w:val="20"/>
              </w:rPr>
              <w:t>CACCTTTAACTGCATGAGTAGC</w:t>
            </w:r>
          </w:p>
        </w:tc>
        <w:tc>
          <w:tcPr>
            <w:tcW w:w="444" w:type="pct"/>
            <w:shd w:val="clear" w:color="auto" w:fill="auto"/>
            <w:noWrap/>
            <w:hideMark/>
          </w:tcPr>
          <w:p w14:paraId="4246CCAB"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Reverse</w:t>
            </w:r>
          </w:p>
        </w:tc>
      </w:tr>
      <w:tr w:rsidR="00F82628" w:rsidRPr="00D521E1" w14:paraId="176971C0" w14:textId="77777777" w:rsidTr="00A140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pct"/>
            <w:noWrap/>
            <w:hideMark/>
          </w:tcPr>
          <w:p w14:paraId="3053D00A" w14:textId="77777777" w:rsidR="00F82628" w:rsidRPr="00D521E1" w:rsidRDefault="00F82628" w:rsidP="00A14076">
            <w:pPr>
              <w:spacing w:line="240" w:lineRule="auto"/>
              <w:jc w:val="left"/>
              <w:rPr>
                <w:rFonts w:eastAsia="Times New Roman" w:cs="Arial"/>
                <w:color w:val="000000"/>
                <w:sz w:val="20"/>
                <w:szCs w:val="20"/>
              </w:rPr>
            </w:pPr>
            <w:r w:rsidRPr="00D521E1">
              <w:rPr>
                <w:rFonts w:eastAsia="Times New Roman" w:cs="Arial"/>
                <w:color w:val="000000"/>
                <w:sz w:val="20"/>
                <w:szCs w:val="20"/>
              </w:rPr>
              <w:t>GAPDH</w:t>
            </w:r>
          </w:p>
        </w:tc>
        <w:tc>
          <w:tcPr>
            <w:tcW w:w="1164" w:type="pct"/>
            <w:noWrap/>
            <w:hideMark/>
          </w:tcPr>
          <w:p w14:paraId="1A60E906" w14:textId="77777777" w:rsidR="00F82628" w:rsidRPr="00FB43C6"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rPr>
            </w:pPr>
            <w:r w:rsidRPr="00FB43C6">
              <w:rPr>
                <w:rFonts w:eastAsia="Times New Roman" w:cs="Arial"/>
                <w:color w:val="000000" w:themeColor="text1"/>
                <w:sz w:val="20"/>
                <w:szCs w:val="20"/>
              </w:rPr>
              <w:t>XM_017321385.1</w:t>
            </w:r>
          </w:p>
        </w:tc>
        <w:tc>
          <w:tcPr>
            <w:tcW w:w="1821" w:type="pct"/>
            <w:noWrap/>
            <w:hideMark/>
          </w:tcPr>
          <w:p w14:paraId="12D85968"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222222"/>
                <w:sz w:val="20"/>
                <w:szCs w:val="20"/>
              </w:rPr>
            </w:pPr>
            <w:r w:rsidRPr="00D521E1">
              <w:rPr>
                <w:rFonts w:eastAsia="Times New Roman" w:cs="Arial"/>
                <w:color w:val="222222"/>
                <w:sz w:val="20"/>
                <w:szCs w:val="20"/>
              </w:rPr>
              <w:t>CTCATGACCACAGTCCATGC</w:t>
            </w:r>
          </w:p>
        </w:tc>
        <w:tc>
          <w:tcPr>
            <w:tcW w:w="444" w:type="pct"/>
            <w:noWrap/>
            <w:hideMark/>
          </w:tcPr>
          <w:p w14:paraId="10EAB689"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Forward</w:t>
            </w:r>
          </w:p>
        </w:tc>
      </w:tr>
      <w:tr w:rsidR="00F82628" w:rsidRPr="00D521E1" w14:paraId="09DF4EBD" w14:textId="77777777" w:rsidTr="00A14076">
        <w:trPr>
          <w:trHeight w:val="300"/>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noWrap/>
            <w:hideMark/>
          </w:tcPr>
          <w:p w14:paraId="433D8D45" w14:textId="77777777" w:rsidR="00F82628" w:rsidRPr="00D521E1" w:rsidRDefault="00F82628" w:rsidP="00A14076">
            <w:pPr>
              <w:spacing w:line="240" w:lineRule="auto"/>
              <w:jc w:val="left"/>
              <w:rPr>
                <w:rFonts w:eastAsia="Times New Roman" w:cs="Arial"/>
                <w:color w:val="000000"/>
                <w:sz w:val="20"/>
                <w:szCs w:val="20"/>
              </w:rPr>
            </w:pPr>
          </w:p>
        </w:tc>
        <w:tc>
          <w:tcPr>
            <w:tcW w:w="1164" w:type="pct"/>
            <w:shd w:val="clear" w:color="auto" w:fill="auto"/>
            <w:noWrap/>
            <w:hideMark/>
          </w:tcPr>
          <w:p w14:paraId="2B616496" w14:textId="77777777" w:rsidR="00F82628" w:rsidRPr="00FB43C6"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1821" w:type="pct"/>
            <w:shd w:val="clear" w:color="auto" w:fill="auto"/>
            <w:noWrap/>
            <w:hideMark/>
          </w:tcPr>
          <w:p w14:paraId="525CA422"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222222"/>
                <w:sz w:val="20"/>
                <w:szCs w:val="20"/>
              </w:rPr>
            </w:pPr>
            <w:r w:rsidRPr="00D521E1">
              <w:rPr>
                <w:rFonts w:eastAsia="Times New Roman" w:cs="Arial"/>
                <w:color w:val="222222"/>
                <w:sz w:val="20"/>
                <w:szCs w:val="20"/>
              </w:rPr>
              <w:t>TTCAGCTCTGGGATGACCTT</w:t>
            </w:r>
          </w:p>
        </w:tc>
        <w:tc>
          <w:tcPr>
            <w:tcW w:w="444" w:type="pct"/>
            <w:shd w:val="clear" w:color="auto" w:fill="auto"/>
            <w:noWrap/>
            <w:hideMark/>
          </w:tcPr>
          <w:p w14:paraId="47119DCB"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Reverse</w:t>
            </w:r>
          </w:p>
        </w:tc>
      </w:tr>
      <w:tr w:rsidR="00F82628" w:rsidRPr="00D521E1" w14:paraId="0F8E63B0" w14:textId="77777777" w:rsidTr="00A140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pct"/>
            <w:noWrap/>
            <w:hideMark/>
          </w:tcPr>
          <w:p w14:paraId="56DC61E8" w14:textId="77777777" w:rsidR="00F82628" w:rsidRPr="00D521E1" w:rsidRDefault="00F82628" w:rsidP="00A14076">
            <w:pPr>
              <w:spacing w:line="240" w:lineRule="auto"/>
              <w:jc w:val="left"/>
              <w:rPr>
                <w:rFonts w:eastAsia="Times New Roman" w:cs="Arial"/>
                <w:color w:val="000000"/>
                <w:sz w:val="20"/>
                <w:szCs w:val="20"/>
              </w:rPr>
            </w:pPr>
            <w:r w:rsidRPr="00D521E1">
              <w:rPr>
                <w:rFonts w:eastAsia="Times New Roman" w:cs="Arial"/>
                <w:color w:val="000000"/>
                <w:sz w:val="20"/>
                <w:szCs w:val="20"/>
              </w:rPr>
              <w:t>Actin</w:t>
            </w:r>
          </w:p>
        </w:tc>
        <w:tc>
          <w:tcPr>
            <w:tcW w:w="1164" w:type="pct"/>
            <w:noWrap/>
            <w:hideMark/>
          </w:tcPr>
          <w:p w14:paraId="5FA4D26D" w14:textId="77777777" w:rsidR="00F82628" w:rsidRPr="00FB43C6"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rPr>
            </w:pPr>
            <w:hyperlink r:id="rId14" w:history="1">
              <w:r w:rsidRPr="00FB43C6">
                <w:rPr>
                  <w:rFonts w:eastAsia="Times New Roman" w:cs="Arial"/>
                  <w:color w:val="000000" w:themeColor="text1"/>
                  <w:sz w:val="20"/>
                  <w:szCs w:val="20"/>
                </w:rPr>
                <w:t>NM_007393.5</w:t>
              </w:r>
            </w:hyperlink>
          </w:p>
        </w:tc>
        <w:tc>
          <w:tcPr>
            <w:tcW w:w="1821" w:type="pct"/>
            <w:hideMark/>
          </w:tcPr>
          <w:p w14:paraId="512994EF"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222222"/>
                <w:sz w:val="20"/>
                <w:szCs w:val="20"/>
              </w:rPr>
            </w:pPr>
            <w:r w:rsidRPr="00D521E1">
              <w:rPr>
                <w:rFonts w:eastAsia="Times New Roman" w:cs="Arial"/>
                <w:color w:val="222222"/>
                <w:sz w:val="20"/>
                <w:szCs w:val="20"/>
              </w:rPr>
              <w:t>CTCTCAGCTGTGGTGGTGAA</w:t>
            </w:r>
          </w:p>
        </w:tc>
        <w:tc>
          <w:tcPr>
            <w:tcW w:w="444" w:type="pct"/>
            <w:noWrap/>
            <w:hideMark/>
          </w:tcPr>
          <w:p w14:paraId="43437FE6"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Forward</w:t>
            </w:r>
          </w:p>
        </w:tc>
      </w:tr>
      <w:tr w:rsidR="00F82628" w:rsidRPr="00D521E1" w14:paraId="124C7A3F" w14:textId="77777777" w:rsidTr="00A14076">
        <w:trPr>
          <w:trHeight w:val="300"/>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noWrap/>
            <w:hideMark/>
          </w:tcPr>
          <w:p w14:paraId="64931533" w14:textId="77777777" w:rsidR="00F82628" w:rsidRPr="00D521E1" w:rsidRDefault="00F82628" w:rsidP="00A14076">
            <w:pPr>
              <w:spacing w:line="240" w:lineRule="auto"/>
              <w:jc w:val="left"/>
              <w:rPr>
                <w:rFonts w:eastAsia="Times New Roman" w:cs="Arial"/>
                <w:color w:val="000000"/>
                <w:sz w:val="20"/>
                <w:szCs w:val="20"/>
              </w:rPr>
            </w:pPr>
          </w:p>
        </w:tc>
        <w:tc>
          <w:tcPr>
            <w:tcW w:w="1164" w:type="pct"/>
            <w:shd w:val="clear" w:color="auto" w:fill="auto"/>
            <w:noWrap/>
            <w:hideMark/>
          </w:tcPr>
          <w:p w14:paraId="79A1438E"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21" w:type="pct"/>
            <w:shd w:val="clear" w:color="auto" w:fill="auto"/>
            <w:noWrap/>
            <w:hideMark/>
          </w:tcPr>
          <w:p w14:paraId="3AA98C5B"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222222"/>
                <w:sz w:val="20"/>
                <w:szCs w:val="20"/>
              </w:rPr>
            </w:pPr>
            <w:r w:rsidRPr="00D521E1">
              <w:rPr>
                <w:rFonts w:eastAsia="Times New Roman" w:cs="Arial"/>
                <w:color w:val="222222"/>
                <w:sz w:val="20"/>
                <w:szCs w:val="20"/>
              </w:rPr>
              <w:t>AGCCATGTACGTAGCCATCC</w:t>
            </w:r>
          </w:p>
        </w:tc>
        <w:tc>
          <w:tcPr>
            <w:tcW w:w="444" w:type="pct"/>
            <w:shd w:val="clear" w:color="auto" w:fill="auto"/>
            <w:noWrap/>
            <w:hideMark/>
          </w:tcPr>
          <w:p w14:paraId="157A5CF2"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Reverse</w:t>
            </w:r>
          </w:p>
        </w:tc>
      </w:tr>
      <w:tr w:rsidR="00F82628" w:rsidRPr="00D521E1" w14:paraId="1ADF1F0D" w14:textId="77777777" w:rsidTr="00A140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pct"/>
            <w:noWrap/>
            <w:hideMark/>
          </w:tcPr>
          <w:p w14:paraId="1AFA7D8F" w14:textId="77777777" w:rsidR="00F82628" w:rsidRPr="00D521E1" w:rsidRDefault="00F82628" w:rsidP="00A14076">
            <w:pPr>
              <w:spacing w:line="240" w:lineRule="auto"/>
              <w:jc w:val="left"/>
              <w:rPr>
                <w:rFonts w:eastAsia="Times New Roman" w:cs="Arial"/>
                <w:color w:val="000000"/>
                <w:sz w:val="20"/>
                <w:szCs w:val="20"/>
              </w:rPr>
            </w:pPr>
            <w:r w:rsidRPr="00D521E1">
              <w:rPr>
                <w:rFonts w:eastAsia="Times New Roman" w:cs="Arial"/>
                <w:color w:val="000000"/>
                <w:sz w:val="20"/>
                <w:szCs w:val="20"/>
              </w:rPr>
              <w:t>CD86</w:t>
            </w:r>
          </w:p>
        </w:tc>
        <w:tc>
          <w:tcPr>
            <w:tcW w:w="1164" w:type="pct"/>
            <w:noWrap/>
            <w:hideMark/>
          </w:tcPr>
          <w:p w14:paraId="16AF930B"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DF61BB">
              <w:rPr>
                <w:rFonts w:eastAsia="Times New Roman" w:cs="Arial"/>
                <w:color w:val="000000"/>
                <w:sz w:val="20"/>
                <w:szCs w:val="20"/>
              </w:rPr>
              <w:t>NM_019388.3</w:t>
            </w:r>
          </w:p>
        </w:tc>
        <w:tc>
          <w:tcPr>
            <w:tcW w:w="1821" w:type="pct"/>
            <w:hideMark/>
          </w:tcPr>
          <w:p w14:paraId="68A8DA65"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GGGCTTGGCAATCCTTATCT</w:t>
            </w:r>
          </w:p>
        </w:tc>
        <w:tc>
          <w:tcPr>
            <w:tcW w:w="444" w:type="pct"/>
            <w:hideMark/>
          </w:tcPr>
          <w:p w14:paraId="30CF46E2"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Forward</w:t>
            </w:r>
          </w:p>
        </w:tc>
      </w:tr>
      <w:tr w:rsidR="00F82628" w:rsidRPr="00D521E1" w14:paraId="02236F9F" w14:textId="77777777" w:rsidTr="00A14076">
        <w:trPr>
          <w:trHeight w:val="300"/>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noWrap/>
            <w:hideMark/>
          </w:tcPr>
          <w:p w14:paraId="7CB6EC1E" w14:textId="77777777" w:rsidR="00F82628" w:rsidRPr="00D521E1" w:rsidRDefault="00F82628" w:rsidP="00A14076">
            <w:pPr>
              <w:spacing w:line="240" w:lineRule="auto"/>
              <w:jc w:val="left"/>
              <w:rPr>
                <w:rFonts w:eastAsia="Times New Roman" w:cs="Arial"/>
                <w:color w:val="000000"/>
                <w:sz w:val="20"/>
                <w:szCs w:val="20"/>
              </w:rPr>
            </w:pPr>
          </w:p>
        </w:tc>
        <w:tc>
          <w:tcPr>
            <w:tcW w:w="1164" w:type="pct"/>
            <w:shd w:val="clear" w:color="auto" w:fill="auto"/>
            <w:noWrap/>
            <w:hideMark/>
          </w:tcPr>
          <w:p w14:paraId="108D3629"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21" w:type="pct"/>
            <w:shd w:val="clear" w:color="auto" w:fill="auto"/>
            <w:hideMark/>
          </w:tcPr>
          <w:p w14:paraId="14636EBB"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ACCAACTTTTGCTGGTCCTG</w:t>
            </w:r>
          </w:p>
        </w:tc>
        <w:tc>
          <w:tcPr>
            <w:tcW w:w="444" w:type="pct"/>
            <w:shd w:val="clear" w:color="auto" w:fill="auto"/>
            <w:hideMark/>
          </w:tcPr>
          <w:p w14:paraId="459BB960"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Reverse</w:t>
            </w:r>
          </w:p>
        </w:tc>
      </w:tr>
      <w:tr w:rsidR="00F82628" w:rsidRPr="00D521E1" w14:paraId="74524A7A" w14:textId="77777777" w:rsidTr="00A140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pct"/>
            <w:noWrap/>
            <w:hideMark/>
          </w:tcPr>
          <w:p w14:paraId="247DCEC7" w14:textId="77777777" w:rsidR="00F82628" w:rsidRPr="00D521E1" w:rsidRDefault="00F82628" w:rsidP="00A14076">
            <w:pPr>
              <w:spacing w:line="240" w:lineRule="auto"/>
              <w:jc w:val="left"/>
              <w:rPr>
                <w:rFonts w:ascii="Calibri" w:eastAsia="Times New Roman" w:hAnsi="Calibri" w:cs="Calibri"/>
                <w:color w:val="000000"/>
              </w:rPr>
            </w:pPr>
            <w:r w:rsidRPr="00D521E1">
              <w:rPr>
                <w:rFonts w:ascii="Calibri" w:eastAsia="Times New Roman" w:hAnsi="Calibri" w:cs="Calibri"/>
                <w:color w:val="000000"/>
              </w:rPr>
              <w:t>Fizz-1</w:t>
            </w:r>
          </w:p>
        </w:tc>
        <w:tc>
          <w:tcPr>
            <w:tcW w:w="1164" w:type="pct"/>
            <w:noWrap/>
            <w:hideMark/>
          </w:tcPr>
          <w:p w14:paraId="09725BA0"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cs="Arial"/>
              </w:rPr>
              <w:t>NM_020509.3</w:t>
            </w:r>
          </w:p>
        </w:tc>
        <w:tc>
          <w:tcPr>
            <w:tcW w:w="1821" w:type="pct"/>
            <w:hideMark/>
          </w:tcPr>
          <w:p w14:paraId="0331BD81"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GGAACTTCTTGCCAATCCAG</w:t>
            </w:r>
          </w:p>
        </w:tc>
        <w:tc>
          <w:tcPr>
            <w:tcW w:w="444" w:type="pct"/>
            <w:hideMark/>
          </w:tcPr>
          <w:p w14:paraId="263FB011" w14:textId="77777777" w:rsidR="00F82628" w:rsidRPr="00D521E1" w:rsidRDefault="00F82628" w:rsidP="00A1407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Forward</w:t>
            </w:r>
          </w:p>
        </w:tc>
      </w:tr>
      <w:tr w:rsidR="00F82628" w:rsidRPr="00D521E1" w14:paraId="6822DD99" w14:textId="77777777" w:rsidTr="00A14076">
        <w:trPr>
          <w:trHeight w:val="300"/>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noWrap/>
            <w:hideMark/>
          </w:tcPr>
          <w:p w14:paraId="1400140C" w14:textId="77777777" w:rsidR="00F82628" w:rsidRPr="00D521E1" w:rsidRDefault="00F82628" w:rsidP="00A14076">
            <w:pPr>
              <w:spacing w:line="240" w:lineRule="auto"/>
              <w:jc w:val="left"/>
              <w:rPr>
                <w:rFonts w:eastAsia="Times New Roman" w:cs="Arial"/>
                <w:color w:val="000000"/>
                <w:sz w:val="20"/>
                <w:szCs w:val="20"/>
              </w:rPr>
            </w:pPr>
          </w:p>
        </w:tc>
        <w:tc>
          <w:tcPr>
            <w:tcW w:w="1164" w:type="pct"/>
            <w:shd w:val="clear" w:color="auto" w:fill="auto"/>
            <w:noWrap/>
            <w:hideMark/>
          </w:tcPr>
          <w:p w14:paraId="620DCF39"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21" w:type="pct"/>
            <w:shd w:val="clear" w:color="auto" w:fill="auto"/>
            <w:hideMark/>
          </w:tcPr>
          <w:p w14:paraId="46D3A6C2"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ACACCCAGTAGCAGTCATCCC</w:t>
            </w:r>
          </w:p>
        </w:tc>
        <w:tc>
          <w:tcPr>
            <w:tcW w:w="444" w:type="pct"/>
            <w:shd w:val="clear" w:color="auto" w:fill="auto"/>
            <w:hideMark/>
          </w:tcPr>
          <w:p w14:paraId="40B12D47" w14:textId="77777777" w:rsidR="00F82628" w:rsidRPr="00D521E1" w:rsidRDefault="00F82628" w:rsidP="00A1407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D521E1">
              <w:rPr>
                <w:rFonts w:eastAsia="Times New Roman" w:cs="Arial"/>
                <w:color w:val="000000"/>
                <w:sz w:val="20"/>
                <w:szCs w:val="20"/>
              </w:rPr>
              <w:t>Reverse</w:t>
            </w:r>
          </w:p>
        </w:tc>
      </w:tr>
    </w:tbl>
    <w:p w14:paraId="1C9C2A80" w14:textId="77777777" w:rsidR="00F82628" w:rsidRPr="007068B3" w:rsidRDefault="00F82628" w:rsidP="00F82628">
      <w:r w:rsidRPr="00FB43C6">
        <w:rPr>
          <w:b/>
        </w:rPr>
        <w:t xml:space="preserve">Supplementary </w:t>
      </w:r>
      <w:r>
        <w:rPr>
          <w:b/>
        </w:rPr>
        <w:t>T</w:t>
      </w:r>
      <w:r w:rsidRPr="00FB43C6">
        <w:rPr>
          <w:b/>
        </w:rPr>
        <w:t xml:space="preserve">able </w:t>
      </w:r>
      <w:r>
        <w:rPr>
          <w:b/>
        </w:rPr>
        <w:t>2</w:t>
      </w:r>
      <w:r w:rsidRPr="00FB43C6">
        <w:rPr>
          <w:b/>
        </w:rPr>
        <w:t>. RT-PCR primer sequences</w:t>
      </w:r>
    </w:p>
    <w:p w14:paraId="24F415FA" w14:textId="77777777" w:rsidR="00A340D3" w:rsidRDefault="00A340D3"/>
    <w:sectPr w:rsidR="00A340D3" w:rsidSect="002B53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7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dvP800D">
    <w:altName w:val="Cambria"/>
    <w:panose1 w:val="020B0604020202020204"/>
    <w:charset w:val="00"/>
    <w:family w:val="roman"/>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25030"/>
    <w:multiLevelType w:val="hybridMultilevel"/>
    <w:tmpl w:val="1A5EEC1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97B7D93"/>
    <w:multiLevelType w:val="multilevel"/>
    <w:tmpl w:val="6488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36739D"/>
    <w:multiLevelType w:val="multilevel"/>
    <w:tmpl w:val="5008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A06405"/>
    <w:multiLevelType w:val="hybridMultilevel"/>
    <w:tmpl w:val="E2E4E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A54901"/>
    <w:multiLevelType w:val="hybridMultilevel"/>
    <w:tmpl w:val="EF040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628"/>
    <w:rsid w:val="00114675"/>
    <w:rsid w:val="002B53FA"/>
    <w:rsid w:val="00A340D3"/>
    <w:rsid w:val="00CB39D0"/>
    <w:rsid w:val="00F82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C71360"/>
  <w15:chartTrackingRefBased/>
  <w15:docId w15:val="{39EE73A8-8071-4845-83F0-20F222BDD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628"/>
    <w:pPr>
      <w:spacing w:after="200" w:line="480" w:lineRule="auto"/>
      <w:jc w:val="both"/>
    </w:pPr>
    <w:rPr>
      <w:rFonts w:ascii="Arial" w:hAnsi="Arial"/>
      <w:sz w:val="22"/>
      <w:szCs w:val="22"/>
    </w:rPr>
  </w:style>
  <w:style w:type="paragraph" w:styleId="Heading1">
    <w:name w:val="heading 1"/>
    <w:basedOn w:val="Normal"/>
    <w:next w:val="Normal"/>
    <w:link w:val="Heading1Char"/>
    <w:uiPriority w:val="9"/>
    <w:qFormat/>
    <w:rsid w:val="00F82628"/>
    <w:pPr>
      <w:keepNext/>
      <w:keepLines/>
      <w:spacing w:before="240" w:after="0"/>
      <w:outlineLvl w:val="0"/>
    </w:pPr>
    <w:rPr>
      <w:rFonts w:eastAsiaTheme="majorEastAsia" w:cstheme="majorBidi"/>
      <w:b/>
      <w:sz w:val="26"/>
      <w:szCs w:val="32"/>
    </w:rPr>
  </w:style>
  <w:style w:type="paragraph" w:styleId="Heading2">
    <w:name w:val="heading 2"/>
    <w:basedOn w:val="Normal"/>
    <w:next w:val="Normal"/>
    <w:link w:val="Heading2Char"/>
    <w:uiPriority w:val="9"/>
    <w:unhideWhenUsed/>
    <w:qFormat/>
    <w:rsid w:val="00F82628"/>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82628"/>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628"/>
    <w:rPr>
      <w:rFonts w:ascii="Arial" w:eastAsiaTheme="majorEastAsia" w:hAnsi="Arial" w:cstheme="majorBidi"/>
      <w:b/>
      <w:sz w:val="26"/>
      <w:szCs w:val="32"/>
    </w:rPr>
  </w:style>
  <w:style w:type="character" w:customStyle="1" w:styleId="Heading2Char">
    <w:name w:val="Heading 2 Char"/>
    <w:basedOn w:val="DefaultParagraphFont"/>
    <w:link w:val="Heading2"/>
    <w:uiPriority w:val="9"/>
    <w:rsid w:val="00F82628"/>
    <w:rPr>
      <w:rFonts w:ascii="Arial" w:eastAsiaTheme="majorEastAsia" w:hAnsi="Arial" w:cstheme="majorBidi"/>
      <w:b/>
      <w:sz w:val="22"/>
      <w:szCs w:val="26"/>
    </w:rPr>
  </w:style>
  <w:style w:type="character" w:customStyle="1" w:styleId="Heading3Char">
    <w:name w:val="Heading 3 Char"/>
    <w:basedOn w:val="DefaultParagraphFont"/>
    <w:link w:val="Heading3"/>
    <w:uiPriority w:val="9"/>
    <w:rsid w:val="00F82628"/>
    <w:rPr>
      <w:rFonts w:ascii="Arial" w:eastAsiaTheme="majorEastAsia" w:hAnsi="Arial" w:cstheme="majorBidi"/>
      <w:b/>
      <w:color w:val="000000" w:themeColor="text1"/>
      <w:sz w:val="22"/>
    </w:rPr>
  </w:style>
  <w:style w:type="paragraph" w:styleId="BalloonText">
    <w:name w:val="Balloon Text"/>
    <w:basedOn w:val="Normal"/>
    <w:link w:val="BalloonTextChar"/>
    <w:uiPriority w:val="99"/>
    <w:semiHidden/>
    <w:unhideWhenUsed/>
    <w:rsid w:val="00F82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628"/>
    <w:rPr>
      <w:rFonts w:ascii="Tahoma" w:hAnsi="Tahoma" w:cs="Tahoma"/>
      <w:sz w:val="16"/>
      <w:szCs w:val="16"/>
    </w:rPr>
  </w:style>
  <w:style w:type="paragraph" w:styleId="NormalWeb">
    <w:name w:val="Normal (Web)"/>
    <w:basedOn w:val="Normal"/>
    <w:uiPriority w:val="99"/>
    <w:semiHidden/>
    <w:unhideWhenUsed/>
    <w:rsid w:val="00F8262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82628"/>
    <w:rPr>
      <w:color w:val="0563C1" w:themeColor="hyperlink"/>
      <w:u w:val="single"/>
    </w:rPr>
  </w:style>
  <w:style w:type="paragraph" w:styleId="CommentText">
    <w:name w:val="annotation text"/>
    <w:basedOn w:val="Normal"/>
    <w:link w:val="CommentTextChar"/>
    <w:uiPriority w:val="99"/>
    <w:unhideWhenUsed/>
    <w:rsid w:val="00F82628"/>
    <w:pPr>
      <w:spacing w:line="240" w:lineRule="auto"/>
    </w:pPr>
    <w:rPr>
      <w:sz w:val="20"/>
      <w:szCs w:val="20"/>
    </w:rPr>
  </w:style>
  <w:style w:type="character" w:customStyle="1" w:styleId="CommentTextChar">
    <w:name w:val="Comment Text Char"/>
    <w:basedOn w:val="DefaultParagraphFont"/>
    <w:link w:val="CommentText"/>
    <w:uiPriority w:val="99"/>
    <w:rsid w:val="00F82628"/>
    <w:rPr>
      <w:rFonts w:ascii="Arial" w:hAnsi="Arial"/>
      <w:sz w:val="20"/>
      <w:szCs w:val="20"/>
    </w:rPr>
  </w:style>
  <w:style w:type="character" w:styleId="CommentReference">
    <w:name w:val="annotation reference"/>
    <w:basedOn w:val="DefaultParagraphFont"/>
    <w:uiPriority w:val="99"/>
    <w:semiHidden/>
    <w:unhideWhenUsed/>
    <w:rsid w:val="00F82628"/>
    <w:rPr>
      <w:sz w:val="16"/>
      <w:szCs w:val="16"/>
    </w:rPr>
  </w:style>
  <w:style w:type="paragraph" w:styleId="ListParagraph">
    <w:name w:val="List Paragraph"/>
    <w:basedOn w:val="Normal"/>
    <w:uiPriority w:val="34"/>
    <w:qFormat/>
    <w:rsid w:val="00F82628"/>
    <w:pPr>
      <w:ind w:left="720"/>
      <w:contextualSpacing/>
    </w:pPr>
  </w:style>
  <w:style w:type="paragraph" w:customStyle="1" w:styleId="EndNoteBibliographyTitle">
    <w:name w:val="EndNote Bibliography Title"/>
    <w:basedOn w:val="Normal"/>
    <w:link w:val="EndNoteBibliographyTitleCarattere"/>
    <w:rsid w:val="00F82628"/>
    <w:pPr>
      <w:spacing w:after="0"/>
      <w:jc w:val="center"/>
    </w:pPr>
    <w:rPr>
      <w:rFonts w:ascii="Calibri" w:hAnsi="Calibri" w:cs="Calibri"/>
      <w:noProof/>
    </w:rPr>
  </w:style>
  <w:style w:type="character" w:customStyle="1" w:styleId="EndNoteBibliographyTitleCarattere">
    <w:name w:val="EndNote Bibliography Title Carattere"/>
    <w:basedOn w:val="DefaultParagraphFont"/>
    <w:link w:val="EndNoteBibliographyTitle"/>
    <w:rsid w:val="00F82628"/>
    <w:rPr>
      <w:rFonts w:ascii="Calibri" w:hAnsi="Calibri" w:cs="Calibri"/>
      <w:noProof/>
      <w:sz w:val="22"/>
      <w:szCs w:val="22"/>
    </w:rPr>
  </w:style>
  <w:style w:type="paragraph" w:customStyle="1" w:styleId="EndNoteBibliography">
    <w:name w:val="EndNote Bibliography"/>
    <w:basedOn w:val="Normal"/>
    <w:link w:val="EndNoteBibliographyCarattere"/>
    <w:rsid w:val="00F82628"/>
    <w:pPr>
      <w:spacing w:line="240" w:lineRule="auto"/>
    </w:pPr>
    <w:rPr>
      <w:rFonts w:ascii="Calibri" w:hAnsi="Calibri" w:cs="Calibri"/>
      <w:noProof/>
    </w:rPr>
  </w:style>
  <w:style w:type="character" w:customStyle="1" w:styleId="EndNoteBibliographyCarattere">
    <w:name w:val="EndNote Bibliography Carattere"/>
    <w:basedOn w:val="DefaultParagraphFont"/>
    <w:link w:val="EndNoteBibliography"/>
    <w:rsid w:val="00F82628"/>
    <w:rPr>
      <w:rFonts w:ascii="Calibri" w:hAnsi="Calibri" w:cs="Calibri"/>
      <w:noProof/>
      <w:sz w:val="22"/>
      <w:szCs w:val="22"/>
    </w:rPr>
  </w:style>
  <w:style w:type="character" w:customStyle="1" w:styleId="Menzionenonrisolta1">
    <w:name w:val="Menzione non risolta1"/>
    <w:basedOn w:val="DefaultParagraphFont"/>
    <w:uiPriority w:val="99"/>
    <w:semiHidden/>
    <w:unhideWhenUsed/>
    <w:rsid w:val="00F82628"/>
    <w:rPr>
      <w:color w:val="808080"/>
      <w:shd w:val="clear" w:color="auto" w:fill="E6E6E6"/>
    </w:rPr>
  </w:style>
  <w:style w:type="character" w:styleId="Emphasis">
    <w:name w:val="Emphasis"/>
    <w:basedOn w:val="DefaultParagraphFont"/>
    <w:uiPriority w:val="20"/>
    <w:qFormat/>
    <w:rsid w:val="00F82628"/>
    <w:rPr>
      <w:i/>
      <w:iCs/>
    </w:rPr>
  </w:style>
  <w:style w:type="paragraph" w:styleId="Subtitle">
    <w:name w:val="Subtitle"/>
    <w:basedOn w:val="Normal"/>
    <w:next w:val="Normal"/>
    <w:link w:val="SubtitleChar"/>
    <w:uiPriority w:val="11"/>
    <w:qFormat/>
    <w:rsid w:val="00F82628"/>
    <w:pPr>
      <w:numPr>
        <w:ilvl w:val="1"/>
      </w:numPr>
      <w:spacing w:after="160"/>
    </w:pPr>
    <w:rPr>
      <w:rFonts w:eastAsiaTheme="minorEastAsia"/>
      <w:i/>
      <w:color w:val="000000" w:themeColor="text1"/>
      <w:spacing w:val="15"/>
      <w:u w:val="single"/>
    </w:rPr>
  </w:style>
  <w:style w:type="character" w:customStyle="1" w:styleId="SubtitleChar">
    <w:name w:val="Subtitle Char"/>
    <w:basedOn w:val="DefaultParagraphFont"/>
    <w:link w:val="Subtitle"/>
    <w:uiPriority w:val="11"/>
    <w:rsid w:val="00F82628"/>
    <w:rPr>
      <w:rFonts w:ascii="Arial" w:eastAsiaTheme="minorEastAsia" w:hAnsi="Arial"/>
      <w:i/>
      <w:color w:val="000000" w:themeColor="text1"/>
      <w:spacing w:val="15"/>
      <w:sz w:val="22"/>
      <w:szCs w:val="22"/>
      <w:u w:val="single"/>
    </w:rPr>
  </w:style>
  <w:style w:type="paragraph" w:styleId="Header">
    <w:name w:val="header"/>
    <w:basedOn w:val="Normal"/>
    <w:link w:val="HeaderChar"/>
    <w:uiPriority w:val="99"/>
    <w:unhideWhenUsed/>
    <w:rsid w:val="00F82628"/>
    <w:pPr>
      <w:tabs>
        <w:tab w:val="center" w:pos="4986"/>
        <w:tab w:val="right" w:pos="9972"/>
      </w:tabs>
      <w:spacing w:after="0" w:line="240" w:lineRule="auto"/>
    </w:pPr>
  </w:style>
  <w:style w:type="character" w:customStyle="1" w:styleId="HeaderChar">
    <w:name w:val="Header Char"/>
    <w:basedOn w:val="DefaultParagraphFont"/>
    <w:link w:val="Header"/>
    <w:uiPriority w:val="99"/>
    <w:rsid w:val="00F82628"/>
    <w:rPr>
      <w:rFonts w:ascii="Arial" w:hAnsi="Arial"/>
      <w:sz w:val="22"/>
      <w:szCs w:val="22"/>
    </w:rPr>
  </w:style>
  <w:style w:type="paragraph" w:styleId="Footer">
    <w:name w:val="footer"/>
    <w:basedOn w:val="Normal"/>
    <w:link w:val="FooterChar"/>
    <w:uiPriority w:val="99"/>
    <w:unhideWhenUsed/>
    <w:rsid w:val="00F82628"/>
    <w:pPr>
      <w:tabs>
        <w:tab w:val="center" w:pos="4986"/>
        <w:tab w:val="right" w:pos="9972"/>
      </w:tabs>
      <w:spacing w:after="0" w:line="240" w:lineRule="auto"/>
    </w:pPr>
  </w:style>
  <w:style w:type="character" w:customStyle="1" w:styleId="FooterChar">
    <w:name w:val="Footer Char"/>
    <w:basedOn w:val="DefaultParagraphFont"/>
    <w:link w:val="Footer"/>
    <w:uiPriority w:val="99"/>
    <w:rsid w:val="00F82628"/>
    <w:rPr>
      <w:rFonts w:ascii="Arial" w:hAnsi="Arial"/>
      <w:sz w:val="22"/>
      <w:szCs w:val="22"/>
    </w:rPr>
  </w:style>
  <w:style w:type="character" w:styleId="LineNumber">
    <w:name w:val="line number"/>
    <w:basedOn w:val="DefaultParagraphFont"/>
    <w:uiPriority w:val="99"/>
    <w:semiHidden/>
    <w:unhideWhenUsed/>
    <w:rsid w:val="00F82628"/>
  </w:style>
  <w:style w:type="character" w:customStyle="1" w:styleId="Menzionenonrisolta2">
    <w:name w:val="Menzione non risolta2"/>
    <w:basedOn w:val="DefaultParagraphFont"/>
    <w:uiPriority w:val="99"/>
    <w:semiHidden/>
    <w:unhideWhenUsed/>
    <w:rsid w:val="00F82628"/>
    <w:rPr>
      <w:color w:val="808080"/>
      <w:shd w:val="clear" w:color="auto" w:fill="E6E6E6"/>
    </w:rPr>
  </w:style>
  <w:style w:type="character" w:customStyle="1" w:styleId="highlight">
    <w:name w:val="highlight"/>
    <w:basedOn w:val="DefaultParagraphFont"/>
    <w:rsid w:val="00F82628"/>
  </w:style>
  <w:style w:type="paragraph" w:styleId="CommentSubject">
    <w:name w:val="annotation subject"/>
    <w:basedOn w:val="CommentText"/>
    <w:next w:val="CommentText"/>
    <w:link w:val="CommentSubjectChar"/>
    <w:uiPriority w:val="99"/>
    <w:semiHidden/>
    <w:unhideWhenUsed/>
    <w:rsid w:val="00F82628"/>
    <w:rPr>
      <w:b/>
      <w:bCs/>
    </w:rPr>
  </w:style>
  <w:style w:type="character" w:customStyle="1" w:styleId="CommentSubjectChar">
    <w:name w:val="Comment Subject Char"/>
    <w:basedOn w:val="CommentTextChar"/>
    <w:link w:val="CommentSubject"/>
    <w:uiPriority w:val="99"/>
    <w:semiHidden/>
    <w:rsid w:val="00F82628"/>
    <w:rPr>
      <w:rFonts w:ascii="Arial" w:hAnsi="Arial"/>
      <w:b/>
      <w:bCs/>
      <w:sz w:val="20"/>
      <w:szCs w:val="20"/>
    </w:rPr>
  </w:style>
  <w:style w:type="character" w:customStyle="1" w:styleId="Menzionenonrisolta3">
    <w:name w:val="Menzione non risolta3"/>
    <w:basedOn w:val="DefaultParagraphFont"/>
    <w:uiPriority w:val="99"/>
    <w:semiHidden/>
    <w:unhideWhenUsed/>
    <w:rsid w:val="00F82628"/>
    <w:rPr>
      <w:color w:val="808080"/>
      <w:shd w:val="clear" w:color="auto" w:fill="E6E6E6"/>
    </w:rPr>
  </w:style>
  <w:style w:type="character" w:customStyle="1" w:styleId="Menzionenonrisolta4">
    <w:name w:val="Menzione non risolta4"/>
    <w:basedOn w:val="DefaultParagraphFont"/>
    <w:uiPriority w:val="99"/>
    <w:semiHidden/>
    <w:unhideWhenUsed/>
    <w:rsid w:val="00F82628"/>
    <w:rPr>
      <w:color w:val="605E5C"/>
      <w:shd w:val="clear" w:color="auto" w:fill="E1DFDD"/>
    </w:rPr>
  </w:style>
  <w:style w:type="paragraph" w:styleId="Revision">
    <w:name w:val="Revision"/>
    <w:hidden/>
    <w:uiPriority w:val="99"/>
    <w:semiHidden/>
    <w:rsid w:val="00F82628"/>
    <w:rPr>
      <w:rFonts w:ascii="Arial" w:hAnsi="Arial"/>
      <w:sz w:val="22"/>
      <w:szCs w:val="22"/>
    </w:rPr>
  </w:style>
  <w:style w:type="character" w:customStyle="1" w:styleId="Menzionenonrisolta5">
    <w:name w:val="Menzione non risolta5"/>
    <w:basedOn w:val="DefaultParagraphFont"/>
    <w:uiPriority w:val="99"/>
    <w:semiHidden/>
    <w:unhideWhenUsed/>
    <w:rsid w:val="00F82628"/>
    <w:rPr>
      <w:color w:val="605E5C"/>
      <w:shd w:val="clear" w:color="auto" w:fill="E1DFDD"/>
    </w:rPr>
  </w:style>
  <w:style w:type="character" w:customStyle="1" w:styleId="Menzionenonrisolta6">
    <w:name w:val="Menzione non risolta6"/>
    <w:basedOn w:val="DefaultParagraphFont"/>
    <w:uiPriority w:val="99"/>
    <w:semiHidden/>
    <w:unhideWhenUsed/>
    <w:rsid w:val="00F82628"/>
    <w:rPr>
      <w:color w:val="605E5C"/>
      <w:shd w:val="clear" w:color="auto" w:fill="E1DFDD"/>
    </w:rPr>
  </w:style>
  <w:style w:type="table" w:customStyle="1" w:styleId="PlainTable11">
    <w:name w:val="Plain Table 11"/>
    <w:basedOn w:val="TableNormal"/>
    <w:uiPriority w:val="41"/>
    <w:rsid w:val="00F82628"/>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F82628"/>
    <w:rPr>
      <w:color w:val="605E5C"/>
      <w:shd w:val="clear" w:color="auto" w:fill="E1DFDD"/>
    </w:rPr>
  </w:style>
  <w:style w:type="character" w:customStyle="1" w:styleId="UnresolvedMention2">
    <w:name w:val="Unresolved Mention2"/>
    <w:basedOn w:val="DefaultParagraphFont"/>
    <w:uiPriority w:val="99"/>
    <w:semiHidden/>
    <w:unhideWhenUsed/>
    <w:rsid w:val="00F82628"/>
    <w:rPr>
      <w:color w:val="605E5C"/>
      <w:shd w:val="clear" w:color="auto" w:fill="E1DFDD"/>
    </w:rPr>
  </w:style>
  <w:style w:type="character" w:customStyle="1" w:styleId="UnresolvedMention3">
    <w:name w:val="Unresolved Mention3"/>
    <w:basedOn w:val="DefaultParagraphFont"/>
    <w:uiPriority w:val="99"/>
    <w:semiHidden/>
    <w:unhideWhenUsed/>
    <w:rsid w:val="00F82628"/>
    <w:rPr>
      <w:color w:val="605E5C"/>
      <w:shd w:val="clear" w:color="auto" w:fill="E1DFDD"/>
    </w:rPr>
  </w:style>
  <w:style w:type="table" w:styleId="TableGrid">
    <w:name w:val="Table Grid"/>
    <w:basedOn w:val="TableNormal"/>
    <w:uiPriority w:val="59"/>
    <w:rsid w:val="00F8262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F82628"/>
    <w:rPr>
      <w:color w:val="605E5C"/>
      <w:shd w:val="clear" w:color="auto" w:fill="E1DFDD"/>
    </w:rPr>
  </w:style>
  <w:style w:type="character" w:customStyle="1" w:styleId="UnresolvedMention5">
    <w:name w:val="Unresolved Mention5"/>
    <w:basedOn w:val="DefaultParagraphFont"/>
    <w:uiPriority w:val="99"/>
    <w:semiHidden/>
    <w:unhideWhenUsed/>
    <w:rsid w:val="00F82628"/>
    <w:rPr>
      <w:color w:val="605E5C"/>
      <w:shd w:val="clear" w:color="auto" w:fill="E1DFDD"/>
    </w:rPr>
  </w:style>
  <w:style w:type="character" w:customStyle="1" w:styleId="UnresolvedMention6">
    <w:name w:val="Unresolved Mention6"/>
    <w:basedOn w:val="DefaultParagraphFont"/>
    <w:uiPriority w:val="99"/>
    <w:semiHidden/>
    <w:unhideWhenUsed/>
    <w:rsid w:val="00F82628"/>
    <w:rPr>
      <w:color w:val="605E5C"/>
      <w:shd w:val="clear" w:color="auto" w:fill="E1DFDD"/>
    </w:rPr>
  </w:style>
  <w:style w:type="table" w:customStyle="1" w:styleId="PlainTable41">
    <w:name w:val="Plain Table 41"/>
    <w:basedOn w:val="TableNormal"/>
    <w:uiPriority w:val="44"/>
    <w:rsid w:val="00F82628"/>
    <w:rPr>
      <w:rFonts w:ascii="Verdana" w:hAnsi="Verdana"/>
      <w:sz w:val="20"/>
      <w:szCs w:val="22"/>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00F82628"/>
  </w:style>
  <w:style w:type="character" w:customStyle="1" w:styleId="UnresolvedMention7">
    <w:name w:val="Unresolved Mention7"/>
    <w:basedOn w:val="DefaultParagraphFont"/>
    <w:uiPriority w:val="99"/>
    <w:semiHidden/>
    <w:unhideWhenUsed/>
    <w:rsid w:val="00F82628"/>
    <w:rPr>
      <w:color w:val="605E5C"/>
      <w:shd w:val="clear" w:color="auto" w:fill="E1DFDD"/>
    </w:rPr>
  </w:style>
  <w:style w:type="character" w:customStyle="1" w:styleId="UnresolvedMention8">
    <w:name w:val="Unresolved Mention8"/>
    <w:basedOn w:val="DefaultParagraphFont"/>
    <w:uiPriority w:val="99"/>
    <w:semiHidden/>
    <w:unhideWhenUsed/>
    <w:rsid w:val="00F82628"/>
    <w:rPr>
      <w:color w:val="605E5C"/>
      <w:shd w:val="clear" w:color="auto" w:fill="E1DFDD"/>
    </w:rPr>
  </w:style>
  <w:style w:type="character" w:styleId="UnresolvedMention">
    <w:name w:val="Unresolved Mention"/>
    <w:basedOn w:val="DefaultParagraphFont"/>
    <w:uiPriority w:val="99"/>
    <w:semiHidden/>
    <w:unhideWhenUsed/>
    <w:rsid w:val="00F826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hyperlink" Target="https://www.ncbi.nlm.nih.gov/entrez/viewer.fcgi?db=nucleotide&amp;id=1039744052" TargetMode="Externa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hyperlink" Target="https://www.ncbi.nlm.nih.gov/entrez/viewer.fcgi?db=nucleotide&amp;id=25598252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www.ncbi.nlm.nih.gov/entrez/viewer.fcgi?db=nucleotide&amp;id=1039777052" TargetMode="External"/><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hyperlink" Target="https://www.ncbi.nlm.nih.gov/entrez/viewer.fcgi?db=nucleotide&amp;id=9309457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2606</Words>
  <Characters>14858</Characters>
  <Application>Microsoft Office Word</Application>
  <DocSecurity>0</DocSecurity>
  <Lines>123</Lines>
  <Paragraphs>34</Paragraphs>
  <ScaleCrop>false</ScaleCrop>
  <Company/>
  <LinksUpToDate>false</LinksUpToDate>
  <CharactersWithSpaces>17430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2021-01-11T19:44:00Z</dcterms:created>
  <dcterms:modified xsi:type="dcterms:W3CDTF">2021-01-11T19:44:00Z</dcterms:modified>
</cp:coreProperties>
</file>