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90" w:rsidRDefault="00C01290" w:rsidP="00C01290">
      <w:pPr>
        <w:spacing w:line="360" w:lineRule="auto"/>
        <w:jc w:val="center"/>
        <w:rPr>
          <w:rFonts w:asciiTheme="majorBidi" w:hAnsiTheme="majorBidi" w:cstheme="majorBidi"/>
          <w:b/>
          <w:bCs/>
          <w:lang w:bidi="fa-IR"/>
        </w:rPr>
      </w:pPr>
      <w:r w:rsidRPr="00DE7125">
        <w:rPr>
          <w:rFonts w:asciiTheme="majorBidi" w:hAnsiTheme="majorBidi" w:cstheme="majorBidi"/>
          <w:b/>
          <w:bCs/>
          <w:lang w:bidi="fa-IR"/>
        </w:rPr>
        <w:t xml:space="preserve">Table2- </w:t>
      </w:r>
      <w:r>
        <w:rPr>
          <w:rFonts w:asciiTheme="majorBidi" w:hAnsiTheme="majorBidi" w:cstheme="majorBidi"/>
          <w:b/>
          <w:bCs/>
          <w:lang w:bidi="fa-IR"/>
        </w:rPr>
        <w:t>Main characteristics of the included studies</w:t>
      </w:r>
    </w:p>
    <w:tbl>
      <w:tblPr>
        <w:tblStyle w:val="TableGrid"/>
        <w:tblW w:w="11214" w:type="dxa"/>
        <w:tblInd w:w="-1139" w:type="dxa"/>
        <w:tblLook w:val="04A0" w:firstRow="1" w:lastRow="0" w:firstColumn="1" w:lastColumn="0" w:noHBand="0" w:noVBand="1"/>
      </w:tblPr>
      <w:tblGrid>
        <w:gridCol w:w="1267"/>
        <w:gridCol w:w="718"/>
        <w:gridCol w:w="2835"/>
        <w:gridCol w:w="1417"/>
        <w:gridCol w:w="4977"/>
      </w:tblGrid>
      <w:tr w:rsidR="00C01290" w:rsidTr="00AF14CB">
        <w:tc>
          <w:tcPr>
            <w:tcW w:w="1267" w:type="dxa"/>
          </w:tcPr>
          <w:p w:rsidR="00C01290" w:rsidRPr="00DE7125" w:rsidRDefault="00C01290" w:rsidP="00AF14CB">
            <w:pPr>
              <w:spacing w:line="360" w:lineRule="auto"/>
              <w:jc w:val="center"/>
              <w:rPr>
                <w:rFonts w:asciiTheme="majorBidi" w:hAnsiTheme="majorBidi" w:cstheme="majorBidi"/>
                <w:b/>
                <w:bCs/>
                <w:sz w:val="20"/>
                <w:szCs w:val="20"/>
                <w:lang w:bidi="fa-IR"/>
              </w:rPr>
            </w:pPr>
            <w:r w:rsidRPr="00DE7125">
              <w:rPr>
                <w:rFonts w:asciiTheme="majorBidi" w:hAnsiTheme="majorBidi" w:cstheme="majorBidi"/>
                <w:b/>
                <w:bCs/>
                <w:sz w:val="20"/>
                <w:szCs w:val="20"/>
                <w:lang w:bidi="fa-IR"/>
              </w:rPr>
              <w:t>Author</w:t>
            </w:r>
          </w:p>
        </w:tc>
        <w:tc>
          <w:tcPr>
            <w:tcW w:w="718" w:type="dxa"/>
          </w:tcPr>
          <w:p w:rsidR="00C01290" w:rsidRPr="00DE7125" w:rsidRDefault="00C01290" w:rsidP="00AF14CB">
            <w:pPr>
              <w:spacing w:line="360" w:lineRule="auto"/>
              <w:jc w:val="center"/>
              <w:rPr>
                <w:rFonts w:asciiTheme="majorBidi" w:hAnsiTheme="majorBidi" w:cstheme="majorBidi"/>
                <w:b/>
                <w:bCs/>
                <w:sz w:val="20"/>
                <w:szCs w:val="20"/>
                <w:lang w:bidi="fa-IR"/>
              </w:rPr>
            </w:pPr>
            <w:r w:rsidRPr="00DE7125">
              <w:rPr>
                <w:rFonts w:asciiTheme="majorBidi" w:hAnsiTheme="majorBidi" w:cstheme="majorBidi"/>
                <w:b/>
                <w:bCs/>
                <w:sz w:val="20"/>
                <w:szCs w:val="20"/>
                <w:lang w:bidi="fa-IR"/>
              </w:rPr>
              <w:t>year</w:t>
            </w:r>
          </w:p>
        </w:tc>
        <w:tc>
          <w:tcPr>
            <w:tcW w:w="2835" w:type="dxa"/>
          </w:tcPr>
          <w:p w:rsidR="00C01290" w:rsidRPr="00DE7125" w:rsidRDefault="00C01290" w:rsidP="00AF14CB">
            <w:pPr>
              <w:spacing w:line="360" w:lineRule="auto"/>
              <w:jc w:val="center"/>
              <w:rPr>
                <w:rFonts w:asciiTheme="majorBidi" w:hAnsiTheme="majorBidi" w:cstheme="majorBidi"/>
                <w:b/>
                <w:bCs/>
                <w:sz w:val="20"/>
                <w:szCs w:val="20"/>
                <w:lang w:bidi="fa-IR"/>
              </w:rPr>
            </w:pPr>
            <w:r w:rsidRPr="00DE7125">
              <w:rPr>
                <w:rFonts w:asciiTheme="majorBidi" w:hAnsiTheme="majorBidi" w:cstheme="majorBidi"/>
                <w:b/>
                <w:bCs/>
                <w:sz w:val="20"/>
                <w:szCs w:val="20"/>
                <w:lang w:bidi="fa-IR"/>
              </w:rPr>
              <w:t>Study topic</w:t>
            </w:r>
          </w:p>
        </w:tc>
        <w:tc>
          <w:tcPr>
            <w:tcW w:w="1417" w:type="dxa"/>
          </w:tcPr>
          <w:p w:rsidR="00C01290" w:rsidRPr="00DE7125" w:rsidRDefault="00C01290" w:rsidP="00AF14CB">
            <w:pPr>
              <w:spacing w:line="360" w:lineRule="auto"/>
              <w:jc w:val="center"/>
              <w:rPr>
                <w:rFonts w:asciiTheme="majorBidi" w:hAnsiTheme="majorBidi" w:cstheme="majorBidi"/>
                <w:b/>
                <w:bCs/>
                <w:sz w:val="20"/>
                <w:szCs w:val="20"/>
                <w:lang w:bidi="fa-IR"/>
              </w:rPr>
            </w:pPr>
            <w:r w:rsidRPr="00DE7125">
              <w:rPr>
                <w:rFonts w:asciiTheme="majorBidi" w:hAnsiTheme="majorBidi" w:cstheme="majorBidi"/>
                <w:b/>
                <w:bCs/>
                <w:sz w:val="20"/>
                <w:szCs w:val="20"/>
                <w:lang w:bidi="fa-IR"/>
              </w:rPr>
              <w:t>Study design</w:t>
            </w:r>
          </w:p>
        </w:tc>
        <w:tc>
          <w:tcPr>
            <w:tcW w:w="4977" w:type="dxa"/>
          </w:tcPr>
          <w:p w:rsidR="00C01290" w:rsidRPr="00DE7125" w:rsidRDefault="00C01290" w:rsidP="00AF14CB">
            <w:pPr>
              <w:jc w:val="center"/>
              <w:rPr>
                <w:rFonts w:asciiTheme="majorBidi" w:hAnsiTheme="majorBidi" w:cstheme="majorBidi"/>
                <w:b/>
                <w:bCs/>
                <w:sz w:val="20"/>
                <w:szCs w:val="20"/>
                <w:lang w:bidi="fa-IR"/>
              </w:rPr>
            </w:pPr>
            <w:r w:rsidRPr="00B52A16">
              <w:rPr>
                <w:rFonts w:asciiTheme="majorBidi" w:hAnsiTheme="majorBidi" w:cstheme="majorBidi"/>
                <w:b/>
                <w:bCs/>
                <w:sz w:val="20"/>
                <w:szCs w:val="20"/>
                <w:lang w:bidi="fa-IR"/>
              </w:rPr>
              <w:t xml:space="preserve">Key Determinants of </w:t>
            </w:r>
            <w:r>
              <w:rPr>
                <w:rFonts w:asciiTheme="majorBidi" w:hAnsiTheme="majorBidi" w:cstheme="majorBidi"/>
                <w:b/>
                <w:bCs/>
                <w:sz w:val="20"/>
                <w:szCs w:val="20"/>
                <w:lang w:bidi="fa-IR"/>
              </w:rPr>
              <w:t xml:space="preserve">provision and utilization  </w:t>
            </w:r>
            <w:r w:rsidRPr="00B52A16">
              <w:rPr>
                <w:rFonts w:asciiTheme="majorBidi" w:hAnsiTheme="majorBidi" w:cstheme="majorBidi"/>
                <w:b/>
                <w:bCs/>
                <w:sz w:val="20"/>
                <w:szCs w:val="20"/>
                <w:lang w:bidi="fa-IR"/>
              </w:rPr>
              <w:t>challenges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Amarasena</w:t>
            </w:r>
            <w:proofErr w:type="spellEnd"/>
          </w:p>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[21]</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2015</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frequency of poor oral health according to Sociodemographic, behavioural, and psychological distress factors</w:t>
            </w:r>
          </w:p>
        </w:tc>
        <w:tc>
          <w:tcPr>
            <w:tcW w:w="1417" w:type="dxa"/>
          </w:tcPr>
          <w:p w:rsidR="00C01290" w:rsidRPr="00DE7125" w:rsidRDefault="00C01290" w:rsidP="00AF14CB">
            <w:pPr>
              <w:jc w:val="center"/>
              <w:rPr>
                <w:rFonts w:asciiTheme="majorBidi" w:hAnsiTheme="majorBidi" w:cstheme="majorBidi"/>
                <w:sz w:val="20"/>
                <w:szCs w:val="20"/>
                <w:lang w:bidi="fa-IR"/>
              </w:rPr>
            </w:pPr>
            <w:r>
              <w:rPr>
                <w:rFonts w:asciiTheme="majorBidi" w:hAnsiTheme="majorBidi" w:cstheme="majorBidi"/>
                <w:sz w:val="20"/>
                <w:szCs w:val="20"/>
                <w:lang w:bidi="fa-IR"/>
              </w:rPr>
              <w:t xml:space="preserve">Quantitative </w:t>
            </w:r>
          </w:p>
        </w:tc>
        <w:tc>
          <w:tcPr>
            <w:tcW w:w="4977" w:type="dxa"/>
          </w:tcPr>
          <w:p w:rsidR="00C01290" w:rsidRPr="00BC10C4" w:rsidRDefault="00C01290" w:rsidP="00C01290">
            <w:pPr>
              <w:pStyle w:val="ListParagraph"/>
              <w:numPr>
                <w:ilvl w:val="0"/>
                <w:numId w:val="1"/>
              </w:numPr>
              <w:jc w:val="both"/>
              <w:rPr>
                <w:rFonts w:asciiTheme="majorBidi" w:hAnsiTheme="majorBidi" w:cstheme="majorBidi"/>
                <w:sz w:val="16"/>
                <w:szCs w:val="16"/>
                <w:lang w:bidi="fa-IR"/>
              </w:rPr>
            </w:pPr>
            <w:r w:rsidRPr="00BC10C4">
              <w:rPr>
                <w:rFonts w:asciiTheme="majorBidi" w:hAnsiTheme="majorBidi" w:cstheme="majorBidi"/>
                <w:sz w:val="16"/>
                <w:szCs w:val="16"/>
                <w:lang w:bidi="fa-IR"/>
              </w:rPr>
              <w:t>Frequency of poor OH was 73.7 %.</w:t>
            </w:r>
          </w:p>
          <w:p w:rsidR="00C01290" w:rsidRPr="00BC10C4" w:rsidRDefault="00C01290" w:rsidP="00C01290">
            <w:pPr>
              <w:pStyle w:val="ListParagraph"/>
              <w:numPr>
                <w:ilvl w:val="0"/>
                <w:numId w:val="1"/>
              </w:numPr>
              <w:jc w:val="both"/>
              <w:rPr>
                <w:rFonts w:cstheme="minorHAnsi"/>
                <w:color w:val="000000" w:themeColor="text1"/>
                <w:sz w:val="20"/>
                <w:szCs w:val="20"/>
              </w:rPr>
            </w:pPr>
            <w:r w:rsidRPr="00BC10C4">
              <w:rPr>
                <w:rFonts w:asciiTheme="majorBidi" w:hAnsiTheme="majorBidi" w:cstheme="majorBidi"/>
                <w:sz w:val="16"/>
                <w:szCs w:val="16"/>
                <w:lang w:bidi="fa-IR"/>
              </w:rPr>
              <w:t xml:space="preserve">Associated with </w:t>
            </w:r>
            <w:bookmarkStart w:id="0" w:name="_Hlk43588769"/>
            <w:r w:rsidRPr="00BC10C4">
              <w:rPr>
                <w:rFonts w:asciiTheme="majorBidi" w:hAnsiTheme="majorBidi" w:cstheme="majorBidi"/>
                <w:sz w:val="16"/>
                <w:szCs w:val="16"/>
                <w:lang w:bidi="fa-IR"/>
              </w:rPr>
              <w:t>high levels of psychological distress, being older, being female, and visiting a dentist because of a problem</w:t>
            </w:r>
            <w:bookmarkEnd w:id="0"/>
          </w:p>
        </w:tc>
      </w:tr>
      <w:tr w:rsidR="00C01290" w:rsidTr="00AF14CB">
        <w:trPr>
          <w:trHeight w:val="305"/>
        </w:trPr>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Amarasena</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[22]</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2014</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 xml:space="preserve">oral health behaviours and perceptions </w:t>
            </w:r>
          </w:p>
        </w:tc>
        <w:tc>
          <w:tcPr>
            <w:tcW w:w="1417" w:type="dxa"/>
          </w:tcPr>
          <w:p w:rsidR="00C01290" w:rsidRPr="00DE7125" w:rsidRDefault="00C01290" w:rsidP="00AF14CB">
            <w:pPr>
              <w:jc w:val="center"/>
              <w:rPr>
                <w:rFonts w:asciiTheme="majorBidi" w:hAnsiTheme="majorBidi" w:cstheme="majorBidi"/>
                <w:sz w:val="20"/>
                <w:szCs w:val="20"/>
                <w:lang w:bidi="fa-IR"/>
              </w:rPr>
            </w:pPr>
            <w:r w:rsidRPr="00B52A16">
              <w:rPr>
                <w:rFonts w:asciiTheme="majorBidi" w:hAnsiTheme="majorBidi" w:cstheme="majorBidi"/>
                <w:sz w:val="20"/>
                <w:szCs w:val="20"/>
                <w:lang w:bidi="fa-IR"/>
              </w:rPr>
              <w:t xml:space="preserve">Quantitative </w:t>
            </w:r>
          </w:p>
        </w:tc>
        <w:tc>
          <w:tcPr>
            <w:tcW w:w="4977" w:type="dxa"/>
          </w:tcPr>
          <w:p w:rsidR="00C01290" w:rsidRPr="00ED1467" w:rsidRDefault="00C01290" w:rsidP="00C01290">
            <w:pPr>
              <w:pStyle w:val="ListParagraph"/>
              <w:numPr>
                <w:ilvl w:val="0"/>
                <w:numId w:val="1"/>
              </w:numPr>
              <w:jc w:val="both"/>
              <w:rPr>
                <w:rFonts w:asciiTheme="majorBidi" w:hAnsiTheme="majorBidi" w:cstheme="majorBidi"/>
                <w:sz w:val="16"/>
                <w:szCs w:val="16"/>
                <w:lang w:bidi="fa-IR"/>
              </w:rPr>
            </w:pPr>
            <w:r w:rsidRPr="00ED1467">
              <w:rPr>
                <w:rFonts w:asciiTheme="majorBidi" w:hAnsiTheme="majorBidi" w:cstheme="majorBidi"/>
                <w:sz w:val="16"/>
                <w:szCs w:val="16"/>
                <w:lang w:bidi="fa-IR"/>
              </w:rPr>
              <w:t xml:space="preserve">A higher proportion of Indigenous Australians living in Darwin presented with </w:t>
            </w:r>
            <w:bookmarkStart w:id="1" w:name="_Hlk43588823"/>
            <w:r w:rsidRPr="00ED1467">
              <w:rPr>
                <w:rFonts w:asciiTheme="majorBidi" w:hAnsiTheme="majorBidi" w:cstheme="majorBidi"/>
                <w:sz w:val="16"/>
                <w:szCs w:val="16"/>
                <w:lang w:bidi="fa-IR"/>
              </w:rPr>
              <w:t xml:space="preserve">non-optimal oral health behaviours and perceptions </w:t>
            </w:r>
            <w:bookmarkEnd w:id="1"/>
            <w:r w:rsidRPr="00ED1467">
              <w:rPr>
                <w:rFonts w:asciiTheme="majorBidi" w:hAnsiTheme="majorBidi" w:cstheme="majorBidi"/>
                <w:sz w:val="16"/>
                <w:szCs w:val="16"/>
                <w:lang w:bidi="fa-IR"/>
              </w:rPr>
              <w:t>compared with both the Darwin and Australian general populations.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Butten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[12]</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2020</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experiences and perceptions of oral health from the perspective of urban, Aboriginal women</w:t>
            </w:r>
          </w:p>
        </w:tc>
        <w:tc>
          <w:tcPr>
            <w:tcW w:w="1417" w:type="dxa"/>
          </w:tcPr>
          <w:p w:rsidR="00C01290" w:rsidRPr="00DE7125" w:rsidRDefault="00C01290" w:rsidP="00AF14CB">
            <w:pPr>
              <w:jc w:val="center"/>
              <w:rPr>
                <w:rFonts w:asciiTheme="majorBidi" w:hAnsiTheme="majorBidi" w:cstheme="majorBidi"/>
                <w:sz w:val="20"/>
                <w:szCs w:val="20"/>
                <w:lang w:bidi="fa-IR"/>
              </w:rPr>
            </w:pPr>
            <w:r w:rsidRPr="00B52A16">
              <w:rPr>
                <w:rFonts w:asciiTheme="majorBidi" w:hAnsiTheme="majorBidi" w:cstheme="majorBidi"/>
                <w:sz w:val="20"/>
                <w:szCs w:val="20"/>
                <w:lang w:bidi="fa-IR"/>
              </w:rPr>
              <w:t xml:space="preserve">Qualitative </w:t>
            </w:r>
          </w:p>
        </w:tc>
        <w:tc>
          <w:tcPr>
            <w:tcW w:w="4977" w:type="dxa"/>
          </w:tcPr>
          <w:p w:rsidR="00C01290" w:rsidRPr="00420F30" w:rsidRDefault="00C01290" w:rsidP="00C01290">
            <w:pPr>
              <w:pStyle w:val="ListParagraph"/>
              <w:numPr>
                <w:ilvl w:val="0"/>
                <w:numId w:val="1"/>
              </w:numPr>
              <w:jc w:val="both"/>
              <w:rPr>
                <w:rFonts w:asciiTheme="majorBidi" w:hAnsiTheme="majorBidi" w:cstheme="majorBidi"/>
                <w:sz w:val="16"/>
                <w:szCs w:val="16"/>
                <w:lang w:bidi="fa-IR"/>
              </w:rPr>
            </w:pPr>
            <w:r w:rsidRPr="00420F30">
              <w:rPr>
                <w:rFonts w:asciiTheme="majorBidi" w:hAnsiTheme="majorBidi" w:cstheme="majorBidi"/>
                <w:sz w:val="16"/>
                <w:szCs w:val="16"/>
                <w:lang w:bidi="fa-IR"/>
              </w:rPr>
              <w:t>W</w:t>
            </w:r>
            <w:r>
              <w:rPr>
                <w:rFonts w:asciiTheme="majorBidi" w:hAnsiTheme="majorBidi" w:cstheme="majorBidi"/>
                <w:sz w:val="16"/>
                <w:szCs w:val="16"/>
                <w:lang w:bidi="fa-IR"/>
              </w:rPr>
              <w:t>omen</w:t>
            </w:r>
            <w:r w:rsidRPr="00420F30">
              <w:rPr>
                <w:rFonts w:asciiTheme="majorBidi" w:hAnsiTheme="majorBidi" w:cstheme="majorBidi"/>
                <w:sz w:val="16"/>
                <w:szCs w:val="16"/>
                <w:lang w:bidi="fa-IR"/>
              </w:rPr>
              <w:t xml:space="preserve"> face a number of barriers, including a </w:t>
            </w:r>
            <w:bookmarkStart w:id="2" w:name="_Hlk43588858"/>
            <w:r w:rsidRPr="00420F30">
              <w:rPr>
                <w:rFonts w:asciiTheme="majorBidi" w:hAnsiTheme="majorBidi" w:cstheme="majorBidi"/>
                <w:sz w:val="16"/>
                <w:szCs w:val="16"/>
                <w:lang w:bidi="fa-IR"/>
              </w:rPr>
              <w:t xml:space="preserve">lack of information and the costs of accessing dental care. </w:t>
            </w:r>
            <w:bookmarkEnd w:id="2"/>
          </w:p>
          <w:p w:rsidR="00C01290" w:rsidRPr="00DE7125" w:rsidRDefault="00C01290" w:rsidP="00C01290">
            <w:pPr>
              <w:pStyle w:val="ListParagraph"/>
              <w:numPr>
                <w:ilvl w:val="0"/>
                <w:numId w:val="1"/>
              </w:numPr>
              <w:jc w:val="both"/>
              <w:rPr>
                <w:rFonts w:asciiTheme="majorBidi" w:hAnsiTheme="majorBidi" w:cstheme="majorBidi"/>
                <w:sz w:val="20"/>
                <w:szCs w:val="20"/>
                <w:lang w:bidi="fa-IR"/>
              </w:rPr>
            </w:pPr>
            <w:bookmarkStart w:id="3" w:name="_Hlk43588904"/>
            <w:r w:rsidRPr="00420F30">
              <w:rPr>
                <w:rFonts w:asciiTheme="majorBidi" w:hAnsiTheme="majorBidi" w:cstheme="majorBidi"/>
                <w:sz w:val="16"/>
                <w:szCs w:val="16"/>
                <w:lang w:bidi="fa-IR"/>
              </w:rPr>
              <w:t xml:space="preserve">The teenage years and pregnancy </w:t>
            </w:r>
            <w:bookmarkEnd w:id="3"/>
            <w:r w:rsidRPr="00420F30">
              <w:rPr>
                <w:rFonts w:asciiTheme="majorBidi" w:hAnsiTheme="majorBidi" w:cstheme="majorBidi"/>
                <w:sz w:val="16"/>
                <w:szCs w:val="16"/>
                <w:lang w:bidi="fa-IR"/>
              </w:rPr>
              <w:t>were reported as important time periods for oral health support</w:t>
            </w:r>
          </w:p>
        </w:tc>
      </w:tr>
      <w:tr w:rsidR="00C01290" w:rsidTr="00AF14CB">
        <w:trPr>
          <w:trHeight w:val="323"/>
        </w:trPr>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Butten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[23]</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2019</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the impact of child oral health on families</w:t>
            </w:r>
          </w:p>
        </w:tc>
        <w:tc>
          <w:tcPr>
            <w:tcW w:w="1417" w:type="dxa"/>
          </w:tcPr>
          <w:p w:rsidR="00C01290" w:rsidRPr="00DE7125" w:rsidRDefault="00C01290" w:rsidP="00AF14CB">
            <w:pPr>
              <w:jc w:val="center"/>
              <w:rPr>
                <w:rFonts w:asciiTheme="majorBidi" w:hAnsiTheme="majorBidi" w:cstheme="majorBidi"/>
                <w:sz w:val="20"/>
                <w:szCs w:val="20"/>
                <w:lang w:bidi="fa-IR"/>
              </w:rPr>
            </w:pPr>
            <w:r w:rsidRPr="00B52A16">
              <w:rPr>
                <w:rFonts w:asciiTheme="majorBidi" w:hAnsiTheme="majorBidi" w:cstheme="majorBidi"/>
                <w:sz w:val="20"/>
                <w:szCs w:val="20"/>
                <w:lang w:bidi="fa-IR"/>
              </w:rPr>
              <w:t xml:space="preserve">Qualitative </w:t>
            </w:r>
          </w:p>
        </w:tc>
        <w:tc>
          <w:tcPr>
            <w:tcW w:w="4977" w:type="dxa"/>
          </w:tcPr>
          <w:p w:rsidR="00C01290" w:rsidRPr="0093320F" w:rsidRDefault="00C01290" w:rsidP="00C01290">
            <w:pPr>
              <w:pStyle w:val="ListParagraph"/>
              <w:numPr>
                <w:ilvl w:val="0"/>
                <w:numId w:val="1"/>
              </w:numPr>
              <w:jc w:val="both"/>
              <w:rPr>
                <w:rFonts w:asciiTheme="majorBidi" w:hAnsiTheme="majorBidi" w:cstheme="majorBidi"/>
                <w:sz w:val="16"/>
                <w:szCs w:val="16"/>
                <w:lang w:bidi="fa-IR"/>
              </w:rPr>
            </w:pPr>
            <w:r w:rsidRPr="0093320F">
              <w:rPr>
                <w:rFonts w:asciiTheme="majorBidi" w:hAnsiTheme="majorBidi" w:cstheme="majorBidi"/>
                <w:sz w:val="16"/>
                <w:szCs w:val="16"/>
                <w:lang w:bidi="fa-IR"/>
              </w:rPr>
              <w:t>Oral health is an important issue for urban Indigenous families and maintaining oral health to a desired standard</w:t>
            </w:r>
          </w:p>
          <w:p w:rsidR="00C01290" w:rsidRPr="0093320F" w:rsidRDefault="00C01290" w:rsidP="00C01290">
            <w:pPr>
              <w:pStyle w:val="ListParagraph"/>
              <w:numPr>
                <w:ilvl w:val="0"/>
                <w:numId w:val="1"/>
              </w:numPr>
              <w:jc w:val="both"/>
              <w:rPr>
                <w:rFonts w:asciiTheme="majorBidi" w:hAnsiTheme="majorBidi" w:cstheme="majorBidi"/>
                <w:sz w:val="16"/>
                <w:szCs w:val="16"/>
                <w:lang w:bidi="fa-IR"/>
              </w:rPr>
            </w:pPr>
            <w:r w:rsidRPr="0093320F">
              <w:rPr>
                <w:rFonts w:asciiTheme="majorBidi" w:hAnsiTheme="majorBidi" w:cstheme="majorBidi"/>
                <w:sz w:val="16"/>
                <w:szCs w:val="16"/>
                <w:lang w:bidi="fa-IR"/>
              </w:rPr>
              <w:t>financial concerns, worry about the future and juggling multiple priorities, all of which were inter-related and cyclical.</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Campbell</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[24]</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2015</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oral health care experiences and activities of Aboriginal Community Controlled Health Services (ACCHSs)</w:t>
            </w:r>
          </w:p>
        </w:tc>
        <w:tc>
          <w:tcPr>
            <w:tcW w:w="1417" w:type="dxa"/>
          </w:tcPr>
          <w:p w:rsidR="00C01290" w:rsidRPr="00DE7125" w:rsidRDefault="00C01290" w:rsidP="00AF14CB">
            <w:pPr>
              <w:jc w:val="center"/>
              <w:rPr>
                <w:rFonts w:asciiTheme="majorBidi" w:hAnsiTheme="majorBidi" w:cstheme="majorBidi"/>
                <w:sz w:val="20"/>
                <w:szCs w:val="20"/>
                <w:lang w:bidi="fa-IR"/>
              </w:rPr>
            </w:pPr>
            <w:r w:rsidRPr="00B52A16">
              <w:rPr>
                <w:rFonts w:asciiTheme="majorBidi" w:hAnsiTheme="majorBidi" w:cstheme="majorBidi"/>
                <w:sz w:val="20"/>
                <w:szCs w:val="20"/>
                <w:lang w:bidi="fa-IR"/>
              </w:rPr>
              <w:t>Mixed-method</w:t>
            </w:r>
          </w:p>
        </w:tc>
        <w:tc>
          <w:tcPr>
            <w:tcW w:w="4977" w:type="dxa"/>
          </w:tcPr>
          <w:p w:rsidR="00C01290" w:rsidRPr="001E594E" w:rsidRDefault="00C01290" w:rsidP="00C01290">
            <w:pPr>
              <w:pStyle w:val="ListParagraph"/>
              <w:numPr>
                <w:ilvl w:val="0"/>
                <w:numId w:val="2"/>
              </w:numPr>
              <w:rPr>
                <w:rFonts w:cstheme="minorHAnsi"/>
                <w:color w:val="000000" w:themeColor="text1"/>
                <w:sz w:val="20"/>
                <w:szCs w:val="20"/>
              </w:rPr>
            </w:pPr>
            <w:r w:rsidRPr="001E594E">
              <w:rPr>
                <w:rFonts w:asciiTheme="majorBidi" w:hAnsiTheme="majorBidi" w:cstheme="majorBidi"/>
                <w:sz w:val="16"/>
                <w:szCs w:val="16"/>
                <w:lang w:bidi="fa-IR"/>
              </w:rPr>
              <w:t>NSW ACCHSs are under-acknowledged providers of a range of oral health services to Aboriginal communities</w:t>
            </w:r>
            <w:r w:rsidRPr="001E594E">
              <w:rPr>
                <w:rFonts w:cstheme="minorHAnsi"/>
                <w:color w:val="000000" w:themeColor="text1"/>
                <w:sz w:val="20"/>
                <w:szCs w:val="20"/>
              </w:rPr>
              <w:t>.</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Dimitropoulos</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[25]</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2018</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The oral health knowledge and attitudes towards oral health of parents/guardians and the perceived barriers and enablers towards oral health promotion for school children</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Default="00C01290" w:rsidP="00C01290">
            <w:pPr>
              <w:pStyle w:val="ListParagraph"/>
              <w:numPr>
                <w:ilvl w:val="0"/>
                <w:numId w:val="3"/>
              </w:numPr>
              <w:jc w:val="both"/>
              <w:rPr>
                <w:rFonts w:asciiTheme="majorBidi" w:hAnsiTheme="majorBidi" w:cstheme="majorBidi"/>
                <w:sz w:val="16"/>
                <w:szCs w:val="16"/>
                <w:lang w:bidi="fa-IR"/>
              </w:rPr>
            </w:pPr>
            <w:r w:rsidRPr="001E594E">
              <w:rPr>
                <w:rFonts w:asciiTheme="majorBidi" w:hAnsiTheme="majorBidi" w:cstheme="majorBidi"/>
                <w:sz w:val="16"/>
                <w:szCs w:val="16"/>
                <w:lang w:bidi="fa-IR"/>
              </w:rPr>
              <w:t>lack of toothbrush ownership, minimal fluoride toothpaste use, limited daily tooth brushing, frequent consumption of sugary foods and soft drinks</w:t>
            </w:r>
            <w:r>
              <w:rPr>
                <w:rFonts w:asciiTheme="majorBidi" w:hAnsiTheme="majorBidi" w:cstheme="majorBidi"/>
                <w:sz w:val="16"/>
                <w:szCs w:val="16"/>
                <w:lang w:bidi="fa-IR"/>
              </w:rPr>
              <w:t>.</w:t>
            </w:r>
          </w:p>
          <w:p w:rsidR="00C01290" w:rsidRPr="001E594E" w:rsidRDefault="00C01290" w:rsidP="00C01290">
            <w:pPr>
              <w:pStyle w:val="ListParagraph"/>
              <w:numPr>
                <w:ilvl w:val="0"/>
                <w:numId w:val="3"/>
              </w:numPr>
              <w:jc w:val="both"/>
              <w:rPr>
                <w:rFonts w:asciiTheme="majorBidi" w:hAnsiTheme="majorBidi" w:cstheme="majorBidi"/>
                <w:sz w:val="16"/>
                <w:szCs w:val="16"/>
                <w:lang w:bidi="fa-IR"/>
              </w:rPr>
            </w:pPr>
            <w:r w:rsidRPr="001E594E">
              <w:rPr>
                <w:rFonts w:asciiTheme="majorBidi" w:hAnsiTheme="majorBidi" w:cstheme="majorBidi"/>
                <w:sz w:val="16"/>
                <w:szCs w:val="16"/>
                <w:lang w:bidi="fa-IR"/>
              </w:rPr>
              <w:t>Parents/guardians had limited oral health knowledge</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Durey</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[10]</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2016</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the social context of oral and general health inequalities for Aboriginal Australians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Critical review</w:t>
            </w:r>
          </w:p>
        </w:tc>
        <w:tc>
          <w:tcPr>
            <w:tcW w:w="4977" w:type="dxa"/>
          </w:tcPr>
          <w:p w:rsidR="00C01290" w:rsidRPr="005960D7" w:rsidRDefault="00C01290" w:rsidP="00C01290">
            <w:pPr>
              <w:pStyle w:val="ListParagraph"/>
              <w:numPr>
                <w:ilvl w:val="0"/>
                <w:numId w:val="4"/>
              </w:numPr>
              <w:jc w:val="both"/>
              <w:rPr>
                <w:rFonts w:asciiTheme="majorBidi" w:hAnsiTheme="majorBidi" w:cstheme="majorBidi"/>
                <w:sz w:val="16"/>
                <w:szCs w:val="16"/>
                <w:lang w:bidi="fa-IR"/>
              </w:rPr>
            </w:pPr>
            <w:r w:rsidRPr="005960D7">
              <w:rPr>
                <w:rFonts w:asciiTheme="majorBidi" w:hAnsiTheme="majorBidi" w:cstheme="majorBidi"/>
                <w:sz w:val="16"/>
                <w:szCs w:val="16"/>
                <w:lang w:bidi="fa-IR"/>
              </w:rPr>
              <w:t>Oral health is constrained by challenges beyond their control as individuals, including accessing dental services.</w:t>
            </w:r>
          </w:p>
          <w:p w:rsidR="00C01290" w:rsidRPr="005960D7" w:rsidRDefault="00C01290" w:rsidP="00C01290">
            <w:pPr>
              <w:pStyle w:val="ListParagraph"/>
              <w:numPr>
                <w:ilvl w:val="0"/>
                <w:numId w:val="4"/>
              </w:numPr>
              <w:jc w:val="both"/>
              <w:rPr>
                <w:rFonts w:asciiTheme="majorBidi" w:hAnsiTheme="majorBidi" w:cstheme="majorBidi"/>
                <w:sz w:val="16"/>
                <w:szCs w:val="16"/>
                <w:lang w:bidi="fa-IR"/>
              </w:rPr>
            </w:pPr>
            <w:r w:rsidRPr="005960D7">
              <w:rPr>
                <w:rFonts w:asciiTheme="majorBidi" w:hAnsiTheme="majorBidi" w:cstheme="majorBidi"/>
                <w:sz w:val="16"/>
                <w:szCs w:val="16"/>
                <w:lang w:bidi="fa-IR"/>
              </w:rPr>
              <w:t>Competing demands on limited budgets often led to oral health dropping off the radar unless there was an emergency.</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Durey</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[26]</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2017</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perceptions and experiences of Aboriginal parents  of young children, mainly mothers, as they relate to the oral health</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Qualitative</w:t>
            </w:r>
          </w:p>
        </w:tc>
        <w:tc>
          <w:tcPr>
            <w:tcW w:w="4977" w:type="dxa"/>
          </w:tcPr>
          <w:p w:rsidR="00C01290" w:rsidRPr="008D1FC8" w:rsidRDefault="00C01290" w:rsidP="00C01290">
            <w:pPr>
              <w:pStyle w:val="ListParagraph"/>
              <w:numPr>
                <w:ilvl w:val="0"/>
                <w:numId w:val="4"/>
              </w:numPr>
              <w:jc w:val="both"/>
              <w:rPr>
                <w:rFonts w:asciiTheme="majorBidi" w:hAnsiTheme="majorBidi" w:cstheme="majorBidi"/>
                <w:sz w:val="16"/>
                <w:szCs w:val="16"/>
                <w:lang w:bidi="fa-IR"/>
              </w:rPr>
            </w:pPr>
            <w:r w:rsidRPr="008D1FC8">
              <w:rPr>
                <w:rFonts w:asciiTheme="majorBidi" w:hAnsiTheme="majorBidi" w:cstheme="majorBidi"/>
                <w:sz w:val="16"/>
                <w:szCs w:val="16"/>
                <w:lang w:bidi="fa-IR"/>
              </w:rPr>
              <w:t>oral health is compromised by structural factors, including policy and organizational practices that adversely preclude participants from making optimal oral health choices: limited education about prevention, prohibitive cost of services, intensive marketing of sugary products, and discrimination from health providers resulting in reluctance to attend services.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t>Ehsani</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[27]</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2007</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sz w:val="18"/>
                <w:szCs w:val="18"/>
                <w:lang w:bidi="fa-IR"/>
              </w:rPr>
              <w:t>Feasibility and costs of water fluoridation</w:t>
            </w:r>
          </w:p>
        </w:tc>
        <w:tc>
          <w:tcPr>
            <w:tcW w:w="1417" w:type="dxa"/>
          </w:tcPr>
          <w:p w:rsidR="00C01290" w:rsidRPr="00DE7125" w:rsidRDefault="00C01290" w:rsidP="00AF14CB">
            <w:pPr>
              <w:jc w:val="center"/>
              <w:rPr>
                <w:rFonts w:asciiTheme="majorBidi" w:hAnsiTheme="majorBidi" w:cstheme="majorBidi"/>
                <w:sz w:val="20"/>
                <w:szCs w:val="20"/>
                <w:lang w:bidi="fa-IR"/>
              </w:rPr>
            </w:pPr>
            <w:r w:rsidRPr="00B52A16">
              <w:rPr>
                <w:rFonts w:asciiTheme="majorBidi" w:hAnsiTheme="majorBidi" w:cstheme="majorBidi"/>
                <w:sz w:val="20"/>
                <w:szCs w:val="20"/>
                <w:lang w:bidi="fa-IR"/>
              </w:rPr>
              <w:t xml:space="preserve">Quantitative </w:t>
            </w:r>
          </w:p>
        </w:tc>
        <w:tc>
          <w:tcPr>
            <w:tcW w:w="4977" w:type="dxa"/>
          </w:tcPr>
          <w:p w:rsidR="00C01290" w:rsidRPr="00E4794C" w:rsidRDefault="00C01290" w:rsidP="00C01290">
            <w:pPr>
              <w:pStyle w:val="ListParagraph"/>
              <w:numPr>
                <w:ilvl w:val="0"/>
                <w:numId w:val="5"/>
              </w:numPr>
              <w:jc w:val="both"/>
              <w:rPr>
                <w:rFonts w:asciiTheme="majorBidi" w:hAnsiTheme="majorBidi" w:cstheme="majorBidi"/>
                <w:sz w:val="16"/>
                <w:szCs w:val="16"/>
                <w:lang w:bidi="fa-IR"/>
              </w:rPr>
            </w:pPr>
            <w:r w:rsidRPr="00E4794C">
              <w:rPr>
                <w:rFonts w:asciiTheme="majorBidi" w:hAnsiTheme="majorBidi" w:cstheme="majorBidi"/>
                <w:sz w:val="16"/>
                <w:szCs w:val="16"/>
                <w:lang w:bidi="fa-IR"/>
              </w:rPr>
              <w:t xml:space="preserve">Effective management systems, including policy and funding responsibility is necessary </w:t>
            </w:r>
          </w:p>
          <w:p w:rsidR="00C01290" w:rsidRPr="00E4794C" w:rsidRDefault="00C01290" w:rsidP="00C01290">
            <w:pPr>
              <w:pStyle w:val="ListParagraph"/>
              <w:numPr>
                <w:ilvl w:val="0"/>
                <w:numId w:val="5"/>
              </w:numPr>
              <w:jc w:val="both"/>
              <w:rPr>
                <w:rFonts w:asciiTheme="majorBidi" w:hAnsiTheme="majorBidi" w:cstheme="majorBidi"/>
                <w:sz w:val="16"/>
                <w:szCs w:val="16"/>
                <w:lang w:bidi="fa-IR"/>
              </w:rPr>
            </w:pPr>
            <w:r w:rsidRPr="00E4794C">
              <w:rPr>
                <w:rFonts w:asciiTheme="majorBidi" w:hAnsiTheme="majorBidi" w:cstheme="majorBidi"/>
                <w:sz w:val="16"/>
                <w:szCs w:val="16"/>
                <w:lang w:bidi="fa-IR"/>
              </w:rPr>
              <w:t>Reliable manufacturers and suppliers of equipment should be identified and contractual agreements should provide for ongoing technical assistance.</w:t>
            </w:r>
          </w:p>
          <w:p w:rsidR="00C01290" w:rsidRPr="00E4794C" w:rsidRDefault="00C01290" w:rsidP="00C01290">
            <w:pPr>
              <w:pStyle w:val="ListParagraph"/>
              <w:numPr>
                <w:ilvl w:val="0"/>
                <w:numId w:val="5"/>
              </w:numPr>
              <w:jc w:val="both"/>
              <w:rPr>
                <w:rFonts w:asciiTheme="majorBidi" w:hAnsiTheme="majorBidi" w:cstheme="majorBidi"/>
                <w:sz w:val="16"/>
                <w:szCs w:val="16"/>
                <w:lang w:bidi="fa-IR"/>
              </w:rPr>
            </w:pPr>
            <w:r w:rsidRPr="00E4794C">
              <w:rPr>
                <w:rFonts w:asciiTheme="majorBidi" w:hAnsiTheme="majorBidi" w:cstheme="majorBidi"/>
                <w:sz w:val="16"/>
                <w:szCs w:val="16"/>
                <w:lang w:bidi="fa-IR"/>
              </w:rPr>
              <w:t>Water fluoridation units should be considered as a potential priority component of health</w:t>
            </w:r>
            <w:r>
              <w:rPr>
                <w:rFonts w:asciiTheme="majorBidi" w:hAnsiTheme="majorBidi" w:cstheme="majorBidi"/>
                <w:sz w:val="16"/>
                <w:szCs w:val="16"/>
                <w:lang w:bidi="fa-IR"/>
              </w:rPr>
              <w:t>-related</w:t>
            </w:r>
            <w:r w:rsidRPr="00E4794C">
              <w:rPr>
                <w:rFonts w:asciiTheme="majorBidi" w:hAnsiTheme="majorBidi" w:cstheme="majorBidi"/>
                <w:sz w:val="16"/>
                <w:szCs w:val="16"/>
                <w:lang w:bidi="fa-IR"/>
              </w:rPr>
              <w:t xml:space="preserve"> infrastructure</w:t>
            </w:r>
            <w:r>
              <w:rPr>
                <w:rFonts w:asciiTheme="majorBidi" w:hAnsiTheme="majorBidi" w:cstheme="majorBidi"/>
                <w:sz w:val="16"/>
                <w:szCs w:val="16"/>
                <w:lang w:bidi="fa-IR"/>
              </w:rPr>
              <w:t>.</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Green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[28]</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2010</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Etiologic of poor oral health amongst Aboriginal people in Australia</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discussion paper</w:t>
            </w:r>
          </w:p>
        </w:tc>
        <w:tc>
          <w:tcPr>
            <w:tcW w:w="4977" w:type="dxa"/>
          </w:tcPr>
          <w:p w:rsidR="00C01290" w:rsidRPr="00C11F46" w:rsidRDefault="00C01290" w:rsidP="00C01290">
            <w:pPr>
              <w:pStyle w:val="ListParagraph"/>
              <w:numPr>
                <w:ilvl w:val="0"/>
                <w:numId w:val="6"/>
              </w:numPr>
              <w:jc w:val="both"/>
              <w:rPr>
                <w:rFonts w:asciiTheme="majorBidi" w:hAnsiTheme="majorBidi" w:cstheme="majorBidi"/>
                <w:sz w:val="16"/>
                <w:szCs w:val="16"/>
                <w:lang w:bidi="fa-IR"/>
              </w:rPr>
            </w:pPr>
            <w:r w:rsidRPr="00C11F46">
              <w:rPr>
                <w:rFonts w:asciiTheme="majorBidi" w:hAnsiTheme="majorBidi" w:cstheme="majorBidi"/>
                <w:sz w:val="16"/>
                <w:szCs w:val="16"/>
                <w:lang w:bidi="fa-IR"/>
              </w:rPr>
              <w:t>The most effective interventions centre on water fluoridation and brushing education utilizing fluoride toothpaste that need adequate funding</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Irving</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[7]</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2017</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Oral health knowledge, attitudes and behaviour, accessibility of oral health services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Default="00C01290" w:rsidP="00C01290">
            <w:pPr>
              <w:pStyle w:val="ListParagraph"/>
              <w:numPr>
                <w:ilvl w:val="0"/>
                <w:numId w:val="7"/>
              </w:numPr>
              <w:jc w:val="both"/>
              <w:rPr>
                <w:rFonts w:asciiTheme="majorBidi" w:hAnsiTheme="majorBidi" w:cstheme="majorBidi"/>
                <w:sz w:val="16"/>
                <w:szCs w:val="16"/>
                <w:lang w:bidi="fa-IR"/>
              </w:rPr>
            </w:pPr>
            <w:r w:rsidRPr="009837C2">
              <w:rPr>
                <w:rFonts w:asciiTheme="majorBidi" w:hAnsiTheme="majorBidi" w:cstheme="majorBidi"/>
                <w:sz w:val="16"/>
                <w:szCs w:val="16"/>
                <w:lang w:bidi="fa-IR"/>
              </w:rPr>
              <w:t>All participants agreed that healthy teeth were important.</w:t>
            </w:r>
          </w:p>
          <w:p w:rsidR="00C01290" w:rsidRPr="009837C2" w:rsidRDefault="00C01290" w:rsidP="00C01290">
            <w:pPr>
              <w:pStyle w:val="ListParagraph"/>
              <w:numPr>
                <w:ilvl w:val="0"/>
                <w:numId w:val="7"/>
              </w:numPr>
              <w:jc w:val="both"/>
              <w:rPr>
                <w:rFonts w:asciiTheme="majorBidi" w:hAnsiTheme="majorBidi" w:cstheme="majorBidi"/>
                <w:sz w:val="16"/>
                <w:szCs w:val="16"/>
                <w:lang w:bidi="fa-IR"/>
              </w:rPr>
            </w:pPr>
            <w:r w:rsidRPr="009837C2">
              <w:rPr>
                <w:rFonts w:asciiTheme="majorBidi" w:hAnsiTheme="majorBidi" w:cstheme="majorBidi"/>
                <w:sz w:val="16"/>
                <w:szCs w:val="16"/>
                <w:lang w:bidi="fa-IR"/>
              </w:rPr>
              <w:t>Many thought oral disease leading to extraction was normal.</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Jones</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[29]</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2016</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self- reported factors contributing to Indigenous Australians' attendance and non-attendance at South Australian public dental clinics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 xml:space="preserve">Qualitative </w:t>
            </w:r>
          </w:p>
        </w:tc>
        <w:tc>
          <w:tcPr>
            <w:tcW w:w="4977" w:type="dxa"/>
          </w:tcPr>
          <w:p w:rsidR="00C01290" w:rsidRPr="00080DCC" w:rsidRDefault="00C01290" w:rsidP="00C01290">
            <w:pPr>
              <w:pStyle w:val="ListParagraph"/>
              <w:numPr>
                <w:ilvl w:val="0"/>
                <w:numId w:val="8"/>
              </w:numPr>
              <w:jc w:val="both"/>
              <w:rPr>
                <w:rFonts w:asciiTheme="majorBidi" w:hAnsiTheme="majorBidi" w:cstheme="majorBidi"/>
                <w:sz w:val="16"/>
                <w:szCs w:val="16"/>
                <w:lang w:bidi="fa-IR"/>
              </w:rPr>
            </w:pPr>
            <w:r w:rsidRPr="00080DCC">
              <w:rPr>
                <w:rFonts w:asciiTheme="majorBidi" w:hAnsiTheme="majorBidi" w:cstheme="majorBidi"/>
                <w:sz w:val="16"/>
                <w:szCs w:val="16"/>
                <w:lang w:bidi="fa-IR"/>
              </w:rPr>
              <w:t>Barriers include: Low self-efficacy, Low Health literacy, Fear of mistrust</w:t>
            </w:r>
          </w:p>
          <w:p w:rsidR="00C01290" w:rsidRPr="00080DCC" w:rsidRDefault="00C01290" w:rsidP="00AF14CB">
            <w:pPr>
              <w:ind w:left="326"/>
              <w:jc w:val="both"/>
              <w:rPr>
                <w:rFonts w:asciiTheme="majorBidi" w:hAnsiTheme="majorBidi" w:cstheme="majorBidi"/>
                <w:sz w:val="16"/>
                <w:szCs w:val="16"/>
                <w:lang w:bidi="fa-IR"/>
              </w:rPr>
            </w:pPr>
            <w:r w:rsidRPr="00080DCC">
              <w:rPr>
                <w:rFonts w:asciiTheme="majorBidi" w:hAnsiTheme="majorBidi" w:cstheme="majorBidi"/>
                <w:sz w:val="16"/>
                <w:szCs w:val="16"/>
                <w:lang w:bidi="fa-IR"/>
              </w:rPr>
              <w:t>Language barriers, Transport problems</w:t>
            </w:r>
          </w:p>
          <w:p w:rsidR="00C01290" w:rsidRPr="00DE7125" w:rsidRDefault="00C01290" w:rsidP="00AF14CB">
            <w:pPr>
              <w:spacing w:line="360" w:lineRule="auto"/>
              <w:jc w:val="center"/>
              <w:rPr>
                <w:rFonts w:asciiTheme="majorBidi" w:hAnsiTheme="majorBidi" w:cstheme="majorBidi"/>
                <w:sz w:val="20"/>
                <w:szCs w:val="20"/>
                <w:lang w:bidi="fa-IR"/>
              </w:rPr>
            </w:pPr>
          </w:p>
        </w:tc>
      </w:tr>
      <w:tr w:rsidR="00C01290" w:rsidRPr="00E4391D"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Parker</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[9]</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2010</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Associations between oral health literacy and oral health outcomes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E4391D" w:rsidRDefault="00C01290" w:rsidP="00C01290">
            <w:pPr>
              <w:pStyle w:val="ListParagraph"/>
              <w:numPr>
                <w:ilvl w:val="0"/>
                <w:numId w:val="8"/>
              </w:numPr>
              <w:jc w:val="both"/>
              <w:rPr>
                <w:rFonts w:asciiTheme="majorBidi" w:hAnsiTheme="majorBidi" w:cstheme="majorBidi"/>
                <w:sz w:val="16"/>
                <w:szCs w:val="16"/>
                <w:lang w:bidi="fa-IR"/>
              </w:rPr>
            </w:pPr>
            <w:r w:rsidRPr="00E4391D">
              <w:rPr>
                <w:rFonts w:asciiTheme="majorBidi" w:hAnsiTheme="majorBidi" w:cstheme="majorBidi"/>
                <w:sz w:val="16"/>
                <w:szCs w:val="16"/>
                <w:lang w:bidi="fa-IR"/>
              </w:rPr>
              <w:t>Oral health literacy was risk indicator for poor self-reported oral health outcomes.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Patel</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[30]</w:t>
            </w:r>
          </w:p>
        </w:tc>
        <w:tc>
          <w:tcPr>
            <w:tcW w:w="718" w:type="dxa"/>
          </w:tcPr>
          <w:p w:rsidR="00C01290" w:rsidRPr="00E744C4" w:rsidRDefault="00C01290" w:rsidP="00AF14CB">
            <w:pPr>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2017</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Oral health interventions in Australian Aboriginal communities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 xml:space="preserve">Review </w:t>
            </w:r>
          </w:p>
        </w:tc>
        <w:tc>
          <w:tcPr>
            <w:tcW w:w="4977" w:type="dxa"/>
          </w:tcPr>
          <w:p w:rsidR="00C01290" w:rsidRDefault="00C01290" w:rsidP="00C01290">
            <w:pPr>
              <w:pStyle w:val="ListParagraph"/>
              <w:numPr>
                <w:ilvl w:val="0"/>
                <w:numId w:val="8"/>
              </w:numPr>
              <w:jc w:val="both"/>
              <w:rPr>
                <w:rFonts w:asciiTheme="majorBidi" w:hAnsiTheme="majorBidi" w:cstheme="majorBidi"/>
                <w:sz w:val="16"/>
                <w:szCs w:val="16"/>
                <w:lang w:bidi="fa-IR"/>
              </w:rPr>
            </w:pPr>
            <w:r w:rsidRPr="00DA4471">
              <w:rPr>
                <w:rFonts w:asciiTheme="majorBidi" w:hAnsiTheme="majorBidi" w:cstheme="majorBidi"/>
                <w:sz w:val="16"/>
                <w:szCs w:val="16"/>
                <w:lang w:bidi="fa-IR"/>
              </w:rPr>
              <w:t>Interventions include programs that aimed to reduce early childhood caries, increase services to remote communities, develop the role of Aboriginal health workers, improve oral health literacy, establish water fluoridation and provide periodontal therapy.</w:t>
            </w:r>
          </w:p>
          <w:p w:rsidR="00C01290" w:rsidRPr="00DA4471" w:rsidRDefault="00C01290" w:rsidP="00C01290">
            <w:pPr>
              <w:pStyle w:val="ListParagraph"/>
              <w:numPr>
                <w:ilvl w:val="0"/>
                <w:numId w:val="8"/>
              </w:numPr>
              <w:jc w:val="both"/>
              <w:rPr>
                <w:rFonts w:asciiTheme="majorBidi" w:hAnsiTheme="majorBidi" w:cstheme="majorBidi"/>
                <w:sz w:val="16"/>
                <w:szCs w:val="16"/>
                <w:lang w:bidi="fa-IR"/>
              </w:rPr>
            </w:pPr>
            <w:r w:rsidRPr="00AE2806">
              <w:rPr>
                <w:rFonts w:asciiTheme="majorBidi" w:hAnsiTheme="majorBidi" w:cstheme="majorBidi"/>
                <w:sz w:val="16"/>
                <w:szCs w:val="16"/>
                <w:lang w:bidi="fa-IR"/>
              </w:rPr>
              <w:t>Implementing successful oral health interventions in Aboriginal communities is a challenge that is compounded by the complex interplay between psychosocial and cultural determinants.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proofErr w:type="spellStart"/>
            <w:r w:rsidRPr="00E744C4">
              <w:rPr>
                <w:rFonts w:asciiTheme="majorBidi" w:hAnsiTheme="majorBidi" w:cstheme="majorBidi"/>
                <w:color w:val="000000" w:themeColor="text1"/>
                <w:sz w:val="18"/>
                <w:szCs w:val="18"/>
              </w:rPr>
              <w:lastRenderedPageBreak/>
              <w:t>Schluter</w:t>
            </w:r>
            <w:proofErr w:type="spellEnd"/>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[31]</w:t>
            </w:r>
          </w:p>
        </w:tc>
        <w:tc>
          <w:tcPr>
            <w:tcW w:w="718" w:type="dxa"/>
          </w:tcPr>
          <w:p w:rsidR="00C01290" w:rsidRPr="00E744C4" w:rsidRDefault="00C01290" w:rsidP="00AF14CB">
            <w:pPr>
              <w:spacing w:line="360" w:lineRule="auto"/>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2017</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Self-reported oral health behaviours, and impact.</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2B1C32" w:rsidRDefault="00C01290" w:rsidP="00C01290">
            <w:pPr>
              <w:pStyle w:val="ListParagraph"/>
              <w:numPr>
                <w:ilvl w:val="0"/>
                <w:numId w:val="9"/>
              </w:numPr>
              <w:jc w:val="both"/>
              <w:rPr>
                <w:rFonts w:asciiTheme="majorBidi" w:hAnsiTheme="majorBidi" w:cstheme="majorBidi"/>
                <w:sz w:val="16"/>
                <w:szCs w:val="16"/>
                <w:lang w:bidi="fa-IR"/>
              </w:rPr>
            </w:pPr>
            <w:r w:rsidRPr="002B1C32">
              <w:rPr>
                <w:rFonts w:asciiTheme="majorBidi" w:hAnsiTheme="majorBidi" w:cstheme="majorBidi"/>
                <w:sz w:val="16"/>
                <w:szCs w:val="16"/>
                <w:lang w:bidi="fa-IR"/>
              </w:rPr>
              <w:t>Cost is likely to be a significant barrier.</w:t>
            </w:r>
          </w:p>
          <w:p w:rsidR="00C01290" w:rsidRPr="002B1C32" w:rsidRDefault="00C01290" w:rsidP="00C01290">
            <w:pPr>
              <w:pStyle w:val="ListParagraph"/>
              <w:numPr>
                <w:ilvl w:val="0"/>
                <w:numId w:val="9"/>
              </w:numPr>
              <w:jc w:val="both"/>
              <w:rPr>
                <w:rFonts w:asciiTheme="majorBidi" w:hAnsiTheme="majorBidi" w:cstheme="majorBidi"/>
                <w:sz w:val="16"/>
                <w:szCs w:val="16"/>
                <w:lang w:bidi="fa-IR"/>
              </w:rPr>
            </w:pPr>
            <w:r w:rsidRPr="002B1C32">
              <w:rPr>
                <w:rFonts w:asciiTheme="majorBidi" w:hAnsiTheme="majorBidi" w:cstheme="majorBidi"/>
                <w:sz w:val="16"/>
                <w:szCs w:val="16"/>
                <w:lang w:bidi="fa-IR"/>
              </w:rPr>
              <w:t>Availability and access to culturally appropriate services is likely to be a significant contributor.</w:t>
            </w:r>
          </w:p>
          <w:p w:rsidR="00C01290" w:rsidRPr="002B1C32" w:rsidRDefault="00C01290" w:rsidP="00C01290">
            <w:pPr>
              <w:pStyle w:val="ListParagraph"/>
              <w:numPr>
                <w:ilvl w:val="0"/>
                <w:numId w:val="9"/>
              </w:numPr>
              <w:jc w:val="both"/>
              <w:rPr>
                <w:rFonts w:asciiTheme="majorBidi" w:hAnsiTheme="majorBidi" w:cstheme="majorBidi"/>
                <w:sz w:val="16"/>
                <w:szCs w:val="16"/>
                <w:lang w:bidi="fa-IR"/>
              </w:rPr>
            </w:pPr>
            <w:r w:rsidRPr="002B1C32">
              <w:rPr>
                <w:rFonts w:asciiTheme="majorBidi" w:hAnsiTheme="majorBidi" w:cstheme="majorBidi"/>
                <w:sz w:val="16"/>
                <w:szCs w:val="16"/>
                <w:lang w:bidi="fa-IR"/>
              </w:rPr>
              <w:t>Integration of the health care system, with dental services co‐located on‐site with other primary</w:t>
            </w:r>
            <w:r w:rsidRPr="00EC6DCF">
              <w:rPr>
                <w:rFonts w:cstheme="minorHAnsi"/>
                <w:color w:val="000000" w:themeColor="text1"/>
                <w:sz w:val="20"/>
                <w:szCs w:val="20"/>
              </w:rPr>
              <w:t xml:space="preserve"> </w:t>
            </w:r>
            <w:r w:rsidRPr="002B1C32">
              <w:rPr>
                <w:rFonts w:asciiTheme="majorBidi" w:hAnsiTheme="majorBidi" w:cstheme="majorBidi"/>
                <w:sz w:val="16"/>
                <w:szCs w:val="16"/>
                <w:lang w:bidi="fa-IR"/>
              </w:rPr>
              <w:t>health services is seen as ideal.</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Slater</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[32]</w:t>
            </w:r>
          </w:p>
        </w:tc>
        <w:tc>
          <w:tcPr>
            <w:tcW w:w="718" w:type="dxa"/>
          </w:tcPr>
          <w:p w:rsidR="00C01290" w:rsidRPr="00E744C4" w:rsidRDefault="00C01290" w:rsidP="00AF14CB">
            <w:pPr>
              <w:spacing w:line="360" w:lineRule="auto"/>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2001</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Pattern of access to public oral health care by indigenous status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561C3F" w:rsidRDefault="00C01290" w:rsidP="00C01290">
            <w:pPr>
              <w:pStyle w:val="ListParagraph"/>
              <w:numPr>
                <w:ilvl w:val="0"/>
                <w:numId w:val="10"/>
              </w:numPr>
              <w:jc w:val="both"/>
              <w:rPr>
                <w:rFonts w:asciiTheme="majorBidi" w:hAnsiTheme="majorBidi" w:cstheme="majorBidi"/>
                <w:sz w:val="20"/>
                <w:szCs w:val="20"/>
                <w:lang w:bidi="fa-IR"/>
              </w:rPr>
            </w:pPr>
            <w:r w:rsidRPr="00561C3F">
              <w:rPr>
                <w:rFonts w:asciiTheme="majorBidi" w:hAnsiTheme="majorBidi" w:cstheme="majorBidi"/>
                <w:sz w:val="16"/>
                <w:szCs w:val="16"/>
                <w:lang w:bidi="fa-IR"/>
              </w:rPr>
              <w:t>Indigenous people were more likely to attend dental clinics when a problem with pain existed, resulting in a high need for emergency services, more diagnoses of dental caries, and treatment more often involving oral surgery.</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Smith</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[33]</w:t>
            </w:r>
          </w:p>
        </w:tc>
        <w:tc>
          <w:tcPr>
            <w:tcW w:w="718" w:type="dxa"/>
          </w:tcPr>
          <w:p w:rsidR="00C01290" w:rsidRPr="00E744C4" w:rsidRDefault="00C01290" w:rsidP="00AF14CB">
            <w:pPr>
              <w:spacing w:line="360" w:lineRule="auto"/>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2007</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Oral health in rural and remote Western Australian Indigenous communities</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C866E2">
              <w:rPr>
                <w:rFonts w:asciiTheme="majorBidi" w:hAnsiTheme="majorBidi" w:cstheme="majorBidi"/>
                <w:sz w:val="16"/>
                <w:szCs w:val="16"/>
                <w:lang w:bidi="fa-IR"/>
              </w:rPr>
              <w:t>Aboriginal oral health, both as stand-alone, and as part of a multifactorial risk factor approach where oral health is integral to general health activities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Tynan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[8]</w:t>
            </w:r>
          </w:p>
        </w:tc>
        <w:tc>
          <w:tcPr>
            <w:tcW w:w="718" w:type="dxa"/>
          </w:tcPr>
          <w:p w:rsidR="00C01290" w:rsidRPr="00E744C4" w:rsidRDefault="00C01290" w:rsidP="00AF14CB">
            <w:pPr>
              <w:spacing w:line="360" w:lineRule="auto"/>
              <w:jc w:val="center"/>
              <w:rPr>
                <w:rFonts w:asciiTheme="majorBidi" w:hAnsiTheme="majorBidi" w:cstheme="majorBidi"/>
                <w:sz w:val="18"/>
                <w:szCs w:val="18"/>
                <w:lang w:bidi="fa-IR"/>
              </w:rPr>
            </w:pPr>
            <w:r w:rsidRPr="00E744C4">
              <w:rPr>
                <w:rFonts w:asciiTheme="majorBidi" w:hAnsiTheme="majorBidi" w:cstheme="majorBidi"/>
                <w:sz w:val="18"/>
                <w:szCs w:val="18"/>
                <w:lang w:bidi="fa-IR"/>
              </w:rPr>
              <w:t>2020</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Perceived importance of oral health within a rural Aboriginal</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Qualitative</w:t>
            </w:r>
          </w:p>
        </w:tc>
        <w:tc>
          <w:tcPr>
            <w:tcW w:w="4977" w:type="dxa"/>
          </w:tcPr>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9A6656">
              <w:rPr>
                <w:rFonts w:asciiTheme="majorBidi" w:hAnsiTheme="majorBidi" w:cstheme="majorBidi"/>
                <w:sz w:val="16"/>
                <w:szCs w:val="16"/>
                <w:lang w:bidi="fa-IR"/>
              </w:rPr>
              <w:t>the perceived severity of symptoms of oral disease such as pain experienced due to tooth ache; lack of enabling resources such as access to finance and transport; the social impact of oral disease on individuals including impact on their personal appearance and self-esteem; and health beliefs including oral health awareness.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Jamieson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[34]</w:t>
            </w:r>
          </w:p>
        </w:tc>
        <w:tc>
          <w:tcPr>
            <w:tcW w:w="718" w:type="dxa"/>
          </w:tcPr>
          <w:p w:rsidR="00C01290" w:rsidRPr="00E744C4" w:rsidRDefault="00C01290" w:rsidP="00AF14CB">
            <w:pPr>
              <w:spacing w:line="360" w:lineRule="auto"/>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2014</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Association between elf-efficacy and self-rated oral health</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547B84">
              <w:rPr>
                <w:rFonts w:asciiTheme="majorBidi" w:hAnsiTheme="majorBidi" w:cstheme="majorBidi"/>
                <w:sz w:val="16"/>
                <w:szCs w:val="16"/>
                <w:lang w:bidi="fa-IR"/>
              </w:rPr>
              <w:t>Low self-efficacy persisted as a risk indicator for poor self-rated oral health after adjusting for confounding among pregnant aboriginal Australian women.</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Jones</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[35]</w:t>
            </w:r>
          </w:p>
        </w:tc>
        <w:tc>
          <w:tcPr>
            <w:tcW w:w="718" w:type="dxa"/>
          </w:tcPr>
          <w:p w:rsidR="00C01290" w:rsidRPr="00E744C4" w:rsidRDefault="00C01290" w:rsidP="00AF14CB">
            <w:pPr>
              <w:spacing w:line="360" w:lineRule="auto"/>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2014</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Access, literacy and behavioural correlates of poor self-rated</w:t>
            </w:r>
          </w:p>
          <w:p w:rsidR="00C01290" w:rsidRPr="00E744C4" w:rsidRDefault="00C01290" w:rsidP="00AF14CB">
            <w:pPr>
              <w:spacing w:line="360" w:lineRule="auto"/>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oral health</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FA179C">
              <w:rPr>
                <w:rFonts w:asciiTheme="majorBidi" w:hAnsiTheme="majorBidi" w:cstheme="majorBidi"/>
                <w:sz w:val="16"/>
                <w:szCs w:val="16"/>
                <w:lang w:bidi="fa-IR"/>
              </w:rPr>
              <w:t>being aged 38+ years, holding a Government Health Concession card, avoiding the dentist due to financial constraints, not knowing how to make an emergency dental visit,  and poor understanding of the prevention of dental disease</w:t>
            </w:r>
          </w:p>
        </w:tc>
      </w:tr>
      <w:tr w:rsidR="00C01290" w:rsidTr="00AF14CB">
        <w:trPr>
          <w:trHeight w:val="305"/>
        </w:trPr>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Parker</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[36]</w:t>
            </w:r>
          </w:p>
        </w:tc>
        <w:tc>
          <w:tcPr>
            <w:tcW w:w="718" w:type="dxa"/>
          </w:tcPr>
          <w:p w:rsidR="00C01290" w:rsidRPr="00E744C4" w:rsidRDefault="00C01290" w:rsidP="00AF14CB">
            <w:pPr>
              <w:spacing w:line="360" w:lineRule="auto"/>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2012</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 xml:space="preserve">Oral health needs of aboriginal children </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Qualitative</w:t>
            </w:r>
          </w:p>
        </w:tc>
        <w:tc>
          <w:tcPr>
            <w:tcW w:w="4977" w:type="dxa"/>
          </w:tcPr>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Difficulty contacting patients.</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High rate of failure to attend appointments.</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Attendance patterns.</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Consent issues.</w:t>
            </w:r>
          </w:p>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312460">
              <w:rPr>
                <w:rFonts w:asciiTheme="majorBidi" w:hAnsiTheme="majorBidi" w:cstheme="majorBidi"/>
                <w:sz w:val="16"/>
                <w:szCs w:val="16"/>
                <w:lang w:bidi="fa-IR"/>
              </w:rPr>
              <w:t>Difficulty communicating with parents and guardians.</w:t>
            </w:r>
          </w:p>
        </w:tc>
      </w:tr>
      <w:tr w:rsidR="00C0129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Williams</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[37]</w:t>
            </w:r>
          </w:p>
        </w:tc>
        <w:tc>
          <w:tcPr>
            <w:tcW w:w="718" w:type="dxa"/>
          </w:tcPr>
          <w:p w:rsidR="00C01290" w:rsidRPr="00E744C4" w:rsidRDefault="00C01290" w:rsidP="00AF14CB">
            <w:pPr>
              <w:spacing w:line="360" w:lineRule="auto"/>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2011</w:t>
            </w:r>
          </w:p>
        </w:tc>
        <w:tc>
          <w:tcPr>
            <w:tcW w:w="2835" w:type="dxa"/>
          </w:tcPr>
          <w:p w:rsidR="00C01290" w:rsidRPr="00E744C4" w:rsidRDefault="00C01290" w:rsidP="00AF14CB">
            <w:pPr>
              <w:jc w:val="both"/>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Barriers to good oral health among Indigenous people</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 xml:space="preserve">Review </w:t>
            </w:r>
          </w:p>
        </w:tc>
        <w:tc>
          <w:tcPr>
            <w:tcW w:w="4977" w:type="dxa"/>
          </w:tcPr>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Geographic barriers in accessing oral health services. One of these barriers includes having to travel long distances.</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Diet.</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Water fluoridation.</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Living conditions.</w:t>
            </w:r>
          </w:p>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Oral hygiene.</w:t>
            </w:r>
          </w:p>
          <w:p w:rsidR="00C01290" w:rsidRPr="00DE7125" w:rsidRDefault="00C01290" w:rsidP="00C01290">
            <w:pPr>
              <w:pStyle w:val="ListParagraph"/>
              <w:numPr>
                <w:ilvl w:val="0"/>
                <w:numId w:val="10"/>
              </w:numPr>
              <w:jc w:val="both"/>
              <w:rPr>
                <w:rFonts w:asciiTheme="majorBidi" w:hAnsiTheme="majorBidi" w:cstheme="majorBidi"/>
                <w:sz w:val="20"/>
                <w:szCs w:val="20"/>
                <w:lang w:bidi="fa-IR"/>
              </w:rPr>
            </w:pPr>
            <w:r w:rsidRPr="00312460">
              <w:rPr>
                <w:rFonts w:asciiTheme="majorBidi" w:hAnsiTheme="majorBidi" w:cstheme="majorBidi"/>
                <w:sz w:val="16"/>
                <w:szCs w:val="16"/>
                <w:lang w:bidi="fa-IR"/>
              </w:rPr>
              <w:t>Costly oral health services</w:t>
            </w:r>
          </w:p>
        </w:tc>
      </w:tr>
      <w:tr w:rsidR="00C01290" w:rsidRPr="00312460" w:rsidTr="00AF14CB">
        <w:tc>
          <w:tcPr>
            <w:tcW w:w="1267" w:type="dxa"/>
          </w:tcPr>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Jamieson</w:t>
            </w:r>
          </w:p>
          <w:p w:rsidR="00C01290" w:rsidRPr="00E744C4" w:rsidRDefault="00C01290" w:rsidP="00AF14CB">
            <w:pPr>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[38]</w:t>
            </w:r>
          </w:p>
        </w:tc>
        <w:tc>
          <w:tcPr>
            <w:tcW w:w="718" w:type="dxa"/>
          </w:tcPr>
          <w:p w:rsidR="00C01290" w:rsidRPr="00E744C4" w:rsidRDefault="00C01290" w:rsidP="00AF14CB">
            <w:pPr>
              <w:spacing w:line="360" w:lineRule="auto"/>
              <w:jc w:val="center"/>
              <w:rPr>
                <w:rFonts w:asciiTheme="majorBidi" w:hAnsiTheme="majorBidi" w:cstheme="majorBidi"/>
                <w:color w:val="000000" w:themeColor="text1"/>
                <w:sz w:val="18"/>
                <w:szCs w:val="18"/>
              </w:rPr>
            </w:pPr>
            <w:r w:rsidRPr="00E744C4">
              <w:rPr>
                <w:rFonts w:asciiTheme="majorBidi" w:hAnsiTheme="majorBidi" w:cstheme="majorBidi"/>
                <w:color w:val="000000" w:themeColor="text1"/>
                <w:sz w:val="18"/>
                <w:szCs w:val="18"/>
              </w:rPr>
              <w:t>2006</w:t>
            </w:r>
          </w:p>
        </w:tc>
        <w:tc>
          <w:tcPr>
            <w:tcW w:w="2835" w:type="dxa"/>
          </w:tcPr>
          <w:p w:rsidR="00C01290" w:rsidRPr="00E744C4" w:rsidRDefault="00C01290" w:rsidP="00AF14CB">
            <w:pPr>
              <w:jc w:val="both"/>
              <w:rPr>
                <w:rFonts w:asciiTheme="majorBidi" w:hAnsiTheme="majorBidi" w:cstheme="majorBidi"/>
                <w:sz w:val="18"/>
                <w:szCs w:val="18"/>
                <w:lang w:bidi="fa-IR"/>
              </w:rPr>
            </w:pPr>
            <w:r w:rsidRPr="00E744C4">
              <w:rPr>
                <w:rFonts w:asciiTheme="majorBidi" w:hAnsiTheme="majorBidi" w:cstheme="majorBidi"/>
                <w:color w:val="000000" w:themeColor="text1"/>
                <w:sz w:val="18"/>
                <w:szCs w:val="18"/>
              </w:rPr>
              <w:t>role of location in Indigenous and non</w:t>
            </w:r>
            <w:r w:rsidRPr="00E744C4">
              <w:rPr>
                <w:rFonts w:ascii="Cambria Math" w:hAnsi="Cambria Math" w:cs="Cambria Math"/>
                <w:color w:val="000000" w:themeColor="text1"/>
                <w:sz w:val="18"/>
                <w:szCs w:val="18"/>
              </w:rPr>
              <w:t>‐</w:t>
            </w:r>
            <w:r w:rsidRPr="00E744C4">
              <w:rPr>
                <w:rFonts w:asciiTheme="majorBidi" w:hAnsiTheme="majorBidi" w:cstheme="majorBidi"/>
                <w:color w:val="000000" w:themeColor="text1"/>
                <w:sz w:val="18"/>
                <w:szCs w:val="18"/>
              </w:rPr>
              <w:t>Indigenous child oral health</w:t>
            </w:r>
          </w:p>
        </w:tc>
        <w:tc>
          <w:tcPr>
            <w:tcW w:w="1417" w:type="dxa"/>
          </w:tcPr>
          <w:p w:rsidR="00C01290" w:rsidRPr="00DE7125" w:rsidRDefault="00C01290" w:rsidP="00AF14CB">
            <w:pPr>
              <w:jc w:val="center"/>
              <w:rPr>
                <w:rFonts w:asciiTheme="majorBidi" w:hAnsiTheme="majorBidi" w:cstheme="majorBidi"/>
                <w:sz w:val="20"/>
                <w:szCs w:val="20"/>
                <w:lang w:bidi="fa-IR"/>
              </w:rPr>
            </w:pPr>
            <w:r w:rsidRPr="00236D6F">
              <w:rPr>
                <w:rFonts w:asciiTheme="majorBidi" w:hAnsiTheme="majorBidi" w:cstheme="majorBidi"/>
                <w:sz w:val="20"/>
                <w:szCs w:val="20"/>
                <w:lang w:bidi="fa-IR"/>
              </w:rPr>
              <w:t>Quantitative</w:t>
            </w:r>
          </w:p>
        </w:tc>
        <w:tc>
          <w:tcPr>
            <w:tcW w:w="4977" w:type="dxa"/>
          </w:tcPr>
          <w:p w:rsidR="00C01290" w:rsidRPr="00312460" w:rsidRDefault="00C01290" w:rsidP="00C01290">
            <w:pPr>
              <w:pStyle w:val="ListParagraph"/>
              <w:numPr>
                <w:ilvl w:val="0"/>
                <w:numId w:val="10"/>
              </w:numPr>
              <w:jc w:val="both"/>
              <w:rPr>
                <w:rFonts w:asciiTheme="majorBidi" w:hAnsiTheme="majorBidi" w:cstheme="majorBidi"/>
                <w:sz w:val="16"/>
                <w:szCs w:val="16"/>
                <w:lang w:bidi="fa-IR"/>
              </w:rPr>
            </w:pPr>
            <w:r w:rsidRPr="00312460">
              <w:rPr>
                <w:rFonts w:asciiTheme="majorBidi" w:hAnsiTheme="majorBidi" w:cstheme="majorBidi"/>
                <w:sz w:val="16"/>
                <w:szCs w:val="16"/>
                <w:lang w:bidi="fa-IR"/>
              </w:rPr>
              <w:t>Living in a rural location exhibited the strongest Association with poor oral health outcomes for young Indigenous children</w:t>
            </w:r>
          </w:p>
        </w:tc>
      </w:tr>
      <w:tr w:rsidR="00C01290" w:rsidRPr="00312460" w:rsidTr="00AF14CB">
        <w:tc>
          <w:tcPr>
            <w:tcW w:w="1267" w:type="dxa"/>
          </w:tcPr>
          <w:p w:rsidR="00C01290" w:rsidRPr="00C00F96" w:rsidRDefault="00C01290" w:rsidP="00AF14CB">
            <w:pPr>
              <w:jc w:val="center"/>
              <w:rPr>
                <w:rFonts w:asciiTheme="majorBidi" w:hAnsiTheme="majorBidi" w:cstheme="majorBidi"/>
                <w:color w:val="000000" w:themeColor="text1"/>
                <w:sz w:val="18"/>
                <w:szCs w:val="18"/>
                <w:highlight w:val="yellow"/>
              </w:rPr>
            </w:pPr>
            <w:r w:rsidRPr="00C00F96">
              <w:rPr>
                <w:rFonts w:asciiTheme="majorBidi" w:hAnsiTheme="majorBidi" w:cstheme="majorBidi"/>
                <w:color w:val="000000" w:themeColor="text1"/>
                <w:sz w:val="18"/>
                <w:szCs w:val="18"/>
                <w:highlight w:val="yellow"/>
              </w:rPr>
              <w:t>Kruger</w:t>
            </w:r>
          </w:p>
          <w:p w:rsidR="00C01290" w:rsidRPr="00C00F96" w:rsidRDefault="00C01290" w:rsidP="00AF14CB">
            <w:pPr>
              <w:jc w:val="center"/>
              <w:rPr>
                <w:rFonts w:asciiTheme="majorBidi" w:hAnsiTheme="majorBidi" w:cstheme="majorBidi"/>
                <w:color w:val="000000" w:themeColor="text1"/>
                <w:sz w:val="18"/>
                <w:szCs w:val="18"/>
                <w:highlight w:val="yellow"/>
              </w:rPr>
            </w:pPr>
            <w:r w:rsidRPr="00C00F96">
              <w:rPr>
                <w:rFonts w:asciiTheme="majorBidi" w:hAnsiTheme="majorBidi" w:cstheme="majorBidi"/>
                <w:color w:val="000000" w:themeColor="text1"/>
                <w:sz w:val="18"/>
                <w:szCs w:val="18"/>
                <w:highlight w:val="yellow"/>
              </w:rPr>
              <w:t>[39]</w:t>
            </w:r>
          </w:p>
        </w:tc>
        <w:tc>
          <w:tcPr>
            <w:tcW w:w="718" w:type="dxa"/>
          </w:tcPr>
          <w:p w:rsidR="00C01290" w:rsidRPr="00C00F96" w:rsidRDefault="00C01290" w:rsidP="00AF14CB">
            <w:pPr>
              <w:spacing w:line="360" w:lineRule="auto"/>
              <w:jc w:val="center"/>
              <w:rPr>
                <w:rFonts w:asciiTheme="majorBidi" w:hAnsiTheme="majorBidi" w:cstheme="majorBidi"/>
                <w:color w:val="000000" w:themeColor="text1"/>
                <w:sz w:val="18"/>
                <w:szCs w:val="18"/>
                <w:highlight w:val="yellow"/>
              </w:rPr>
            </w:pPr>
            <w:r w:rsidRPr="00C00F96">
              <w:rPr>
                <w:rFonts w:asciiTheme="majorBidi" w:hAnsiTheme="majorBidi" w:cstheme="majorBidi"/>
                <w:color w:val="000000" w:themeColor="text1"/>
                <w:sz w:val="18"/>
                <w:szCs w:val="18"/>
                <w:highlight w:val="yellow"/>
              </w:rPr>
              <w:t>2008</w:t>
            </w:r>
          </w:p>
        </w:tc>
        <w:tc>
          <w:tcPr>
            <w:tcW w:w="2835" w:type="dxa"/>
          </w:tcPr>
          <w:p w:rsidR="00C01290" w:rsidRPr="00C00F96" w:rsidRDefault="00C01290" w:rsidP="00AF14CB">
            <w:pPr>
              <w:jc w:val="both"/>
              <w:rPr>
                <w:rFonts w:asciiTheme="majorBidi" w:hAnsiTheme="majorBidi" w:cstheme="majorBidi"/>
                <w:color w:val="000000" w:themeColor="text1"/>
                <w:sz w:val="18"/>
                <w:szCs w:val="18"/>
                <w:highlight w:val="yellow"/>
              </w:rPr>
            </w:pPr>
            <w:r w:rsidRPr="00AB5350">
              <w:rPr>
                <w:rFonts w:asciiTheme="majorBidi" w:hAnsiTheme="majorBidi" w:cstheme="majorBidi"/>
                <w:color w:val="000000" w:themeColor="text1"/>
                <w:sz w:val="18"/>
                <w:szCs w:val="18"/>
                <w:highlight w:val="yellow"/>
              </w:rPr>
              <w:t>assessing the oral health status and needs in a</w:t>
            </w:r>
            <w:r>
              <w:rPr>
                <w:rFonts w:asciiTheme="majorBidi" w:hAnsiTheme="majorBidi" w:cstheme="majorBidi"/>
                <w:color w:val="000000" w:themeColor="text1"/>
                <w:sz w:val="18"/>
                <w:szCs w:val="18"/>
                <w:highlight w:val="yellow"/>
              </w:rPr>
              <w:t>n</w:t>
            </w:r>
            <w:r w:rsidRPr="00AB5350">
              <w:rPr>
                <w:rFonts w:asciiTheme="majorBidi" w:hAnsiTheme="majorBidi" w:cstheme="majorBidi"/>
                <w:color w:val="000000" w:themeColor="text1"/>
                <w:sz w:val="18"/>
                <w:szCs w:val="18"/>
                <w:highlight w:val="yellow"/>
              </w:rPr>
              <w:t xml:space="preserve"> adult residents </w:t>
            </w:r>
            <w:r>
              <w:rPr>
                <w:rFonts w:asciiTheme="majorBidi" w:hAnsiTheme="majorBidi" w:cstheme="majorBidi"/>
                <w:color w:val="000000" w:themeColor="text1"/>
                <w:sz w:val="18"/>
                <w:szCs w:val="18"/>
                <w:highlight w:val="yellow"/>
              </w:rPr>
              <w:t xml:space="preserve">sample </w:t>
            </w:r>
            <w:r w:rsidRPr="00AB5350">
              <w:rPr>
                <w:rFonts w:asciiTheme="majorBidi" w:hAnsiTheme="majorBidi" w:cstheme="majorBidi"/>
                <w:color w:val="000000" w:themeColor="text1"/>
                <w:sz w:val="18"/>
                <w:szCs w:val="18"/>
                <w:highlight w:val="yellow"/>
              </w:rPr>
              <w:t>selected</w:t>
            </w:r>
            <w:r>
              <w:rPr>
                <w:rFonts w:asciiTheme="majorBidi" w:hAnsiTheme="majorBidi" w:cstheme="majorBidi"/>
                <w:color w:val="000000" w:themeColor="text1"/>
                <w:sz w:val="18"/>
                <w:szCs w:val="18"/>
                <w:highlight w:val="yellow"/>
              </w:rPr>
              <w:t xml:space="preserve"> from the</w:t>
            </w:r>
            <w:r w:rsidRPr="00AB5350">
              <w:rPr>
                <w:rFonts w:asciiTheme="majorBidi" w:hAnsiTheme="majorBidi" w:cstheme="majorBidi"/>
                <w:color w:val="000000" w:themeColor="text1"/>
                <w:sz w:val="18"/>
                <w:szCs w:val="18"/>
                <w:highlight w:val="yellow"/>
              </w:rPr>
              <w:t xml:space="preserve"> towns and remote communities among the Kimberley region of North-west Australia</w:t>
            </w:r>
          </w:p>
        </w:tc>
        <w:tc>
          <w:tcPr>
            <w:tcW w:w="1417" w:type="dxa"/>
          </w:tcPr>
          <w:p w:rsidR="00C01290" w:rsidRPr="00C00F96" w:rsidRDefault="00C01290" w:rsidP="00AF14CB">
            <w:pPr>
              <w:jc w:val="center"/>
              <w:rPr>
                <w:rFonts w:asciiTheme="majorBidi" w:hAnsiTheme="majorBidi" w:cstheme="majorBidi"/>
                <w:sz w:val="20"/>
                <w:szCs w:val="20"/>
                <w:highlight w:val="yellow"/>
                <w:lang w:bidi="fa-IR"/>
              </w:rPr>
            </w:pPr>
            <w:r w:rsidRPr="00C00F96">
              <w:rPr>
                <w:rFonts w:asciiTheme="majorBidi" w:hAnsiTheme="majorBidi" w:cstheme="majorBidi"/>
                <w:sz w:val="20"/>
                <w:szCs w:val="20"/>
                <w:highlight w:val="yellow"/>
                <w:lang w:bidi="fa-IR"/>
              </w:rPr>
              <w:t>Quantitative</w:t>
            </w:r>
          </w:p>
        </w:tc>
        <w:tc>
          <w:tcPr>
            <w:tcW w:w="4977" w:type="dxa"/>
          </w:tcPr>
          <w:p w:rsidR="00C01290" w:rsidRPr="000C0F1B" w:rsidRDefault="00C01290" w:rsidP="00C01290">
            <w:pPr>
              <w:pStyle w:val="ListParagraph"/>
              <w:numPr>
                <w:ilvl w:val="0"/>
                <w:numId w:val="10"/>
              </w:numPr>
              <w:jc w:val="both"/>
              <w:rPr>
                <w:rFonts w:asciiTheme="majorBidi" w:hAnsiTheme="majorBidi" w:cstheme="majorBidi"/>
                <w:sz w:val="16"/>
                <w:szCs w:val="16"/>
                <w:lang w:bidi="fa-IR"/>
              </w:rPr>
            </w:pPr>
            <w:r w:rsidRPr="000C0F1B">
              <w:rPr>
                <w:rFonts w:asciiTheme="majorBidi" w:hAnsiTheme="majorBidi" w:cstheme="majorBidi"/>
                <w:color w:val="000000" w:themeColor="text1"/>
                <w:sz w:val="20"/>
                <w:szCs w:val="20"/>
                <w:highlight w:val="yellow"/>
              </w:rPr>
              <w:t>Dental history and previous dental health status</w:t>
            </w:r>
          </w:p>
          <w:p w:rsidR="00C01290" w:rsidRPr="000C0F1B" w:rsidRDefault="00C01290" w:rsidP="00C01290">
            <w:pPr>
              <w:pStyle w:val="ListParagraph"/>
              <w:numPr>
                <w:ilvl w:val="0"/>
                <w:numId w:val="10"/>
              </w:numPr>
              <w:jc w:val="both"/>
              <w:rPr>
                <w:rFonts w:asciiTheme="majorBidi" w:hAnsiTheme="majorBidi" w:cstheme="majorBidi"/>
                <w:color w:val="000000" w:themeColor="text1"/>
                <w:sz w:val="20"/>
                <w:szCs w:val="20"/>
                <w:highlight w:val="yellow"/>
              </w:rPr>
            </w:pPr>
            <w:r w:rsidRPr="000C0F1B">
              <w:rPr>
                <w:rFonts w:asciiTheme="majorBidi" w:hAnsiTheme="majorBidi" w:cstheme="majorBidi"/>
                <w:color w:val="000000" w:themeColor="text1"/>
                <w:sz w:val="20"/>
                <w:szCs w:val="20"/>
                <w:highlight w:val="yellow"/>
              </w:rPr>
              <w:t>Poor status of oral health and high treatment needs in rural and remote Indigenous communities</w:t>
            </w:r>
            <w:r w:rsidRPr="000C0F1B">
              <w:rPr>
                <w:highlight w:val="yellow"/>
              </w:rPr>
              <w:t xml:space="preserve"> </w:t>
            </w:r>
          </w:p>
          <w:p w:rsidR="00C01290" w:rsidRPr="000C0F1B" w:rsidRDefault="00C01290" w:rsidP="00C01290">
            <w:pPr>
              <w:pStyle w:val="ListParagraph"/>
              <w:numPr>
                <w:ilvl w:val="0"/>
                <w:numId w:val="10"/>
              </w:numPr>
              <w:jc w:val="both"/>
              <w:rPr>
                <w:rFonts w:asciiTheme="majorBidi" w:hAnsiTheme="majorBidi" w:cstheme="majorBidi"/>
                <w:color w:val="000000" w:themeColor="text1"/>
                <w:sz w:val="20"/>
                <w:szCs w:val="20"/>
              </w:rPr>
            </w:pPr>
            <w:r w:rsidRPr="000C0F1B">
              <w:rPr>
                <w:rFonts w:asciiTheme="majorBidi" w:hAnsiTheme="majorBidi" w:cstheme="majorBidi"/>
                <w:color w:val="000000" w:themeColor="text1"/>
                <w:sz w:val="20"/>
                <w:szCs w:val="20"/>
                <w:highlight w:val="yellow"/>
              </w:rPr>
              <w:t>Poorer oral health status of oral health of rural dwellers than that of urban dwellers</w:t>
            </w:r>
          </w:p>
        </w:tc>
      </w:tr>
    </w:tbl>
    <w:p w:rsidR="00C01290" w:rsidRPr="00DE7125" w:rsidRDefault="00C01290" w:rsidP="00C01290">
      <w:pPr>
        <w:spacing w:line="360" w:lineRule="auto"/>
        <w:jc w:val="both"/>
        <w:rPr>
          <w:rFonts w:asciiTheme="majorBidi" w:hAnsiTheme="majorBidi" w:cstheme="majorBidi"/>
          <w:b/>
          <w:bCs/>
          <w:lang w:bidi="fa-IR"/>
        </w:rPr>
      </w:pPr>
    </w:p>
    <w:p w:rsidR="0021515D" w:rsidRDefault="0021515D">
      <w:bookmarkStart w:id="4" w:name="_GoBack"/>
      <w:bookmarkEnd w:id="4"/>
    </w:p>
    <w:sectPr w:rsidR="00215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FDB"/>
    <w:multiLevelType w:val="hybridMultilevel"/>
    <w:tmpl w:val="73388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840786"/>
    <w:multiLevelType w:val="hybridMultilevel"/>
    <w:tmpl w:val="A00ED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3180F"/>
    <w:multiLevelType w:val="hybridMultilevel"/>
    <w:tmpl w:val="336E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E6F5F"/>
    <w:multiLevelType w:val="hybridMultilevel"/>
    <w:tmpl w:val="3468F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575C5"/>
    <w:multiLevelType w:val="hybridMultilevel"/>
    <w:tmpl w:val="CCE4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882DE5"/>
    <w:multiLevelType w:val="hybridMultilevel"/>
    <w:tmpl w:val="C5FA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B4716E"/>
    <w:multiLevelType w:val="hybridMultilevel"/>
    <w:tmpl w:val="6234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7002E17"/>
    <w:multiLevelType w:val="hybridMultilevel"/>
    <w:tmpl w:val="B3960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401B87"/>
    <w:multiLevelType w:val="hybridMultilevel"/>
    <w:tmpl w:val="68ECB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ED16DC"/>
    <w:multiLevelType w:val="hybridMultilevel"/>
    <w:tmpl w:val="F0B0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4"/>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0"/>
    <w:rsid w:val="0021515D"/>
    <w:rsid w:val="00C01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F584-48DE-4B58-898F-EF08B48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90"/>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290"/>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2020-07-02T07:19:00Z</dcterms:created>
  <dcterms:modified xsi:type="dcterms:W3CDTF">2020-07-02T07:19:00Z</dcterms:modified>
</cp:coreProperties>
</file>