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6E398" w14:textId="598CD005" w:rsidR="00F04A1D" w:rsidRDefault="007718A6" w:rsidP="00F04A1D">
      <w:pPr>
        <w:spacing w:line="480" w:lineRule="auto"/>
        <w:jc w:val="center"/>
        <w:rPr>
          <w:b/>
          <w:sz w:val="28"/>
          <w:szCs w:val="28"/>
        </w:rPr>
      </w:pPr>
      <w:r w:rsidRPr="000A4C5F">
        <w:rPr>
          <w:b/>
          <w:sz w:val="28"/>
          <w:szCs w:val="28"/>
        </w:rPr>
        <w:t xml:space="preserve">Supplementary </w:t>
      </w:r>
      <w:r w:rsidR="00F04A1D">
        <w:rPr>
          <w:b/>
          <w:sz w:val="28"/>
          <w:szCs w:val="28"/>
        </w:rPr>
        <w:t>Material for</w:t>
      </w:r>
    </w:p>
    <w:p w14:paraId="0C755FDA" w14:textId="01B130FE" w:rsidR="00F04A1D" w:rsidRPr="003518DF" w:rsidRDefault="00F04A1D" w:rsidP="00F04A1D">
      <w:pPr>
        <w:spacing w:line="480" w:lineRule="auto"/>
        <w:jc w:val="center"/>
        <w:rPr>
          <w:b/>
        </w:rPr>
      </w:pPr>
      <w:r>
        <w:rPr>
          <w:b/>
          <w:sz w:val="28"/>
        </w:rPr>
        <w:t>“</w:t>
      </w:r>
      <w:r w:rsidRPr="002B5E9D">
        <w:rPr>
          <w:b/>
          <w:sz w:val="28"/>
        </w:rPr>
        <w:t>Water</w:t>
      </w:r>
      <w:r>
        <w:rPr>
          <w:b/>
          <w:sz w:val="28"/>
        </w:rPr>
        <w:t>-</w:t>
      </w:r>
      <w:r w:rsidRPr="002B5E9D">
        <w:rPr>
          <w:b/>
          <w:sz w:val="28"/>
        </w:rPr>
        <w:t>soluble chlorophyll</w:t>
      </w:r>
      <w:r>
        <w:rPr>
          <w:b/>
          <w:sz w:val="28"/>
        </w:rPr>
        <w:t>-</w:t>
      </w:r>
      <w:r w:rsidRPr="002B5E9D">
        <w:rPr>
          <w:b/>
          <w:sz w:val="28"/>
        </w:rPr>
        <w:t xml:space="preserve">binding proteins </w:t>
      </w:r>
      <w:r w:rsidRPr="00BF58A9">
        <w:rPr>
          <w:b/>
          <w:sz w:val="28"/>
          <w:szCs w:val="28"/>
        </w:rPr>
        <w:t xml:space="preserve">from </w:t>
      </w:r>
      <w:r w:rsidRPr="00BF58A9">
        <w:rPr>
          <w:b/>
          <w:i/>
          <w:iCs/>
          <w:sz w:val="28"/>
          <w:szCs w:val="28"/>
        </w:rPr>
        <w:t>Brassica oleracea</w:t>
      </w:r>
      <w:r w:rsidRPr="00BF58A9">
        <w:rPr>
          <w:b/>
          <w:sz w:val="28"/>
          <w:szCs w:val="28"/>
        </w:rPr>
        <w:t xml:space="preserve"> allow</w:t>
      </w:r>
      <w:r>
        <w:rPr>
          <w:b/>
          <w:sz w:val="28"/>
        </w:rPr>
        <w:t xml:space="preserve"> for</w:t>
      </w:r>
      <w:r w:rsidRPr="002B5E9D">
        <w:rPr>
          <w:b/>
          <w:sz w:val="28"/>
        </w:rPr>
        <w:t xml:space="preserve"> stable photobiocatalytic </w:t>
      </w:r>
      <w:r>
        <w:rPr>
          <w:b/>
          <w:sz w:val="28"/>
        </w:rPr>
        <w:t>oxidation</w:t>
      </w:r>
      <w:r w:rsidRPr="002B5E9D">
        <w:rPr>
          <w:b/>
          <w:sz w:val="28"/>
        </w:rPr>
        <w:t xml:space="preserve"> of cellulose by a lytic polysaccharide monooxygenase</w:t>
      </w:r>
      <w:r>
        <w:t>.”</w:t>
      </w:r>
    </w:p>
    <w:p w14:paraId="341730A7" w14:textId="243F2D68" w:rsidR="00F04A1D" w:rsidRPr="00F04A1D" w:rsidRDefault="00F04A1D" w:rsidP="00F04A1D">
      <w:pPr>
        <w:spacing w:line="480" w:lineRule="auto"/>
        <w:rPr>
          <w:b/>
        </w:rPr>
      </w:pPr>
      <w:r>
        <w:t>N. Dodge</w:t>
      </w:r>
      <w:r w:rsidRPr="003103E0">
        <w:rPr>
          <w:vertAlign w:val="superscript"/>
        </w:rPr>
        <w:t>1</w:t>
      </w:r>
      <w:r>
        <w:t>, D. A. Russo</w:t>
      </w:r>
      <w:r w:rsidRPr="003103E0">
        <w:rPr>
          <w:vertAlign w:val="superscript"/>
        </w:rPr>
        <w:t>2</w:t>
      </w:r>
      <w:r>
        <w:t xml:space="preserve">, </w:t>
      </w:r>
      <w:r w:rsidRPr="00C26C02">
        <w:t>B.</w:t>
      </w:r>
      <w:r>
        <w:t>M. Blossom</w:t>
      </w:r>
      <w:r w:rsidRPr="00C26C02">
        <w:rPr>
          <w:vertAlign w:val="superscript"/>
        </w:rPr>
        <w:t>3</w:t>
      </w:r>
      <w:r w:rsidRPr="00C26C02">
        <w:t>, R.K. Singh</w:t>
      </w:r>
      <w:r w:rsidRPr="00C26C02">
        <w:rPr>
          <w:vertAlign w:val="superscript"/>
        </w:rPr>
        <w:t>4</w:t>
      </w:r>
      <w:r>
        <w:t>,</w:t>
      </w:r>
      <w:r w:rsidRPr="00C26C02">
        <w:t xml:space="preserve"> </w:t>
      </w:r>
      <w:r>
        <w:t>B. van Oort</w:t>
      </w:r>
      <w:r w:rsidRPr="00C26C02">
        <w:rPr>
          <w:vertAlign w:val="superscript"/>
        </w:rPr>
        <w:t>5</w:t>
      </w:r>
      <w:r>
        <w:t>, R. Croce</w:t>
      </w:r>
      <w:r w:rsidRPr="00C26C02">
        <w:rPr>
          <w:vertAlign w:val="superscript"/>
        </w:rPr>
        <w:t>5</w:t>
      </w:r>
      <w:r>
        <w:t xml:space="preserve">, </w:t>
      </w:r>
      <w:r w:rsidRPr="00C26C02">
        <w:t>M. J. Bjerrum</w:t>
      </w:r>
      <w:r w:rsidRPr="00C26C02">
        <w:rPr>
          <w:vertAlign w:val="superscript"/>
        </w:rPr>
        <w:t>4</w:t>
      </w:r>
      <w:r>
        <w:t>, P. E. Jensen</w:t>
      </w:r>
      <w:r w:rsidRPr="003103E0">
        <w:rPr>
          <w:vertAlign w:val="superscript"/>
        </w:rPr>
        <w:t>1</w:t>
      </w:r>
    </w:p>
    <w:p w14:paraId="78B2578D" w14:textId="77777777" w:rsidR="00F04A1D" w:rsidRDefault="00F04A1D" w:rsidP="00F04A1D">
      <w:r w:rsidRPr="003103E0">
        <w:rPr>
          <w:vertAlign w:val="superscript"/>
        </w:rPr>
        <w:t>1</w:t>
      </w:r>
      <w:r w:rsidRPr="00396804">
        <w:t>Department of Food Science, University of Copenhagen, Rolighedsvej 26, DK-1958 Frederiksberg</w:t>
      </w:r>
    </w:p>
    <w:p w14:paraId="6CD5A7BE" w14:textId="77777777" w:rsidR="00F04A1D" w:rsidRDefault="00F04A1D" w:rsidP="00F04A1D">
      <w:r w:rsidRPr="003103E0">
        <w:rPr>
          <w:vertAlign w:val="superscript"/>
        </w:rPr>
        <w:t>2</w:t>
      </w:r>
      <w:r w:rsidRPr="00D72C98">
        <w:t>Department of</w:t>
      </w:r>
      <w:r>
        <w:rPr>
          <w:vertAlign w:val="superscript"/>
        </w:rPr>
        <w:t xml:space="preserve"> </w:t>
      </w:r>
      <w:r w:rsidRPr="00D72C98">
        <w:t xml:space="preserve">Bioorganic Analytics, </w:t>
      </w:r>
      <w:r>
        <w:t>Institute for Inorganic and Analytical Chemistry, Friedrich Schiller University Jena, Jena, Germany</w:t>
      </w:r>
    </w:p>
    <w:p w14:paraId="5B911709" w14:textId="77777777" w:rsidR="00F04A1D" w:rsidRPr="00C26C02" w:rsidRDefault="00F04A1D" w:rsidP="00F04A1D">
      <w:r w:rsidRPr="00C26C02">
        <w:rPr>
          <w:vertAlign w:val="superscript"/>
        </w:rPr>
        <w:t>3</w:t>
      </w:r>
      <w:r w:rsidRPr="00C26C02">
        <w:t>Department of Geosciences and Natural Resource Management, University of Copenhagen, Frederiksberg C, Denmark</w:t>
      </w:r>
    </w:p>
    <w:p w14:paraId="682DAD94" w14:textId="77777777" w:rsidR="00F04A1D" w:rsidRDefault="00F04A1D" w:rsidP="00F04A1D">
      <w:r w:rsidRPr="00C26C02">
        <w:rPr>
          <w:vertAlign w:val="superscript"/>
        </w:rPr>
        <w:t>4</w:t>
      </w:r>
      <w:r w:rsidRPr="00C26C02">
        <w:t>Department of Chemistry, University of Copenhagen, Copenhagen, Denmark</w:t>
      </w:r>
    </w:p>
    <w:p w14:paraId="3B68E387" w14:textId="77777777" w:rsidR="00F04A1D" w:rsidRDefault="00F04A1D" w:rsidP="00F04A1D">
      <w:r w:rsidRPr="00C26C02">
        <w:rPr>
          <w:vertAlign w:val="superscript"/>
        </w:rPr>
        <w:t>5</w:t>
      </w:r>
      <w:r w:rsidRPr="00C26C02">
        <w:t>Biophysics of Photosynthesis, Department of Physics and Astronomy, Faculty of Sciences, and LaserLaB Amsterdam, Vrije Universiteit Amsterdam, Amsterdam, Netherlands</w:t>
      </w:r>
    </w:p>
    <w:p w14:paraId="5CAE69AB" w14:textId="77777777" w:rsidR="00F04A1D" w:rsidRDefault="00F04A1D">
      <w:pPr>
        <w:spacing w:after="0" w:line="240" w:lineRule="auto"/>
        <w:jc w:val="left"/>
        <w:rPr>
          <w:b/>
          <w:sz w:val="28"/>
          <w:szCs w:val="28"/>
        </w:rPr>
      </w:pPr>
    </w:p>
    <w:p w14:paraId="6984EDFE" w14:textId="77777777" w:rsidR="00F7540D" w:rsidRDefault="00F7540D" w:rsidP="007718A6">
      <w:pPr>
        <w:spacing w:line="252" w:lineRule="auto"/>
        <w:jc w:val="left"/>
        <w:rPr>
          <w:b/>
          <w:sz w:val="28"/>
          <w:szCs w:val="28"/>
        </w:rPr>
      </w:pPr>
    </w:p>
    <w:p w14:paraId="5987FFB3" w14:textId="77777777" w:rsidR="00F04A1D" w:rsidRDefault="00F04A1D" w:rsidP="00F04A1D">
      <w:pPr>
        <w:jc w:val="center"/>
      </w:pPr>
      <w:r>
        <w:rPr>
          <w:noProof/>
          <w:lang w:val="da-DK" w:eastAsia="da-DK"/>
        </w:rPr>
        <w:lastRenderedPageBreak/>
        <w:drawing>
          <wp:inline distT="0" distB="0" distL="0" distR="0" wp14:anchorId="4FCDCD75" wp14:editId="254FEBAE">
            <wp:extent cx="3771900" cy="33655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SG ne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4D78" w14:textId="77777777" w:rsidR="00F04A1D" w:rsidRPr="00D1341F" w:rsidRDefault="00F04A1D" w:rsidP="00F04A1D">
      <w:r w:rsidRPr="0025129F">
        <w:rPr>
          <w:b/>
        </w:rPr>
        <w:t>Figure S</w:t>
      </w:r>
      <w:r>
        <w:rPr>
          <w:b/>
        </w:rPr>
        <w:t>1</w:t>
      </w:r>
      <w:r w:rsidRPr="0025129F">
        <w:rPr>
          <w:b/>
        </w:rPr>
        <w:t>. Apparent singlet oxygen (</w:t>
      </w:r>
      <w:r w:rsidRPr="0025129F">
        <w:rPr>
          <w:b/>
          <w:vertAlign w:val="superscript"/>
        </w:rPr>
        <w:t>1</w:t>
      </w:r>
      <w:r w:rsidRPr="0025129F">
        <w:rPr>
          <w:b/>
        </w:rPr>
        <w:t>O</w:t>
      </w:r>
      <w:r w:rsidRPr="0025129F">
        <w:rPr>
          <w:b/>
          <w:vertAlign w:val="subscript"/>
        </w:rPr>
        <w:t>2</w:t>
      </w:r>
      <w:r w:rsidRPr="0025129F">
        <w:rPr>
          <w:b/>
        </w:rPr>
        <w:t xml:space="preserve">) measurements using </w:t>
      </w:r>
      <w:r>
        <w:rPr>
          <w:b/>
        </w:rPr>
        <w:t>Singlet Oxygen Sensor Green™ (</w:t>
      </w:r>
      <w:r w:rsidRPr="0025129F">
        <w:rPr>
          <w:b/>
        </w:rPr>
        <w:t>SOSG</w:t>
      </w:r>
      <w:r>
        <w:rPr>
          <w:b/>
        </w:rPr>
        <w:t>)</w:t>
      </w:r>
      <w:r w:rsidRPr="0025129F">
        <w:rPr>
          <w:b/>
        </w:rPr>
        <w:t xml:space="preserve">. </w:t>
      </w:r>
      <w:r>
        <w:t xml:space="preserve">SOSG was purchased from Invitrogen™ and used according to Agostini et al. 2017. The assay was performed by combining 2 µM SOSG with </w:t>
      </w:r>
      <w:r w:rsidRPr="007C0A89">
        <w:t xml:space="preserve">Chl </w:t>
      </w:r>
      <w:r w:rsidRPr="007C0A89">
        <w:rPr>
          <w:i/>
          <w:iCs/>
        </w:rPr>
        <w:t>a</w:t>
      </w:r>
      <w:r w:rsidRPr="007C0A89">
        <w:t xml:space="preserve"> or WSCP-Chl </w:t>
      </w:r>
      <w:r w:rsidRPr="007C0A89">
        <w:rPr>
          <w:i/>
          <w:iCs/>
        </w:rPr>
        <w:t>a</w:t>
      </w:r>
      <w:r w:rsidRPr="007C0A89">
        <w:t xml:space="preserve"> </w:t>
      </w:r>
      <w:r>
        <w:t>(</w:t>
      </w:r>
      <w:r w:rsidRPr="007C0A89">
        <w:t>2.6</w:t>
      </w:r>
      <w:r>
        <w:t xml:space="preserve"> </w:t>
      </w:r>
      <w:r w:rsidRPr="007C0A89">
        <w:t>µM</w:t>
      </w:r>
      <w:r>
        <w:t>)</w:t>
      </w:r>
      <w:r w:rsidRPr="007C0A89">
        <w:t xml:space="preserve"> and 50</w:t>
      </w:r>
      <w:r>
        <w:t xml:space="preserve"> </w:t>
      </w:r>
      <w:r w:rsidRPr="007C0A89">
        <w:t xml:space="preserve">mM sodium phosphate buffer (pH </w:t>
      </w:r>
      <w:r>
        <w:t>5</w:t>
      </w:r>
      <w:r w:rsidRPr="007C0A89">
        <w:t>.</w:t>
      </w:r>
      <w:r>
        <w:t>0</w:t>
      </w:r>
      <w:r w:rsidRPr="007C0A89">
        <w:t>)</w:t>
      </w:r>
      <w:r>
        <w:t xml:space="preserve"> with 2% methanol (v/v)</w:t>
      </w:r>
      <w:r w:rsidRPr="007C0A89">
        <w:t>.</w:t>
      </w:r>
      <w:r>
        <w:t xml:space="preserve"> SOSG emission was measured in the Biotek Synergy™ (Ex: 480 nm, </w:t>
      </w:r>
      <w:proofErr w:type="spellStart"/>
      <w:r>
        <w:t>Em</w:t>
      </w:r>
      <w:proofErr w:type="spellEnd"/>
      <w:r>
        <w:t xml:space="preserve">: 530 nm) every 10 mins. The assay was performed at 50 </w:t>
      </w:r>
      <w:r>
        <w:sym w:font="Symbol" w:char="F0B0"/>
      </w:r>
      <w:r>
        <w:t>C for a total of 60 min in 50 µmol m</w:t>
      </w:r>
      <w:r w:rsidRPr="00D1341F">
        <w:rPr>
          <w:vertAlign w:val="superscript"/>
        </w:rPr>
        <w:t>-2</w:t>
      </w:r>
      <w:r>
        <w:t xml:space="preserve"> s</w:t>
      </w:r>
      <w:r w:rsidRPr="00D1341F">
        <w:rPr>
          <w:vertAlign w:val="superscript"/>
        </w:rPr>
        <w:t>-1</w:t>
      </w:r>
      <w:r>
        <w:t xml:space="preserve">. The average of three independent experiments and SEM is plotted. </w:t>
      </w:r>
    </w:p>
    <w:p w14:paraId="49839F6D" w14:textId="05B12478" w:rsidR="00F04A1D" w:rsidRDefault="00F04A1D">
      <w:pPr>
        <w:spacing w:after="0"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B7EED53" w14:textId="77777777" w:rsidR="00F7540D" w:rsidRPr="005B712D" w:rsidRDefault="00F7540D" w:rsidP="007718A6">
      <w:pPr>
        <w:spacing w:line="252" w:lineRule="auto"/>
        <w:jc w:val="left"/>
      </w:pPr>
    </w:p>
    <w:p w14:paraId="305B6B37" w14:textId="77777777" w:rsidR="007E02F7" w:rsidRDefault="007E02F7" w:rsidP="007E02F7">
      <w:pPr>
        <w:jc w:val="center"/>
        <w:rPr>
          <w:b/>
        </w:rPr>
      </w:pPr>
      <w:r>
        <w:rPr>
          <w:b/>
          <w:noProof/>
          <w:lang w:val="da-DK" w:eastAsia="da-DK"/>
        </w:rPr>
        <w:drawing>
          <wp:inline distT="0" distB="0" distL="0" distR="0" wp14:anchorId="5C39BCA7" wp14:editId="2E073341">
            <wp:extent cx="3759200" cy="34798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EAD5" w14:textId="3AAB9739" w:rsidR="007E02F7" w:rsidRDefault="007E02F7" w:rsidP="007E02F7">
      <w:pPr>
        <w:spacing w:line="480" w:lineRule="auto"/>
        <w:rPr>
          <w:rFonts w:cstheme="majorHAnsi"/>
          <w:sz w:val="22"/>
          <w:szCs w:val="22"/>
        </w:rPr>
      </w:pPr>
      <w:r>
        <w:rPr>
          <w:b/>
        </w:rPr>
        <w:t>Figure S</w:t>
      </w:r>
      <w:r w:rsidR="007C6A16">
        <w:rPr>
          <w:b/>
        </w:rPr>
        <w:t>2</w:t>
      </w:r>
      <w:bookmarkStart w:id="0" w:name="_GoBack"/>
      <w:bookmarkEnd w:id="0"/>
      <w:r>
        <w:rPr>
          <w:b/>
        </w:rPr>
        <w:t xml:space="preserve">. Gluconic acid assay with superoxide dismutase (SOD). </w:t>
      </w:r>
      <w:r>
        <w:t>SOD was used in the assay in order to determine the involvement of superoxide (O</w:t>
      </w:r>
      <w:r w:rsidRPr="00AE521F">
        <w:rPr>
          <w:vertAlign w:val="subscript"/>
        </w:rPr>
        <w:t>2</w:t>
      </w:r>
      <w:r>
        <w:rPr>
          <w:vertAlign w:val="superscript"/>
        </w:rPr>
        <w:t>-</w:t>
      </w:r>
      <w:r>
        <w:t xml:space="preserve">). The assay </w:t>
      </w:r>
      <w:r>
        <w:rPr>
          <w:rFonts w:cstheme="majorHAnsi"/>
          <w:sz w:val="22"/>
          <w:szCs w:val="22"/>
        </w:rPr>
        <w:t xml:space="preserve">was </w:t>
      </w:r>
      <w:r w:rsidRPr="007F2484">
        <w:rPr>
          <w:rFonts w:cstheme="majorHAnsi"/>
          <w:sz w:val="22"/>
          <w:szCs w:val="22"/>
        </w:rPr>
        <w:t xml:space="preserve">performed at </w:t>
      </w:r>
      <w:r>
        <w:rPr>
          <w:rFonts w:cstheme="majorHAnsi"/>
          <w:sz w:val="22"/>
          <w:szCs w:val="22"/>
        </w:rPr>
        <w:t>50</w:t>
      </w:r>
      <w:r w:rsidRPr="007F2484">
        <w:rPr>
          <w:rFonts w:cstheme="majorHAnsi"/>
          <w:sz w:val="22"/>
          <w:szCs w:val="22"/>
        </w:rPr>
        <w:t xml:space="preserve"> µmol m</w:t>
      </w:r>
      <w:r w:rsidRPr="007F2484">
        <w:rPr>
          <w:rFonts w:cstheme="majorHAnsi"/>
          <w:sz w:val="22"/>
          <w:szCs w:val="22"/>
          <w:vertAlign w:val="superscript"/>
        </w:rPr>
        <w:t>-2</w:t>
      </w:r>
      <w:r w:rsidRPr="007F2484">
        <w:rPr>
          <w:rFonts w:cstheme="majorHAnsi"/>
          <w:sz w:val="22"/>
          <w:szCs w:val="22"/>
        </w:rPr>
        <w:t xml:space="preserve"> s</w:t>
      </w:r>
      <w:r w:rsidRPr="007F2484">
        <w:rPr>
          <w:rFonts w:cstheme="majorHAnsi"/>
          <w:sz w:val="22"/>
          <w:szCs w:val="22"/>
          <w:vertAlign w:val="superscript"/>
        </w:rPr>
        <w:t>-1</w:t>
      </w:r>
      <w:r w:rsidRPr="007F2484">
        <w:rPr>
          <w:rFonts w:cstheme="majorHAnsi"/>
          <w:sz w:val="22"/>
          <w:szCs w:val="22"/>
        </w:rPr>
        <w:t xml:space="preserve"> cool white LED (4000K) spectrum at </w:t>
      </w:r>
      <w:r>
        <w:rPr>
          <w:rFonts w:cstheme="majorHAnsi"/>
          <w:sz w:val="22"/>
          <w:szCs w:val="22"/>
        </w:rPr>
        <w:t>50</w:t>
      </w:r>
      <w:r w:rsidRPr="007F2484">
        <w:rPr>
          <w:rFonts w:cstheme="majorHAnsi"/>
          <w:sz w:val="22"/>
          <w:szCs w:val="22"/>
        </w:rPr>
        <w:t xml:space="preserve">°C in 50 mM potassium phosphate buffer (pH 6), with CNF (0.25 % w/v) and either </w:t>
      </w:r>
      <w:r w:rsidRPr="007F2484">
        <w:rPr>
          <w:rFonts w:cstheme="majorHAnsi"/>
          <w:i/>
          <w:iCs/>
          <w:sz w:val="22"/>
          <w:szCs w:val="22"/>
        </w:rPr>
        <w:t>Tt</w:t>
      </w:r>
      <w:r w:rsidRPr="007F2484">
        <w:rPr>
          <w:rFonts w:cstheme="majorHAnsi"/>
          <w:iCs/>
          <w:sz w:val="22"/>
          <w:szCs w:val="22"/>
        </w:rPr>
        <w:t>AA9</w:t>
      </w:r>
      <w:r w:rsidRPr="007F2484">
        <w:rPr>
          <w:rFonts w:eastAsia="Arial Unicode MS" w:cstheme="majorHAnsi"/>
          <w:sz w:val="22"/>
          <w:szCs w:val="22"/>
        </w:rPr>
        <w:t xml:space="preserve"> without pigment, </w:t>
      </w:r>
      <w:r w:rsidRPr="007F2484">
        <w:rPr>
          <w:rFonts w:cstheme="majorHAnsi"/>
          <w:i/>
          <w:iCs/>
          <w:sz w:val="22"/>
          <w:szCs w:val="22"/>
        </w:rPr>
        <w:t>Tt</w:t>
      </w:r>
      <w:r w:rsidRPr="007F2484">
        <w:rPr>
          <w:rFonts w:cstheme="majorHAnsi"/>
          <w:iCs/>
          <w:sz w:val="22"/>
          <w:szCs w:val="22"/>
        </w:rPr>
        <w:t>AA9</w:t>
      </w:r>
      <w:r w:rsidRPr="007F2484">
        <w:rPr>
          <w:rFonts w:cstheme="majorHAnsi"/>
          <w:sz w:val="22"/>
          <w:szCs w:val="22"/>
        </w:rPr>
        <w:t xml:space="preserve"> and WSCP-Chl </w:t>
      </w:r>
      <w:r w:rsidRPr="007F2484">
        <w:rPr>
          <w:rFonts w:cstheme="majorHAnsi"/>
          <w:i/>
          <w:iCs/>
          <w:sz w:val="22"/>
          <w:szCs w:val="22"/>
        </w:rPr>
        <w:t>a</w:t>
      </w:r>
      <w:r w:rsidRPr="007F2484">
        <w:rPr>
          <w:rFonts w:eastAsia="Arial Unicode MS" w:cstheme="majorHAnsi"/>
          <w:sz w:val="22"/>
          <w:szCs w:val="22"/>
        </w:rPr>
        <w:t xml:space="preserve">, or </w:t>
      </w:r>
      <w:r w:rsidRPr="007F2484">
        <w:rPr>
          <w:rFonts w:cstheme="majorHAnsi"/>
          <w:i/>
          <w:iCs/>
          <w:sz w:val="22"/>
          <w:szCs w:val="22"/>
        </w:rPr>
        <w:t>Tt</w:t>
      </w:r>
      <w:r w:rsidRPr="007F2484">
        <w:rPr>
          <w:rFonts w:cstheme="majorHAnsi"/>
          <w:iCs/>
          <w:sz w:val="22"/>
          <w:szCs w:val="22"/>
        </w:rPr>
        <w:t>AA9</w:t>
      </w:r>
      <w:r w:rsidRPr="007F2484">
        <w:rPr>
          <w:rFonts w:cstheme="majorHAnsi"/>
          <w:sz w:val="22"/>
          <w:szCs w:val="22"/>
        </w:rPr>
        <w:t xml:space="preserve"> and WSCP-Chl </w:t>
      </w:r>
      <w:r w:rsidRPr="007F2484">
        <w:rPr>
          <w:rFonts w:cstheme="majorHAnsi"/>
          <w:i/>
          <w:iCs/>
          <w:sz w:val="22"/>
          <w:szCs w:val="22"/>
        </w:rPr>
        <w:t>a</w:t>
      </w:r>
      <w:r w:rsidRPr="007F2484">
        <w:rPr>
          <w:rFonts w:cstheme="majorHAnsi"/>
          <w:sz w:val="22"/>
          <w:szCs w:val="22"/>
        </w:rPr>
        <w:t xml:space="preserve"> </w:t>
      </w:r>
      <w:r>
        <w:rPr>
          <w:rFonts w:cstheme="majorHAnsi"/>
          <w:sz w:val="22"/>
          <w:szCs w:val="22"/>
        </w:rPr>
        <w:t>with SOD (100 µg ml</w:t>
      </w:r>
      <w:r w:rsidRPr="00AE521F">
        <w:rPr>
          <w:rFonts w:cstheme="majorHAnsi"/>
          <w:sz w:val="22"/>
          <w:szCs w:val="22"/>
          <w:vertAlign w:val="superscript"/>
        </w:rPr>
        <w:t>-1</w:t>
      </w:r>
      <w:r>
        <w:rPr>
          <w:rFonts w:cstheme="majorHAnsi"/>
          <w:sz w:val="22"/>
          <w:szCs w:val="22"/>
        </w:rPr>
        <w:t>)</w:t>
      </w:r>
      <w:r w:rsidRPr="007F2484">
        <w:rPr>
          <w:rFonts w:cstheme="majorHAnsi"/>
          <w:sz w:val="22"/>
          <w:szCs w:val="22"/>
        </w:rPr>
        <w:t>. Asc feed rates were</w:t>
      </w:r>
      <w:r>
        <w:rPr>
          <w:rFonts w:cstheme="majorHAnsi"/>
          <w:sz w:val="22"/>
          <w:szCs w:val="22"/>
        </w:rPr>
        <w:t xml:space="preserve"> </w:t>
      </w:r>
      <w:r w:rsidRPr="007F2484">
        <w:rPr>
          <w:rFonts w:cstheme="majorHAnsi"/>
          <w:sz w:val="22"/>
          <w:szCs w:val="22"/>
        </w:rPr>
        <w:t>500 µM</w:t>
      </w:r>
      <w:r>
        <w:rPr>
          <w:rFonts w:cstheme="majorHAnsi"/>
          <w:sz w:val="22"/>
          <w:szCs w:val="22"/>
        </w:rPr>
        <w:t>/hr</w:t>
      </w:r>
      <w:r w:rsidRPr="007F2484">
        <w:rPr>
          <w:rFonts w:cstheme="majorHAnsi"/>
          <w:sz w:val="22"/>
          <w:szCs w:val="22"/>
        </w:rPr>
        <w:t xml:space="preserve">. </w:t>
      </w:r>
      <w:r>
        <w:rPr>
          <w:rFonts w:eastAsia="Arial Unicode MS" w:cstheme="majorHAnsi"/>
          <w:sz w:val="22"/>
          <w:szCs w:val="22"/>
        </w:rPr>
        <w:t>The</w:t>
      </w:r>
      <w:r w:rsidRPr="007F2484">
        <w:rPr>
          <w:rFonts w:eastAsia="Arial Unicode MS" w:cstheme="majorHAnsi"/>
          <w:sz w:val="22"/>
          <w:szCs w:val="22"/>
        </w:rPr>
        <w:t xml:space="preserve"> averages of three independent experiments and the SEM of these experiments is shown. </w:t>
      </w:r>
      <w:r>
        <w:rPr>
          <w:rFonts w:eastAsia="Arial Unicode MS" w:cstheme="majorHAnsi"/>
          <w:sz w:val="22"/>
          <w:szCs w:val="22"/>
        </w:rPr>
        <w:t>A t-test</w:t>
      </w:r>
      <w:r w:rsidRPr="007F2484">
        <w:rPr>
          <w:rFonts w:eastAsia="Arial Unicode MS" w:cstheme="majorHAnsi"/>
          <w:sz w:val="22"/>
          <w:szCs w:val="22"/>
        </w:rPr>
        <w:t xml:space="preserve"> was done on the final gluconic acid concentration (120 min) between </w:t>
      </w:r>
      <w:r>
        <w:rPr>
          <w:rFonts w:eastAsia="Arial Unicode MS" w:cstheme="majorHAnsi"/>
          <w:sz w:val="22"/>
          <w:szCs w:val="22"/>
        </w:rPr>
        <w:t>‘</w:t>
      </w:r>
      <w:r w:rsidRPr="007F2484">
        <w:rPr>
          <w:rFonts w:cstheme="majorHAnsi"/>
          <w:i/>
          <w:iCs/>
          <w:sz w:val="22"/>
          <w:szCs w:val="22"/>
        </w:rPr>
        <w:t>Tt</w:t>
      </w:r>
      <w:r w:rsidRPr="007F2484">
        <w:rPr>
          <w:rFonts w:cstheme="majorHAnsi"/>
          <w:iCs/>
          <w:sz w:val="22"/>
          <w:szCs w:val="22"/>
        </w:rPr>
        <w:t>AA9</w:t>
      </w:r>
      <w:r>
        <w:rPr>
          <w:rFonts w:cstheme="majorHAnsi"/>
          <w:sz w:val="22"/>
          <w:szCs w:val="22"/>
        </w:rPr>
        <w:t xml:space="preserve"> +</w:t>
      </w:r>
      <w:r w:rsidRPr="007F2484">
        <w:rPr>
          <w:rFonts w:cstheme="majorHAnsi"/>
          <w:sz w:val="22"/>
          <w:szCs w:val="22"/>
        </w:rPr>
        <w:t xml:space="preserve"> WSCP-Chl </w:t>
      </w:r>
      <w:r>
        <w:rPr>
          <w:rFonts w:cstheme="majorHAnsi"/>
          <w:sz w:val="22"/>
          <w:szCs w:val="22"/>
        </w:rPr>
        <w:t>‘</w:t>
      </w:r>
      <w:r w:rsidRPr="007F2484">
        <w:rPr>
          <w:rFonts w:cstheme="majorHAnsi"/>
          <w:i/>
          <w:iCs/>
          <w:sz w:val="22"/>
          <w:szCs w:val="22"/>
        </w:rPr>
        <w:t>a</w:t>
      </w:r>
      <w:r>
        <w:rPr>
          <w:rFonts w:eastAsia="Arial Unicode MS" w:cstheme="majorHAnsi"/>
          <w:sz w:val="22"/>
          <w:szCs w:val="22"/>
        </w:rPr>
        <w:t xml:space="preserve"> and ‘</w:t>
      </w:r>
      <w:r w:rsidRPr="007F2484">
        <w:rPr>
          <w:rFonts w:cstheme="majorHAnsi"/>
          <w:i/>
          <w:iCs/>
          <w:sz w:val="22"/>
          <w:szCs w:val="22"/>
        </w:rPr>
        <w:t>Tt</w:t>
      </w:r>
      <w:r w:rsidRPr="007F2484">
        <w:rPr>
          <w:rFonts w:cstheme="majorHAnsi"/>
          <w:iCs/>
          <w:sz w:val="22"/>
          <w:szCs w:val="22"/>
        </w:rPr>
        <w:t>AA9</w:t>
      </w:r>
      <w:r w:rsidRPr="007F2484">
        <w:rPr>
          <w:rFonts w:cstheme="majorHAnsi"/>
          <w:sz w:val="22"/>
          <w:szCs w:val="22"/>
        </w:rPr>
        <w:t xml:space="preserve"> </w:t>
      </w:r>
      <w:r>
        <w:rPr>
          <w:rFonts w:cstheme="majorHAnsi"/>
          <w:sz w:val="22"/>
          <w:szCs w:val="22"/>
        </w:rPr>
        <w:t xml:space="preserve">+ </w:t>
      </w:r>
      <w:r w:rsidRPr="007F2484">
        <w:rPr>
          <w:rFonts w:cstheme="majorHAnsi"/>
          <w:sz w:val="22"/>
          <w:szCs w:val="22"/>
        </w:rPr>
        <w:t xml:space="preserve">WSCP-Chl </w:t>
      </w:r>
      <w:r w:rsidRPr="007F2484">
        <w:rPr>
          <w:rFonts w:cstheme="majorHAnsi"/>
          <w:i/>
          <w:iCs/>
          <w:sz w:val="22"/>
          <w:szCs w:val="22"/>
        </w:rPr>
        <w:t>a</w:t>
      </w:r>
      <w:r w:rsidRPr="007F2484">
        <w:rPr>
          <w:rFonts w:cstheme="majorHAnsi"/>
          <w:sz w:val="22"/>
          <w:szCs w:val="22"/>
        </w:rPr>
        <w:t xml:space="preserve"> </w:t>
      </w:r>
      <w:r>
        <w:rPr>
          <w:rFonts w:cstheme="majorHAnsi"/>
          <w:sz w:val="22"/>
          <w:szCs w:val="22"/>
        </w:rPr>
        <w:t>+ SOD’ to demonstrate the effect of SOD. There was no significant difference (p &gt; 0.05).</w:t>
      </w:r>
    </w:p>
    <w:p w14:paraId="0BDA9393" w14:textId="77777777" w:rsidR="007718A6" w:rsidRPr="0065270F" w:rsidRDefault="007718A6" w:rsidP="007718A6">
      <w:r w:rsidRPr="0065270F">
        <w:rPr>
          <w:noProof/>
          <w:lang w:val="da-DK" w:eastAsia="da-DK"/>
        </w:rPr>
        <w:lastRenderedPageBreak/>
        <w:drawing>
          <wp:inline distT="0" distB="0" distL="0" distR="0" wp14:anchorId="32799006" wp14:editId="7C970DD8">
            <wp:extent cx="5835493" cy="2363821"/>
            <wp:effectExtent l="0" t="0" r="0" b="3810"/>
            <wp:docPr id="26" name="Billede 26" descr="Et billede, der indeholder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ls and BLots.png"/>
                    <pic:cNvPicPr/>
                  </pic:nvPicPr>
                  <pic:blipFill rotWithShape="1">
                    <a:blip r:embed="rId8"/>
                    <a:srcRect t="10429" r="4622" b="2170"/>
                    <a:stretch/>
                  </pic:blipFill>
                  <pic:spPr bwMode="auto">
                    <a:xfrm>
                      <a:off x="0" y="0"/>
                      <a:ext cx="5835493" cy="236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C26BF" w14:textId="30B16CB4" w:rsidR="00F7540D" w:rsidRDefault="007718A6" w:rsidP="007718A6">
      <w:r w:rsidRPr="00FA0508">
        <w:rPr>
          <w:b/>
        </w:rPr>
        <w:t xml:space="preserve">Figure </w:t>
      </w:r>
      <w:r w:rsidRPr="00FA0508">
        <w:rPr>
          <w:b/>
          <w:noProof/>
        </w:rPr>
        <w:t>S</w:t>
      </w:r>
      <w:r w:rsidR="007E02F7">
        <w:rPr>
          <w:b/>
          <w:noProof/>
        </w:rPr>
        <w:t>3</w:t>
      </w:r>
      <w:r w:rsidRPr="00FA0508">
        <w:rPr>
          <w:b/>
        </w:rPr>
        <w:t>. Gel images of WSCP</w:t>
      </w:r>
      <w:r w:rsidRPr="0065270F">
        <w:t xml:space="preserve"> (25.12 kDa) after purification (A) Coomassie image of elutions from 1</w:t>
      </w:r>
      <w:r w:rsidRPr="0065270F">
        <w:rPr>
          <w:vertAlign w:val="superscript"/>
        </w:rPr>
        <w:t>st</w:t>
      </w:r>
      <w:r w:rsidRPr="0065270F">
        <w:t xml:space="preserve"> round of H</w:t>
      </w:r>
      <w:r>
        <w:t>i</w:t>
      </w:r>
      <w:r w:rsidRPr="0065270F">
        <w:t>s-Tag purification. (B) Coomassie of elutions from 2</w:t>
      </w:r>
      <w:r w:rsidRPr="0065270F">
        <w:rPr>
          <w:vertAlign w:val="superscript"/>
        </w:rPr>
        <w:t>nd</w:t>
      </w:r>
      <w:r w:rsidRPr="0065270F">
        <w:t xml:space="preserve"> round of His-Tag purification. (C) Western Blot of second round of H</w:t>
      </w:r>
      <w:r>
        <w:t>i</w:t>
      </w:r>
      <w:r w:rsidRPr="0065270F">
        <w:t>s-Tag purification.</w:t>
      </w:r>
    </w:p>
    <w:p w14:paraId="0AC3B62C" w14:textId="77777777" w:rsidR="00F7540D" w:rsidRDefault="00F7540D">
      <w:pPr>
        <w:spacing w:after="0" w:line="240" w:lineRule="auto"/>
        <w:jc w:val="left"/>
      </w:pPr>
      <w:r>
        <w:br w:type="page"/>
      </w:r>
    </w:p>
    <w:p w14:paraId="348F0010" w14:textId="77777777" w:rsidR="007718A6" w:rsidRPr="0065270F" w:rsidRDefault="007718A6" w:rsidP="007718A6"/>
    <w:p w14:paraId="79475E00" w14:textId="77777777" w:rsidR="007718A6" w:rsidRPr="0065270F" w:rsidRDefault="007718A6" w:rsidP="007718A6">
      <w:pPr>
        <w:jc w:val="center"/>
      </w:pPr>
      <w:r w:rsidRPr="0065270F">
        <w:rPr>
          <w:noProof/>
          <w:lang w:val="da-DK" w:eastAsia="da-DK"/>
        </w:rPr>
        <w:drawing>
          <wp:inline distT="0" distB="0" distL="0" distR="0" wp14:anchorId="49FB053D" wp14:editId="3E04D30C">
            <wp:extent cx="4932077" cy="2468677"/>
            <wp:effectExtent l="0" t="0" r="0" b="0"/>
            <wp:docPr id="29" name="Billede 29" descr="Et billede, der indeholder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LC_label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2"/>
                    <a:stretch/>
                  </pic:blipFill>
                  <pic:spPr bwMode="auto">
                    <a:xfrm>
                      <a:off x="0" y="0"/>
                      <a:ext cx="4995332" cy="250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E266D" w14:textId="73A7B774" w:rsidR="00F7540D" w:rsidRDefault="007718A6" w:rsidP="007718A6">
      <w:r w:rsidRPr="00FA0508">
        <w:rPr>
          <w:b/>
        </w:rPr>
        <w:t>Figure S</w:t>
      </w:r>
      <w:r w:rsidR="007E02F7">
        <w:rPr>
          <w:b/>
        </w:rPr>
        <w:t>4</w:t>
      </w:r>
      <w:r w:rsidRPr="00FA0508">
        <w:rPr>
          <w:b/>
        </w:rPr>
        <w:t xml:space="preserve">. </w:t>
      </w:r>
      <w:r w:rsidR="00FA0508">
        <w:rPr>
          <w:b/>
        </w:rPr>
        <w:t xml:space="preserve">TLC of pigments extracted </w:t>
      </w:r>
      <w:r w:rsidRPr="00FA0508">
        <w:rPr>
          <w:b/>
        </w:rPr>
        <w:t xml:space="preserve">from </w:t>
      </w:r>
      <w:r w:rsidRPr="00FA0508">
        <w:rPr>
          <w:b/>
          <w:i/>
        </w:rPr>
        <w:t>Synechococcus elongatus</w:t>
      </w:r>
      <w:r w:rsidRPr="00FA0508">
        <w:rPr>
          <w:b/>
        </w:rPr>
        <w:t xml:space="preserve"> UTEX 2973</w:t>
      </w:r>
      <w:r w:rsidR="00FA0508">
        <w:rPr>
          <w:b/>
        </w:rPr>
        <w:t xml:space="preserve">. </w:t>
      </w:r>
      <w:r w:rsidR="00FA0508">
        <w:t>S</w:t>
      </w:r>
      <w:r w:rsidRPr="00FA0508">
        <w:t>eparated by reverse phase TLC</w:t>
      </w:r>
      <w:r w:rsidR="00FA0508">
        <w:t>, v</w:t>
      </w:r>
      <w:r w:rsidRPr="0065270F">
        <w:t xml:space="preserve">isible bands starting from the bottom in order of polarity </w:t>
      </w:r>
      <w:r>
        <w:t>correspond to</w:t>
      </w:r>
      <w:r w:rsidRPr="0065270F">
        <w:t xml:space="preserve"> carotenes, pheophytin </w:t>
      </w:r>
      <w:r w:rsidRPr="00E00563">
        <w:rPr>
          <w:i/>
          <w:iCs/>
        </w:rPr>
        <w:t>a</w:t>
      </w:r>
      <w:r w:rsidRPr="0065270F">
        <w:t xml:space="preserve">, chlorophyll </w:t>
      </w:r>
      <w:r w:rsidRPr="00E00563">
        <w:rPr>
          <w:i/>
          <w:iCs/>
        </w:rPr>
        <w:t>a</w:t>
      </w:r>
      <w:r w:rsidRPr="0065270F">
        <w:t xml:space="preserve">, and xanthophylls. </w:t>
      </w:r>
    </w:p>
    <w:p w14:paraId="70449B45" w14:textId="77777777" w:rsidR="00F7540D" w:rsidRDefault="00F7540D">
      <w:pPr>
        <w:spacing w:after="0" w:line="240" w:lineRule="auto"/>
        <w:jc w:val="left"/>
      </w:pPr>
      <w:r>
        <w:br w:type="page"/>
      </w:r>
    </w:p>
    <w:p w14:paraId="078A39B8" w14:textId="77777777" w:rsidR="007718A6" w:rsidRPr="00F127B4" w:rsidRDefault="007718A6" w:rsidP="007718A6">
      <w:pPr>
        <w:rPr>
          <w:i/>
          <w:iCs/>
        </w:rPr>
      </w:pPr>
    </w:p>
    <w:p w14:paraId="68450A52" w14:textId="7875177E" w:rsidR="007718A6" w:rsidRPr="0065270F" w:rsidRDefault="00F7540D" w:rsidP="007718A6">
      <w:r>
        <w:rPr>
          <w:noProof/>
          <w:lang w:val="da-DK" w:eastAsia="da-DK"/>
        </w:rPr>
        <w:drawing>
          <wp:inline distT="0" distB="0" distL="0" distR="0" wp14:anchorId="3F132A78" wp14:editId="1CE65B44">
            <wp:extent cx="6109732" cy="2700655"/>
            <wp:effectExtent l="0" t="0" r="0" b="44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onstituted WSCP - Chl a (10x dilution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1"/>
                    <a:stretch/>
                  </pic:blipFill>
                  <pic:spPr bwMode="auto">
                    <a:xfrm>
                      <a:off x="0" y="0"/>
                      <a:ext cx="6110365" cy="270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9ED1E" w14:textId="1F8AE0F6" w:rsidR="004930A4" w:rsidRDefault="007718A6" w:rsidP="007718A6">
      <w:pPr>
        <w:rPr>
          <w:noProof/>
        </w:rPr>
      </w:pPr>
      <w:r w:rsidRPr="00FA0508">
        <w:rPr>
          <w:b/>
        </w:rPr>
        <w:t>Figure S</w:t>
      </w:r>
      <w:r w:rsidR="007E02F7">
        <w:rPr>
          <w:b/>
        </w:rPr>
        <w:t>5</w:t>
      </w:r>
      <w:r w:rsidRPr="00FA0508">
        <w:rPr>
          <w:b/>
        </w:rPr>
        <w:t xml:space="preserve">. Absorbance spectrum from 250-750 nm of reconstituted WSCP-Chl </w:t>
      </w:r>
      <w:r w:rsidRPr="00FA0508">
        <w:rPr>
          <w:b/>
          <w:i/>
          <w:iCs/>
        </w:rPr>
        <w:t>a</w:t>
      </w:r>
      <w:r w:rsidR="00F7540D">
        <w:t xml:space="preserve">. </w:t>
      </w:r>
      <w:r w:rsidRPr="0065270F">
        <w:t>Maximum peak (Q</w:t>
      </w:r>
      <w:r w:rsidRPr="0065270F">
        <w:rPr>
          <w:vertAlign w:val="subscript"/>
        </w:rPr>
        <w:t>y</w:t>
      </w:r>
      <w:r w:rsidRPr="0065270F">
        <w:t>) is seen at 673 nm</w:t>
      </w:r>
      <w:r>
        <w:t>.</w:t>
      </w:r>
      <w:r w:rsidR="00F7540D" w:rsidRPr="00F7540D">
        <w:rPr>
          <w:noProof/>
        </w:rPr>
        <w:t xml:space="preserve"> </w:t>
      </w:r>
    </w:p>
    <w:p w14:paraId="5BBD5E86" w14:textId="7168211A" w:rsidR="009F3ED0" w:rsidRPr="009F3ED0" w:rsidRDefault="009F3ED0" w:rsidP="009F3ED0">
      <w:pPr>
        <w:spacing w:after="0" w:line="240" w:lineRule="auto"/>
        <w:jc w:val="left"/>
        <w:rPr>
          <w:noProof/>
        </w:rPr>
      </w:pPr>
      <w:r>
        <w:rPr>
          <w:b/>
        </w:rPr>
        <w:br w:type="page"/>
      </w:r>
      <w:r>
        <w:rPr>
          <w:rFonts w:cstheme="majorHAnsi"/>
          <w:noProof/>
          <w:sz w:val="22"/>
          <w:szCs w:val="22"/>
          <w:lang w:val="da-DK" w:eastAsia="da-DK"/>
        </w:rPr>
        <w:lastRenderedPageBreak/>
        <w:drawing>
          <wp:inline distT="0" distB="0" distL="0" distR="0" wp14:anchorId="533AB012" wp14:editId="0D818D77">
            <wp:extent cx="6116320" cy="3136265"/>
            <wp:effectExtent l="0" t="0" r="508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rol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2010" w14:textId="46AFD555" w:rsidR="009F3ED0" w:rsidRDefault="009F3ED0" w:rsidP="009F3ED0">
      <w:pPr>
        <w:spacing w:line="480" w:lineRule="auto"/>
        <w:rPr>
          <w:rFonts w:cstheme="majorHAnsi"/>
          <w:sz w:val="22"/>
          <w:szCs w:val="22"/>
        </w:rPr>
      </w:pPr>
      <w:r>
        <w:rPr>
          <w:b/>
        </w:rPr>
        <w:t>Figure S</w:t>
      </w:r>
      <w:r w:rsidR="007E02F7">
        <w:rPr>
          <w:b/>
        </w:rPr>
        <w:t>6</w:t>
      </w:r>
      <w:r>
        <w:rPr>
          <w:b/>
        </w:rPr>
        <w:t xml:space="preserve">. Gluconic acid assay with control experiments. </w:t>
      </w:r>
      <w:r>
        <w:rPr>
          <w:rFonts w:cstheme="majorHAnsi"/>
          <w:sz w:val="22"/>
          <w:szCs w:val="22"/>
        </w:rPr>
        <w:t>Light experiments</w:t>
      </w:r>
      <w:r w:rsidRPr="007F2484">
        <w:rPr>
          <w:rFonts w:cstheme="majorHAnsi"/>
          <w:sz w:val="22"/>
          <w:szCs w:val="22"/>
        </w:rPr>
        <w:t xml:space="preserve"> were performed at 100 µmol m</w:t>
      </w:r>
      <w:r w:rsidRPr="007F2484">
        <w:rPr>
          <w:rFonts w:cstheme="majorHAnsi"/>
          <w:sz w:val="22"/>
          <w:szCs w:val="22"/>
          <w:vertAlign w:val="superscript"/>
        </w:rPr>
        <w:t>-2</w:t>
      </w:r>
      <w:r w:rsidRPr="007F2484">
        <w:rPr>
          <w:rFonts w:cstheme="majorHAnsi"/>
          <w:sz w:val="22"/>
          <w:szCs w:val="22"/>
        </w:rPr>
        <w:t xml:space="preserve"> s</w:t>
      </w:r>
      <w:r w:rsidRPr="007F2484">
        <w:rPr>
          <w:rFonts w:cstheme="majorHAnsi"/>
          <w:sz w:val="22"/>
          <w:szCs w:val="22"/>
          <w:vertAlign w:val="superscript"/>
        </w:rPr>
        <w:t>-1</w:t>
      </w:r>
      <w:r w:rsidRPr="007F2484">
        <w:rPr>
          <w:rFonts w:cstheme="majorHAnsi"/>
          <w:sz w:val="22"/>
          <w:szCs w:val="22"/>
        </w:rPr>
        <w:t xml:space="preserve"> cool white LED (4000K) spectrum at 25°C in 50 mM potassium phosphate buffer (pH 6.3), with CNF (0.25 % w/v)</w:t>
      </w:r>
      <w:r>
        <w:rPr>
          <w:rFonts w:cstheme="majorHAnsi"/>
          <w:sz w:val="22"/>
          <w:szCs w:val="22"/>
        </w:rPr>
        <w:t xml:space="preserve">. Dark controls were covered with aluminum foil. </w:t>
      </w:r>
      <w:r w:rsidRPr="007F2484">
        <w:rPr>
          <w:rFonts w:cstheme="majorHAnsi"/>
          <w:sz w:val="22"/>
          <w:szCs w:val="22"/>
        </w:rPr>
        <w:t>1</w:t>
      </w:r>
      <w:r>
        <w:rPr>
          <w:rFonts w:cstheme="majorHAnsi"/>
          <w:sz w:val="22"/>
          <w:szCs w:val="22"/>
        </w:rPr>
        <w:t xml:space="preserve"> </w:t>
      </w:r>
      <w:r w:rsidRPr="007F2484">
        <w:rPr>
          <w:rFonts w:cstheme="majorHAnsi"/>
          <w:sz w:val="22"/>
          <w:szCs w:val="22"/>
        </w:rPr>
        <w:t>mM Asc</w:t>
      </w:r>
      <w:r>
        <w:rPr>
          <w:rFonts w:cstheme="majorHAnsi"/>
          <w:sz w:val="22"/>
          <w:szCs w:val="22"/>
        </w:rPr>
        <w:t xml:space="preserve"> was added at time 0 </w:t>
      </w:r>
      <w:r w:rsidRPr="007F2484">
        <w:rPr>
          <w:rFonts w:cstheme="majorHAnsi"/>
          <w:sz w:val="22"/>
          <w:szCs w:val="22"/>
        </w:rPr>
        <w:t>hour</w:t>
      </w:r>
      <w:r>
        <w:rPr>
          <w:rFonts w:cstheme="majorHAnsi"/>
          <w:sz w:val="22"/>
          <w:szCs w:val="22"/>
        </w:rPr>
        <w:t xml:space="preserve">. </w:t>
      </w:r>
      <w:r w:rsidRPr="007F2484">
        <w:rPr>
          <w:rFonts w:eastAsia="Arial Unicode MS" w:cstheme="majorHAnsi"/>
          <w:sz w:val="22"/>
          <w:szCs w:val="22"/>
        </w:rPr>
        <w:t>Curves are averages of three independent experiments and the SEM of these experiments is shown.</w:t>
      </w:r>
      <w:r>
        <w:rPr>
          <w:rFonts w:eastAsia="Arial Unicode MS" w:cstheme="majorHAnsi"/>
          <w:sz w:val="22"/>
          <w:szCs w:val="22"/>
        </w:rPr>
        <w:t xml:space="preserve"> Single factor ANOVA was performed on the dark controls and there is no significant difference upon the addition of pigments without additional light (p &gt; 0.05).</w:t>
      </w:r>
    </w:p>
    <w:p w14:paraId="465F93FE" w14:textId="77777777" w:rsidR="009F3ED0" w:rsidRDefault="009F3ED0">
      <w:pPr>
        <w:spacing w:after="0" w:line="240" w:lineRule="auto"/>
        <w:jc w:val="left"/>
        <w:rPr>
          <w:b/>
        </w:rPr>
      </w:pPr>
    </w:p>
    <w:p w14:paraId="439EB505" w14:textId="77777777" w:rsidR="00832415" w:rsidRDefault="00832415" w:rsidP="007718A6">
      <w:pPr>
        <w:rPr>
          <w:noProof/>
        </w:rPr>
      </w:pPr>
    </w:p>
    <w:p w14:paraId="22E033F5" w14:textId="1884FC0F" w:rsidR="00B233C6" w:rsidRPr="00AE521F" w:rsidRDefault="00B233C6" w:rsidP="00AD3D7E">
      <w:pPr>
        <w:spacing w:after="0" w:line="240" w:lineRule="auto"/>
        <w:jc w:val="left"/>
        <w:rPr>
          <w:noProof/>
        </w:rPr>
      </w:pPr>
    </w:p>
    <w:sectPr w:rsidR="00B233C6" w:rsidRPr="00AE521F" w:rsidSect="00A60536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A6"/>
    <w:rsid w:val="001E3A6D"/>
    <w:rsid w:val="0025129F"/>
    <w:rsid w:val="00390A12"/>
    <w:rsid w:val="00432CC7"/>
    <w:rsid w:val="004434ED"/>
    <w:rsid w:val="004930A4"/>
    <w:rsid w:val="007035E9"/>
    <w:rsid w:val="007718A6"/>
    <w:rsid w:val="007C6A16"/>
    <w:rsid w:val="007E02F7"/>
    <w:rsid w:val="00832415"/>
    <w:rsid w:val="009F3ED0"/>
    <w:rsid w:val="00A137C0"/>
    <w:rsid w:val="00A60536"/>
    <w:rsid w:val="00AD3D7E"/>
    <w:rsid w:val="00AE521F"/>
    <w:rsid w:val="00B233C6"/>
    <w:rsid w:val="00B3794A"/>
    <w:rsid w:val="00D1341F"/>
    <w:rsid w:val="00F04A1D"/>
    <w:rsid w:val="00F7540D"/>
    <w:rsid w:val="00FA0508"/>
    <w:rsid w:val="00FD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7BB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8A6"/>
    <w:pPr>
      <w:spacing w:after="200" w:line="360" w:lineRule="auto"/>
      <w:jc w:val="both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F04A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A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A1D"/>
    <w:rPr>
      <w:rFonts w:asciiTheme="majorHAnsi" w:eastAsiaTheme="majorEastAsia" w:hAnsiTheme="majorHAnsi" w:cstheme="majorBidi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A1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A1D"/>
    <w:rPr>
      <w:rFonts w:ascii="Times New Roman" w:eastAsiaTheme="majorEastAsia" w:hAnsi="Times New Roman" w:cs="Times New Roman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8A6"/>
    <w:pPr>
      <w:spacing w:after="200" w:line="360" w:lineRule="auto"/>
      <w:jc w:val="both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F04A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A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A1D"/>
    <w:rPr>
      <w:rFonts w:asciiTheme="majorHAnsi" w:eastAsiaTheme="majorEastAsia" w:hAnsiTheme="majorHAnsi" w:cstheme="majorBidi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A1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A1D"/>
    <w:rPr>
      <w:rFonts w:ascii="Times New Roman" w:eastAsiaTheme="majorEastAsia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6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5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9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1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7474A-4B26-42ED-9A33-66013EAED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511</Words>
  <Characters>2858</Characters>
  <Application>Microsoft Office Word</Application>
  <DocSecurity>0</DocSecurity>
  <Lines>92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Dodge</dc:creator>
  <cp:keywords/>
  <dc:description/>
  <cp:lastModifiedBy>Poul Erik Jensen</cp:lastModifiedBy>
  <cp:revision>3</cp:revision>
  <dcterms:created xsi:type="dcterms:W3CDTF">2020-10-27T08:35:00Z</dcterms:created>
  <dcterms:modified xsi:type="dcterms:W3CDTF">2020-10-27T09:23:00Z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9e86a694-9828-3c88-b754-7b36166be97a</vt:lpwstr>
  </property>
  <property fmtid="{D5CDD505-2E9C-101B-9397-08002B2CF9AE}" pid="4" name="Mendeley Citation Style_1">
    <vt:lpwstr>http://www.zotero.org/styles/american-medical-association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(deprecated)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  <property fmtid="{D5CDD505-2E9C-101B-9397-08002B2CF9AE}" pid="25" name="ContentRemapped">
    <vt:lpwstr>true</vt:lpwstr>
  </property>
</Properties>
</file>