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45327" w14:textId="11FDA5B8" w:rsidR="00B370FF" w:rsidRDefault="00B370F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D86AD67" w14:textId="77777777" w:rsidR="00B370FF" w:rsidRDefault="00B370FF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leNormal1"/>
        <w:tblW w:w="76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4"/>
        <w:gridCol w:w="2569"/>
      </w:tblGrid>
      <w:tr w:rsidR="00B370FF" w14:paraId="4154AD14" w14:textId="77777777">
        <w:trPr>
          <w:trHeight w:val="615"/>
          <w:jc w:val="center"/>
        </w:trPr>
        <w:tc>
          <w:tcPr>
            <w:tcW w:w="763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FEAC" w14:textId="77777777" w:rsidR="00B370FF" w:rsidRDefault="00E2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b/>
                <w:bCs/>
              </w:rPr>
              <w:t xml:space="preserve">Table S1. </w:t>
            </w:r>
            <w:r>
              <w:rPr>
                <w:rStyle w:val="None"/>
                <w:rFonts w:ascii="Times New Roman" w:hAnsi="Times New Roman" w:cs="Times New Roman"/>
              </w:rPr>
              <w:br/>
              <w:t>Patient and Imaging Characteristics (</w:t>
            </w:r>
            <w:r w:rsidRPr="00E248B2">
              <w:rPr>
                <w:rStyle w:val="None"/>
                <w:rFonts w:ascii="Times New Roman" w:hAnsi="Times New Roman" w:cs="Times New Roman"/>
                <w:i/>
              </w:rPr>
              <w:t>n</w:t>
            </w:r>
            <w:r>
              <w:rPr>
                <w:rStyle w:val="None"/>
                <w:rFonts w:ascii="Times New Roman" w:hAnsi="Times New Roman" w:cs="Times New Roman"/>
              </w:rPr>
              <w:t>=20)</w:t>
            </w:r>
          </w:p>
        </w:tc>
      </w:tr>
      <w:tr w:rsidR="00B370FF" w14:paraId="56E2B09B" w14:textId="77777777">
        <w:trPr>
          <w:trHeight w:val="340"/>
          <w:jc w:val="center"/>
        </w:trPr>
        <w:tc>
          <w:tcPr>
            <w:tcW w:w="506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B2A1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Sex and age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BD94" w14:textId="77777777" w:rsidR="00B370FF" w:rsidRDefault="00E2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Values for age</w:t>
            </w:r>
          </w:p>
        </w:tc>
      </w:tr>
      <w:tr w:rsidR="00B370FF" w14:paraId="7654C6A0" w14:textId="77777777">
        <w:trPr>
          <w:trHeight w:val="315"/>
          <w:jc w:val="center"/>
        </w:trPr>
        <w:tc>
          <w:tcPr>
            <w:tcW w:w="50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FBFB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Mean (range) age (in years)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A593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               50.0 (23–84)</w:t>
            </w:r>
          </w:p>
        </w:tc>
      </w:tr>
      <w:tr w:rsidR="00B370FF" w14:paraId="1BFE1741" w14:textId="77777777" w:rsidTr="00E248B2">
        <w:trPr>
          <w:trHeight w:val="315"/>
          <w:jc w:val="center"/>
        </w:trPr>
        <w:tc>
          <w:tcPr>
            <w:tcW w:w="50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DA3E" w14:textId="77777777" w:rsidR="00B370FF" w:rsidRDefault="00E248B2">
            <w:pPr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Mean (range) weight (in kg)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4894" w14:textId="77777777" w:rsidR="00B370FF" w:rsidRDefault="00E248B2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248B2">
              <w:rPr>
                <w:rStyle w:val="None"/>
                <w:rFonts w:ascii="Times New Roman" w:hAnsi="Times New Roman" w:cs="Times New Roman"/>
              </w:rPr>
              <w:t>81 (47–130)</w:t>
            </w:r>
          </w:p>
        </w:tc>
      </w:tr>
      <w:tr w:rsidR="00B370FF" w14:paraId="48346FBA" w14:textId="77777777">
        <w:trPr>
          <w:trHeight w:val="310"/>
          <w:jc w:val="center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E902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Men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EE1D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                   8</w:t>
            </w:r>
          </w:p>
        </w:tc>
      </w:tr>
      <w:tr w:rsidR="00B370FF" w14:paraId="6C82AC2E" w14:textId="77777777">
        <w:trPr>
          <w:trHeight w:val="305"/>
          <w:jc w:val="center"/>
        </w:trPr>
        <w:tc>
          <w:tcPr>
            <w:tcW w:w="50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1E52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Women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EAE8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                  12</w:t>
            </w:r>
          </w:p>
        </w:tc>
      </w:tr>
      <w:tr w:rsidR="00B370FF" w14:paraId="0260E4CD" w14:textId="77777777">
        <w:trPr>
          <w:trHeight w:val="310"/>
          <w:jc w:val="center"/>
        </w:trPr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621C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Lymphoma subtype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C0AF" w14:textId="77777777" w:rsidR="00B370FF" w:rsidRDefault="00E2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Number of patients</w:t>
            </w:r>
          </w:p>
        </w:tc>
      </w:tr>
      <w:tr w:rsidR="00B370FF" w14:paraId="0439391C" w14:textId="77777777">
        <w:trPr>
          <w:trHeight w:val="2115"/>
          <w:jc w:val="center"/>
        </w:trPr>
        <w:tc>
          <w:tcPr>
            <w:tcW w:w="50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3D2D" w14:textId="77777777" w:rsidR="00B370FF" w:rsidRDefault="00E248B2">
            <w:pPr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Hodgkin lymphoma</w:t>
            </w:r>
          </w:p>
          <w:p w14:paraId="6DD5C3BC" w14:textId="77777777" w:rsidR="00B370FF" w:rsidRDefault="00E248B2">
            <w:pPr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High clinical suspicion, NOS</w:t>
            </w:r>
          </w:p>
          <w:p w14:paraId="3CC2F2B7" w14:textId="77777777" w:rsidR="00B370FF" w:rsidRDefault="00E248B2">
            <w:pPr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NHL</w:t>
            </w:r>
          </w:p>
          <w:p w14:paraId="1DE63438" w14:textId="77777777" w:rsidR="00B370FF" w:rsidRDefault="00E248B2">
            <w:pPr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DLBCL</w:t>
            </w:r>
          </w:p>
          <w:p w14:paraId="236E04BD" w14:textId="77777777" w:rsidR="00B370FF" w:rsidRDefault="00E248B2">
            <w:pPr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Follicular lymphoma</w:t>
            </w:r>
          </w:p>
          <w:p w14:paraId="4EB88992" w14:textId="77777777" w:rsidR="00B370FF" w:rsidRDefault="00E248B2">
            <w:pPr>
              <w:tabs>
                <w:tab w:val="right" w:pos="4456"/>
              </w:tabs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ALCL</w:t>
            </w:r>
          </w:p>
          <w:p w14:paraId="188287C0" w14:textId="77777777" w:rsidR="00B370FF" w:rsidRDefault="00E248B2">
            <w:pPr>
              <w:tabs>
                <w:tab w:val="right" w:pos="4456"/>
              </w:tabs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BCL NOS</w:t>
            </w:r>
          </w:p>
          <w:p w14:paraId="629E7ED4" w14:textId="77777777" w:rsidR="00B370FF" w:rsidRDefault="00E248B2">
            <w:pPr>
              <w:tabs>
                <w:tab w:val="right" w:pos="4456"/>
              </w:tabs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NHL NOS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800D" w14:textId="77777777" w:rsidR="00B370FF" w:rsidRDefault="00E248B2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5</w:t>
            </w:r>
          </w:p>
          <w:p w14:paraId="1161684A" w14:textId="77777777" w:rsidR="00B370FF" w:rsidRDefault="00E248B2">
            <w:pPr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1</w:t>
            </w:r>
          </w:p>
          <w:p w14:paraId="60EA9235" w14:textId="77777777" w:rsidR="00B370FF" w:rsidRDefault="00E248B2">
            <w:pPr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14</w:t>
            </w:r>
          </w:p>
          <w:p w14:paraId="21F7E55B" w14:textId="77777777" w:rsidR="00B370FF" w:rsidRDefault="00E248B2">
            <w:pPr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- 6</w:t>
            </w:r>
          </w:p>
          <w:p w14:paraId="3E268F54" w14:textId="77777777" w:rsidR="00B370FF" w:rsidRDefault="00E248B2">
            <w:pPr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- 2</w:t>
            </w:r>
          </w:p>
          <w:p w14:paraId="685556FD" w14:textId="77777777" w:rsidR="00B370FF" w:rsidRDefault="00E248B2">
            <w:pPr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- 1</w:t>
            </w:r>
          </w:p>
          <w:p w14:paraId="2CF72112" w14:textId="77777777" w:rsidR="00B370FF" w:rsidRDefault="00E248B2">
            <w:pPr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- 3</w:t>
            </w:r>
          </w:p>
          <w:p w14:paraId="1D4892EC" w14:textId="48BA9568" w:rsidR="00B370FF" w:rsidRDefault="00E248B2" w:rsidP="006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- 2</w:t>
            </w:r>
          </w:p>
        </w:tc>
      </w:tr>
      <w:tr w:rsidR="00B370FF" w14:paraId="7BE80E38" w14:textId="77777777">
        <w:trPr>
          <w:trHeight w:val="310"/>
          <w:jc w:val="center"/>
        </w:trPr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EC03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Indication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15AB" w14:textId="77777777" w:rsidR="00B370FF" w:rsidRDefault="00E2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Number of patients</w:t>
            </w:r>
          </w:p>
        </w:tc>
      </w:tr>
      <w:tr w:rsidR="00B370FF" w14:paraId="2CE378A9" w14:textId="77777777">
        <w:trPr>
          <w:trHeight w:val="910"/>
          <w:jc w:val="center"/>
        </w:trPr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7707" w14:textId="77777777" w:rsidR="00B370FF" w:rsidRDefault="00E248B2">
            <w:pPr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Initial staging</w:t>
            </w:r>
          </w:p>
          <w:p w14:paraId="2BC1049C" w14:textId="77777777" w:rsidR="00B370FF" w:rsidRDefault="00E248B2">
            <w:pPr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Assessment of treatment response</w:t>
            </w:r>
          </w:p>
          <w:p w14:paraId="26DAAFF0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Suspicion for recurrence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46CE" w14:textId="77777777" w:rsidR="00B370FF" w:rsidRDefault="00E248B2">
            <w:pPr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6</w:t>
            </w:r>
          </w:p>
          <w:p w14:paraId="3C5524A7" w14:textId="77777777" w:rsidR="00B370FF" w:rsidRDefault="00E248B2">
            <w:pPr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12</w:t>
            </w:r>
          </w:p>
          <w:p w14:paraId="296BF003" w14:textId="77777777" w:rsidR="00B370FF" w:rsidRDefault="00E2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B370FF" w14:paraId="5464C0B1" w14:textId="77777777">
        <w:trPr>
          <w:trHeight w:val="377"/>
          <w:jc w:val="center"/>
        </w:trPr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AF81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Imaging characteristics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C5F9" w14:textId="77777777" w:rsidR="00B370FF" w:rsidRDefault="00B370FF">
            <w:pPr>
              <w:rPr>
                <w:rFonts w:ascii="Times New Roman" w:hAnsi="Times New Roman" w:cs="Times New Roman"/>
              </w:rPr>
            </w:pPr>
          </w:p>
        </w:tc>
      </w:tr>
      <w:tr w:rsidR="00B370FF" w14:paraId="6E93FBA0" w14:textId="77777777">
        <w:trPr>
          <w:trHeight w:val="610"/>
          <w:jc w:val="center"/>
        </w:trPr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1AF8" w14:textId="77777777" w:rsidR="00B370FF" w:rsidRDefault="00E248B2">
            <w:pPr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Mean administered activity ±SD</w:t>
            </w:r>
          </w:p>
          <w:p w14:paraId="34B47FAD" w14:textId="77777777" w:rsidR="00B370FF" w:rsidRDefault="00E248B2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Mean uptake time ± standard deviation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D2B0" w14:textId="77777777" w:rsidR="00B370FF" w:rsidRDefault="00E248B2">
            <w:pPr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340±72</w:t>
            </w:r>
          </w:p>
          <w:p w14:paraId="1AA95E51" w14:textId="77777777" w:rsidR="00B370FF" w:rsidRDefault="00E2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73±11</w:t>
            </w:r>
          </w:p>
        </w:tc>
      </w:tr>
    </w:tbl>
    <w:p w14:paraId="3E291DCA" w14:textId="77777777" w:rsidR="00B370FF" w:rsidRDefault="00E248B2">
      <w:pPr>
        <w:widowControl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NOS: Non otherwise specified; NHL: Non-Hodgkin lymphoma; DLBCL: Diffuse B-Cell </w:t>
      </w:r>
    </w:p>
    <w:p w14:paraId="4A68A12E" w14:textId="77777777" w:rsidR="00B370FF" w:rsidRDefault="00E248B2">
      <w:pPr>
        <w:widowControl w:val="0"/>
        <w:spacing w:line="360" w:lineRule="auto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Lymphoma; ALCL: anaplastic large-cell lymphoma; BCL: B-cell lymphoma, NHL: Non-</w:t>
      </w:r>
    </w:p>
    <w:p w14:paraId="2AFC308A" w14:textId="77777777" w:rsidR="00B370FF" w:rsidRDefault="00E248B2">
      <w:pPr>
        <w:widowControl w:val="0"/>
        <w:spacing w:line="360" w:lineRule="auto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Hodgkin lymphoma</w:t>
      </w:r>
    </w:p>
    <w:p w14:paraId="27DED4E8" w14:textId="77777777" w:rsidR="00B370FF" w:rsidRDefault="00B370F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A9A99A8" w14:textId="77777777" w:rsidR="00B370FF" w:rsidRDefault="00B370F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8057F8D" w14:textId="77777777" w:rsidR="00B370FF" w:rsidRDefault="00B370F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5FAFC91" w14:textId="77777777" w:rsidR="00B370FF" w:rsidRDefault="00E248B2">
      <w:pPr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B8374C" w14:textId="77777777" w:rsidR="00B370FF" w:rsidRDefault="00E248B2">
      <w:pPr>
        <w:spacing w:line="36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 w:cs="Times New Roman"/>
          <w:b/>
          <w:bCs/>
        </w:rPr>
        <w:lastRenderedPageBreak/>
        <w:t>Table S2</w:t>
      </w:r>
    </w:p>
    <w:p w14:paraId="6E2E124F" w14:textId="77777777" w:rsidR="00B370FF" w:rsidRDefault="00E248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Overview of the Lesion detectability using images reconstructed with OSEM-TOF+PSF 4i (served as reference) in comparison with the detectability using images reconstructed with OSEM-TOF 4i (short) and OSEM-TOF 2i (reduced).</w:t>
      </w:r>
    </w:p>
    <w:p w14:paraId="78814746" w14:textId="77777777" w:rsidR="00B370FF" w:rsidRDefault="00B370FF">
      <w:pPr>
        <w:jc w:val="center"/>
        <w:rPr>
          <w:rFonts w:ascii="Times New Roman" w:hAnsi="Times New Roman" w:cs="Times New Roman"/>
        </w:rPr>
      </w:pPr>
    </w:p>
    <w:tbl>
      <w:tblPr>
        <w:tblStyle w:val="TableNormal1"/>
        <w:tblW w:w="87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"/>
        <w:gridCol w:w="2591"/>
        <w:gridCol w:w="2592"/>
        <w:gridCol w:w="2592"/>
      </w:tblGrid>
      <w:tr w:rsidR="00B370FF" w14:paraId="459E1481" w14:textId="77777777" w:rsidTr="00E248B2">
        <w:trPr>
          <w:trHeight w:val="528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3BE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Patient No.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E969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OSEM-PSF+TOF 4i (reference)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3BC8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OSEM-PSF+TOF 4i (reduced)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5E2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OSEM-PSF+TOF 2i (reduced)</w:t>
            </w:r>
          </w:p>
        </w:tc>
      </w:tr>
      <w:tr w:rsidR="00B370FF" w14:paraId="68DD5BA9" w14:textId="77777777" w:rsidTr="00E248B2">
        <w:trPr>
          <w:trHeight w:val="410"/>
        </w:trPr>
        <w:tc>
          <w:tcPr>
            <w:tcW w:w="96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742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4D29C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1/0/0 (II)</w:t>
            </w:r>
          </w:p>
        </w:tc>
        <w:tc>
          <w:tcPr>
            <w:tcW w:w="25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05C2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1/0/0 (II)</w:t>
            </w:r>
          </w:p>
        </w:tc>
        <w:tc>
          <w:tcPr>
            <w:tcW w:w="25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0CF8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1/0/0 (II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B370FF" w14:paraId="496E6399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24CD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BEC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1F7B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8D5CA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15F8AF84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FCDC8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64C6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(IV)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9743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(IV)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08D47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(IV)</w:t>
            </w:r>
          </w:p>
        </w:tc>
      </w:tr>
      <w:tr w:rsidR="00B370FF" w14:paraId="429CF928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22D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E407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B998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CB65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778CFB42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F588A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5F6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DD63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1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(I)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8EDF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(I)</w:t>
            </w:r>
          </w:p>
        </w:tc>
      </w:tr>
      <w:tr w:rsidR="00B370FF" w14:paraId="58964801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00278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B9A3A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547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0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/0/0 (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0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C8E27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30BA16EF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4667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14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A907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433A3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DE65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</w:tr>
      <w:tr w:rsidR="00B370FF" w14:paraId="3E7D6674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904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15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1D7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0DF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A64E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6B851FFD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051F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16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6860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0345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2B1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4895AA53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0D9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A59C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3FD7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0937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2C53C835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3FC2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18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E5C3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1/0/1 (IV)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5366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1/0/1 (IV)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CCC8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1/0/1 (IV)</w:t>
            </w:r>
          </w:p>
        </w:tc>
      </w:tr>
      <w:tr w:rsidR="00B370FF" w14:paraId="5F677763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471E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19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337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0478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137D3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5B5BFFC9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BF3B9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20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C31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7379B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D09C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</w:tr>
      <w:tr w:rsidR="00B370FF" w14:paraId="35BEDA81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B7BB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21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5687C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381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2721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I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B370FF" w14:paraId="2CB3595F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1690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22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6BCB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4823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6659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78805631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685A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328A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7BD1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DBFC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220407C9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79B8C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24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72C89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0/1/0 (II)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48C8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0/1/0 (II)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F6A7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0/1/0 (II)</w:t>
            </w:r>
          </w:p>
        </w:tc>
      </w:tr>
      <w:tr w:rsidR="00B370FF" w14:paraId="07689939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B7879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25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9744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(II)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A139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(II)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F101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0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/0 (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II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B370FF" w14:paraId="6C1AEED5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ADDE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26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914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4362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DE08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00E3E2D1" w14:textId="77777777" w:rsidTr="00E248B2">
        <w:trPr>
          <w:trHeight w:val="382"/>
        </w:trPr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5B23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2DF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37923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0/0/0 (0)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B03F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0/0/0 (0)</w:t>
            </w:r>
          </w:p>
        </w:tc>
      </w:tr>
    </w:tbl>
    <w:p w14:paraId="4181155D" w14:textId="77777777" w:rsidR="00B370FF" w:rsidRDefault="00E248B2">
      <w:pPr>
        <w:spacing w:line="360" w:lineRule="auto"/>
        <w:jc w:val="center"/>
        <w:rPr>
          <w:rStyle w:val="None"/>
          <w:rFonts w:ascii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 w:cs="Times New Roman"/>
          <w:sz w:val="20"/>
          <w:szCs w:val="20"/>
        </w:rPr>
        <w:t xml:space="preserve">Supradiaphragmal positive? / infradiaphragmal positive? / Extranodal positive? (Ann-Arbor-Stage); „1“: yes, „0“: no </w:t>
      </w:r>
    </w:p>
    <w:p w14:paraId="101D556D" w14:textId="77777777" w:rsidR="00B370FF" w:rsidRDefault="00E248B2">
      <w:pPr>
        <w:rPr>
          <w:rStyle w:val="None"/>
          <w:rFonts w:ascii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 w:cs="Times New Roman"/>
          <w:sz w:val="20"/>
          <w:szCs w:val="20"/>
        </w:rPr>
        <w:br w:type="page"/>
      </w:r>
    </w:p>
    <w:p w14:paraId="5062DDDC" w14:textId="77777777" w:rsidR="00B370FF" w:rsidRDefault="00E248B2">
      <w:pPr>
        <w:spacing w:line="36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 w:cs="Times New Roman"/>
          <w:b/>
          <w:bCs/>
        </w:rPr>
        <w:lastRenderedPageBreak/>
        <w:t>Table S3</w:t>
      </w:r>
    </w:p>
    <w:p w14:paraId="7BE621A7" w14:textId="77777777" w:rsidR="00B370FF" w:rsidRDefault="00E248B2">
      <w:pPr>
        <w:spacing w:line="36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Overview of the lesion detectability using images reconstructed with OSEM-TOF 4i (served as reference) in comparison with the detectability using images reconstructed with OSEM-TOF 4i (short) and OSEM-TOF 2i (reduced).</w:t>
      </w:r>
    </w:p>
    <w:tbl>
      <w:tblPr>
        <w:tblStyle w:val="TableNormal1"/>
        <w:tblW w:w="87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7"/>
        <w:gridCol w:w="2609"/>
        <w:gridCol w:w="2610"/>
        <w:gridCol w:w="2610"/>
      </w:tblGrid>
      <w:tr w:rsidR="00B370FF" w14:paraId="4BEC9B54" w14:textId="77777777" w:rsidTr="00E248B2">
        <w:trPr>
          <w:trHeight w:val="546"/>
        </w:trPr>
        <w:tc>
          <w:tcPr>
            <w:tcW w:w="96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F09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Patient No.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C951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OSEM-TOF 4i (reference)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FABC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OSEM-TOF 4i (reduced)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ED6A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OSEM-TOF 2i (reduced)</w:t>
            </w:r>
          </w:p>
        </w:tc>
      </w:tr>
      <w:tr w:rsidR="00B370FF" w14:paraId="296125FB" w14:textId="77777777" w:rsidTr="00E248B2">
        <w:trPr>
          <w:trHeight w:val="424"/>
        </w:trPr>
        <w:tc>
          <w:tcPr>
            <w:tcW w:w="96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FD23C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1372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1/0/0 (II)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36C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1/0/0 (II)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B0379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1/0/0 (II)</w:t>
            </w:r>
          </w:p>
        </w:tc>
      </w:tr>
      <w:tr w:rsidR="00B370FF" w14:paraId="6EF313E9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ACCA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ACF0E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2D7E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C19B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29990EEA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FC5DB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6584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(IV)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536B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(IV)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00629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(IV)</w:t>
            </w:r>
          </w:p>
        </w:tc>
      </w:tr>
      <w:tr w:rsidR="00B370FF" w14:paraId="6016D42D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DED7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D80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4AA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5833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25693BF2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6B968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3BCAC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 IS)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9EFEB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0/0/1 (IS)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5F79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1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(IS)</w:t>
            </w:r>
          </w:p>
        </w:tc>
      </w:tr>
      <w:tr w:rsidR="00B370FF" w14:paraId="0D5B1F57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7AB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D8F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DDC3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3428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0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/0/0 (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0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B370FF" w14:paraId="1ADCAADD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E036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4719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751B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62CAC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</w:tr>
      <w:tr w:rsidR="00B370FF" w14:paraId="6F4E55C4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94B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DCFD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AE88E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8890B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6D19E7FA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3A3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E122F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919B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ABCC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46C58C33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440E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17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85A9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5D3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7EE8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3302293E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0695B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18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67FF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1/0/1 (IV)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A0D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1/0/1 (IV)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17F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1/0/1 (IV)</w:t>
            </w:r>
          </w:p>
        </w:tc>
      </w:tr>
      <w:tr w:rsidR="00B370FF" w14:paraId="519D4D6B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4EB5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19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45A50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9B1D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510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03EB4187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FD8B7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9ABF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E125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82E0B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1/1/0 (III)</w:t>
            </w:r>
          </w:p>
        </w:tc>
      </w:tr>
      <w:tr w:rsidR="00B370FF" w14:paraId="33B1236B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903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56D8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(I)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7587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I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A79D8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I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B370FF" w14:paraId="5BA06B7D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8927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6D95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7B61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6087C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7500A72A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890B9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DBC7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419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08DE7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6A213CFC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9E4B4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79D57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0/1/0 (II)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E52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0/1/0 (II)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3CFA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0/1/0 (II)</w:t>
            </w:r>
          </w:p>
        </w:tc>
      </w:tr>
      <w:tr w:rsidR="00B370FF" w14:paraId="39F13B38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D8629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09AFA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(II)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389E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1/0/0 (II)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6F066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1/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0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/0 (</w:t>
            </w:r>
            <w:r>
              <w:rPr>
                <w:rStyle w:val="None"/>
                <w:rFonts w:ascii="Times New Roman" w:hAnsi="Times New Roman" w:cs="Times New Roman"/>
                <w:bCs/>
                <w:color w:val="auto"/>
                <w:sz w:val="20"/>
                <w:szCs w:val="20"/>
                <w:u w:color="FF0000"/>
                <w:lang w:val="de-DE"/>
              </w:rPr>
              <w:t>II</w:t>
            </w: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B370FF" w14:paraId="4757B277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995BA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26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1FE3A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2C21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C25E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0/0/0 (0)</w:t>
            </w:r>
          </w:p>
        </w:tc>
      </w:tr>
      <w:tr w:rsidR="00B370FF" w14:paraId="04F378C0" w14:textId="77777777" w:rsidTr="00E248B2">
        <w:trPr>
          <w:trHeight w:val="395"/>
        </w:trPr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65002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08D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8B93D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0/0/0 (0)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206B" w14:textId="77777777" w:rsidR="00B370FF" w:rsidRDefault="00E248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0/0/0 (0)</w:t>
            </w:r>
          </w:p>
        </w:tc>
      </w:tr>
    </w:tbl>
    <w:p w14:paraId="0B6C02FE" w14:textId="77777777" w:rsidR="00B370FF" w:rsidRDefault="00E248B2">
      <w:pPr>
        <w:widowControl w:val="0"/>
        <w:spacing w:after="200" w:line="360" w:lineRule="auto"/>
        <w:rPr>
          <w:rFonts w:ascii="Times New Roman" w:hAnsi="Times New Roman" w:cs="Times New Roman"/>
        </w:rPr>
      </w:pPr>
      <w:r>
        <w:rPr>
          <w:rStyle w:val="None"/>
          <w:rFonts w:ascii="Times New Roman" w:hAnsi="Times New Roman" w:cs="Times New Roman"/>
          <w:sz w:val="20"/>
          <w:szCs w:val="20"/>
        </w:rPr>
        <w:t xml:space="preserve">Supradiaphragmal positive? / infradiaphragmal positive? / Extranodal positive? (Ann-Arbor-Stage); „1“: yes, „0“: no </w:t>
      </w:r>
    </w:p>
    <w:sectPr w:rsidR="00B370FF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81BC" w14:textId="77777777" w:rsidR="009E7290" w:rsidRDefault="009E7290">
      <w:r>
        <w:separator/>
      </w:r>
    </w:p>
  </w:endnote>
  <w:endnote w:type="continuationSeparator" w:id="0">
    <w:p w14:paraId="536DEE0A" w14:textId="77777777" w:rsidR="009E7290" w:rsidRDefault="009E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95A4" w14:textId="77777777" w:rsidR="009E7290" w:rsidRDefault="009E7290">
      <w:r>
        <w:separator/>
      </w:r>
    </w:p>
  </w:footnote>
  <w:footnote w:type="continuationSeparator" w:id="0">
    <w:p w14:paraId="18238119" w14:textId="77777777" w:rsidR="009E7290" w:rsidRDefault="009E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394D"/>
    <w:multiLevelType w:val="multilevel"/>
    <w:tmpl w:val="1B0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F585C"/>
    <w:multiLevelType w:val="multilevel"/>
    <w:tmpl w:val="38D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62385"/>
    <w:multiLevelType w:val="hybridMultilevel"/>
    <w:tmpl w:val="690C8562"/>
    <w:lvl w:ilvl="0" w:tplc="A4EED5B0">
      <w:start w:val="2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zvzptd6fae09e2xti5pwtz5errp095t0s5&quot;&gt;FDGvis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5&lt;/item&gt;&lt;item&gt;26&lt;/item&gt;&lt;/record-ids&gt;&lt;/item&gt;&lt;/Libraries&gt;"/>
  </w:docVars>
  <w:rsids>
    <w:rsidRoot w:val="00B370FF"/>
    <w:rsid w:val="000658CA"/>
    <w:rsid w:val="000853B9"/>
    <w:rsid w:val="000A27E1"/>
    <w:rsid w:val="00131590"/>
    <w:rsid w:val="00146CB0"/>
    <w:rsid w:val="001F59F8"/>
    <w:rsid w:val="00202D59"/>
    <w:rsid w:val="00205906"/>
    <w:rsid w:val="00292A2D"/>
    <w:rsid w:val="002974BE"/>
    <w:rsid w:val="003973F1"/>
    <w:rsid w:val="003A096F"/>
    <w:rsid w:val="003E7C3A"/>
    <w:rsid w:val="004A6272"/>
    <w:rsid w:val="004B5A77"/>
    <w:rsid w:val="005341E6"/>
    <w:rsid w:val="005356E6"/>
    <w:rsid w:val="00555228"/>
    <w:rsid w:val="00557E44"/>
    <w:rsid w:val="006321EC"/>
    <w:rsid w:val="006A6579"/>
    <w:rsid w:val="006C746B"/>
    <w:rsid w:val="006D47AC"/>
    <w:rsid w:val="00813EEC"/>
    <w:rsid w:val="008334E8"/>
    <w:rsid w:val="0086681D"/>
    <w:rsid w:val="00887F73"/>
    <w:rsid w:val="008B3FEF"/>
    <w:rsid w:val="008C4F34"/>
    <w:rsid w:val="008C6898"/>
    <w:rsid w:val="009054D1"/>
    <w:rsid w:val="00921282"/>
    <w:rsid w:val="0097009F"/>
    <w:rsid w:val="00991CB3"/>
    <w:rsid w:val="009E7290"/>
    <w:rsid w:val="00A154FF"/>
    <w:rsid w:val="00A55A8F"/>
    <w:rsid w:val="00A96A34"/>
    <w:rsid w:val="00AE25C5"/>
    <w:rsid w:val="00B370FF"/>
    <w:rsid w:val="00BF0FC1"/>
    <w:rsid w:val="00C4786D"/>
    <w:rsid w:val="00C70E09"/>
    <w:rsid w:val="00C86F61"/>
    <w:rsid w:val="00D3187E"/>
    <w:rsid w:val="00E248B2"/>
    <w:rsid w:val="00E7664F"/>
    <w:rsid w:val="00F21A7A"/>
    <w:rsid w:val="00F47547"/>
    <w:rsid w:val="00F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9B4C4"/>
  <w15:docId w15:val="{AD9914AD-C679-6341-BCF0-9A273AC6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pPr>
      <w:keepNext/>
      <w:keepLines/>
      <w:spacing w:before="320" w:after="120"/>
      <w:outlineLvl w:val="1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pPr>
      <w:keepNext/>
      <w:keepLines/>
      <w:spacing w:before="200"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dNoteBibliography">
    <w:name w:val="EndNote Bibliograph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pPr>
      <w:jc w:val="center"/>
    </w:pPr>
    <w:rPr>
      <w:rFonts w:cs="Calibri"/>
      <w:noProof/>
      <w:lang w:val="de-DE"/>
    </w:rPr>
  </w:style>
  <w:style w:type="character" w:customStyle="1" w:styleId="EndNoteBibliographyTitleZchn">
    <w:name w:val="EndNote Bibliography Title Zchn"/>
    <w:basedOn w:val="DefaultParagraphFont"/>
    <w:link w:val="EndNoteBibliographyTitle"/>
    <w:rPr>
      <w:rFonts w:ascii="Calibri" w:hAnsi="Calibri" w:cs="Calibri"/>
      <w:noProof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  <w:style w:type="character" w:customStyle="1" w:styleId="period">
    <w:name w:val="period"/>
    <w:basedOn w:val="DefaultParagraphFont"/>
  </w:style>
  <w:style w:type="character" w:customStyle="1" w:styleId="cit">
    <w:name w:val="cit"/>
    <w:basedOn w:val="DefaultParagraphFont"/>
  </w:style>
  <w:style w:type="character" w:customStyle="1" w:styleId="citation-doi">
    <w:name w:val="citation-doi"/>
    <w:basedOn w:val="DefaultParagraphFont"/>
  </w:style>
  <w:style w:type="character" w:customStyle="1" w:styleId="secondary-date">
    <w:name w:val="secondary-dat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7B578-E677-4B25-9019-7EEB2FD2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onm150</dc:creator>
  <cp:lastModifiedBy>Poonam Mutha</cp:lastModifiedBy>
  <cp:revision>10</cp:revision>
  <dcterms:created xsi:type="dcterms:W3CDTF">2020-06-23T10:30:00Z</dcterms:created>
  <dcterms:modified xsi:type="dcterms:W3CDTF">2020-07-10T14:50:00Z</dcterms:modified>
</cp:coreProperties>
</file>