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E3" w:rsidRPr="00527B59" w:rsidRDefault="00A973E3" w:rsidP="00A973E3">
      <w:pPr>
        <w:pStyle w:val="a3"/>
        <w:widowControl/>
        <w:wordWrap/>
        <w:autoSpaceDE/>
        <w:autoSpaceDN/>
        <w:spacing w:line="360" w:lineRule="auto"/>
        <w:ind w:leftChars="0" w:left="0"/>
        <w:jc w:val="left"/>
        <w:rPr>
          <w:rFonts w:ascii="Times New Roman" w:hAnsi="Times New Roman" w:cs="Times New Roman"/>
          <w:b/>
          <w:sz w:val="22"/>
        </w:rPr>
      </w:pPr>
      <w:r w:rsidRPr="00527B59">
        <w:rPr>
          <w:rFonts w:ascii="Times New Roman" w:hAnsi="Times New Roman" w:cs="Times New Roman"/>
          <w:b/>
          <w:sz w:val="22"/>
        </w:rPr>
        <w:t>Appendix 1. Methods of computing the expected costs and treatment effectiveness (life</w:t>
      </w:r>
      <w:r>
        <w:rPr>
          <w:rFonts w:ascii="Times New Roman" w:hAnsi="Times New Roman" w:cs="Times New Roman"/>
          <w:b/>
          <w:sz w:val="22"/>
        </w:rPr>
        <w:t>-</w:t>
      </w:r>
      <w:r w:rsidRPr="00527B59">
        <w:rPr>
          <w:rFonts w:ascii="Times New Roman" w:hAnsi="Times New Roman" w:cs="Times New Roman"/>
          <w:b/>
          <w:sz w:val="22"/>
        </w:rPr>
        <w:t>years or quality-adjusted life</w:t>
      </w:r>
      <w:r>
        <w:rPr>
          <w:rFonts w:ascii="Times New Roman" w:hAnsi="Times New Roman" w:cs="Times New Roman"/>
          <w:b/>
          <w:sz w:val="22"/>
        </w:rPr>
        <w:t>-</w:t>
      </w:r>
      <w:r w:rsidRPr="00527B59">
        <w:rPr>
          <w:rFonts w:ascii="Times New Roman" w:hAnsi="Times New Roman" w:cs="Times New Roman"/>
          <w:b/>
          <w:sz w:val="22"/>
        </w:rPr>
        <w:t xml:space="preserve">years gained) for a </w:t>
      </w:r>
      <w:r w:rsidRPr="00BE3336">
        <w:rPr>
          <w:rFonts w:ascii="Times New Roman" w:hAnsi="Times New Roman" w:cs="Times New Roman"/>
          <w:b/>
          <w:sz w:val="22"/>
        </w:rPr>
        <w:t xml:space="preserve">patient </w:t>
      </w:r>
      <w:r>
        <w:rPr>
          <w:rFonts w:ascii="Times New Roman" w:hAnsi="Times New Roman" w:cs="Times New Roman"/>
          <w:b/>
          <w:sz w:val="22"/>
        </w:rPr>
        <w:t xml:space="preserve">with </w:t>
      </w:r>
      <w:r w:rsidRPr="00527B59">
        <w:rPr>
          <w:rFonts w:ascii="Times New Roman" w:hAnsi="Times New Roman" w:cs="Times New Roman"/>
          <w:b/>
          <w:sz w:val="22"/>
        </w:rPr>
        <w:t xml:space="preserve">R/R PTCL treated with pralatrexate or conventional chemotherapy during 15 years of the </w:t>
      </w:r>
      <w:r>
        <w:rPr>
          <w:rFonts w:ascii="Times New Roman" w:hAnsi="Times New Roman" w:cs="Times New Roman"/>
          <w:b/>
          <w:sz w:val="22"/>
        </w:rPr>
        <w:t>modeled</w:t>
      </w:r>
      <w:r w:rsidRPr="00527B59">
        <w:rPr>
          <w:rFonts w:ascii="Times New Roman" w:hAnsi="Times New Roman" w:cs="Times New Roman"/>
          <w:b/>
          <w:sz w:val="22"/>
        </w:rPr>
        <w:t xml:space="preserve"> simulation</w:t>
      </w:r>
    </w:p>
    <w:p w:rsidR="00A973E3" w:rsidRDefault="00A973E3" w:rsidP="00A973E3">
      <w:pPr>
        <w:pStyle w:val="a3"/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3E3" w:rsidRDefault="00A973E3" w:rsidP="00A973E3">
      <w:pPr>
        <w:widowControl/>
        <w:wordWrap/>
        <w:autoSpaceDE/>
        <w:autoSpaceDN/>
        <w:snapToGrid w:val="0"/>
        <w:spacing w:line="24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cost (PT)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n782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Times New Roman"/>
                    <w:i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PT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xCOSTij(PT)</m:t>
                </m:r>
              </m:e>
            </m:nary>
          </m:e>
        </m:nary>
      </m:oMath>
    </w:p>
    <w:p w:rsidR="00A973E3" w:rsidRDefault="00A973E3" w:rsidP="00A973E3">
      <w:pPr>
        <w:widowControl/>
        <w:wordWrap/>
        <w:autoSpaceDE/>
        <w:autoSpaceDN/>
        <w:snapToGrid w:val="0"/>
        <w:spacing w:line="240" w:lineRule="auto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Where,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Expected cost (PT) =</w:t>
      </w:r>
      <w:r w:rsidRPr="009525D3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the expected cost that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530235">
        <w:rPr>
          <w:rFonts w:ascii="Times New Roman" w:hAnsi="Times New Roman" w:cs="Times New Roman"/>
          <w:iCs/>
          <w:kern w:val="0"/>
          <w:sz w:val="24"/>
          <w:szCs w:val="20"/>
        </w:rPr>
        <w:t>-treated</w:t>
      </w:r>
      <w:r w:rsidRPr="00FD2002">
        <w:rPr>
          <w:rFonts w:ascii="Times New Roman" w:hAnsi="Times New Roman" w:cs="Times New Roman"/>
          <w:iCs/>
          <w:kern w:val="0"/>
          <w:sz w:val="24"/>
          <w:szCs w:val="20"/>
        </w:rPr>
        <w:t xml:space="preserve"> </w:t>
      </w:r>
      <w:r w:rsidRPr="00793398">
        <w:rPr>
          <w:rFonts w:ascii="Times New Roman" w:hAnsi="Times New Roman" w:cs="Times New Roman"/>
          <w:kern w:val="0"/>
          <w:sz w:val="24"/>
          <w:szCs w:val="20"/>
        </w:rPr>
        <w:t xml:space="preserve">patient </w:t>
      </w:r>
      <w:r>
        <w:rPr>
          <w:rFonts w:ascii="Times New Roman" w:hAnsi="Times New Roman" w:cs="Times New Roman"/>
          <w:kern w:val="0"/>
          <w:sz w:val="24"/>
          <w:szCs w:val="20"/>
        </w:rPr>
        <w:t>with R/R PTCL would have for 15 years from the start of the simulation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 = 1 if “initial treatment state,” 2 if “treatment pause state,” 3 if “</w:t>
      </w:r>
      <w:r w:rsidRPr="0035010E">
        <w:rPr>
          <w:rFonts w:ascii="Times New Roman" w:hAnsi="Times New Roman" w:cs="Times New Roman"/>
          <w:bCs/>
          <w:kern w:val="0"/>
          <w:sz w:val="24"/>
          <w:szCs w:val="24"/>
        </w:rPr>
        <w:t>subsequent treatment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state,”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 4 if “</w:t>
      </w:r>
      <w:r w:rsidRPr="0035010E">
        <w:rPr>
          <w:rFonts w:ascii="Times New Roman" w:hAnsi="Times New Roman" w:cs="Times New Roman"/>
          <w:bCs/>
          <w:kern w:val="0"/>
          <w:sz w:val="24"/>
          <w:szCs w:val="24"/>
        </w:rPr>
        <w:t>SCT success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state,”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 and 5 if “dead state”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j = </w:t>
      </w:r>
      <w:r w:rsidRPr="00F76DAD">
        <w:rPr>
          <w:rFonts w:ascii="Times New Roman" w:hAnsi="Times New Roman" w:cs="Times New Roman"/>
          <w:kern w:val="0"/>
          <w:sz w:val="24"/>
          <w:szCs w:val="20"/>
        </w:rPr>
        <w:t>1</w:t>
      </w:r>
      <w:r w:rsidRPr="00F76DAD">
        <w:rPr>
          <w:rFonts w:ascii="Times New Roman" w:hAnsi="Times New Roman" w:cs="Times New Roman"/>
          <w:kern w:val="0"/>
          <w:sz w:val="24"/>
          <w:szCs w:val="20"/>
          <w:vertAlign w:val="superscript"/>
        </w:rPr>
        <w:t>st</w:t>
      </w:r>
      <w:proofErr w:type="gramStart"/>
      <w:r w:rsidRPr="00F76DAD">
        <w:rPr>
          <w:rFonts w:ascii="Times New Roman" w:hAnsi="Times New Roman" w:cs="Times New Roman"/>
          <w:kern w:val="0"/>
          <w:sz w:val="24"/>
          <w:szCs w:val="20"/>
        </w:rPr>
        <w:t>,…,</w:t>
      </w:r>
      <w:proofErr w:type="gramEnd"/>
      <w:r>
        <w:rPr>
          <w:rFonts w:ascii="Times New Roman" w:hAnsi="Times New Roman" w:cs="Times New Roman"/>
          <w:kern w:val="0"/>
          <w:sz w:val="24"/>
          <w:szCs w:val="20"/>
        </w:rPr>
        <w:t xml:space="preserve"> 782</w:t>
      </w:r>
      <w:r w:rsidRPr="00F76DAD">
        <w:rPr>
          <w:rFonts w:ascii="Times New Roman" w:hAnsi="Times New Roman" w:cs="Times New Roman"/>
          <w:kern w:val="0"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 cycle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PROB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(PT) =</w:t>
      </w:r>
      <w:r w:rsidRPr="00142CA2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probability of transition to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 w:rsidRPr="00572DCA">
        <w:rPr>
          <w:rFonts w:ascii="Times New Roman" w:hAnsi="Times New Roman" w:cs="Times New Roman"/>
          <w:kern w:val="0"/>
          <w:sz w:val="24"/>
          <w:szCs w:val="20"/>
        </w:rPr>
        <w:t xml:space="preserve">patient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with R/R PTCL 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i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COST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(PT) = cost associated with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patient with R/R PTCL </w:t>
      </w:r>
    </w:p>
    <w:p w:rsidR="00A973E3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Default="00A973E3" w:rsidP="00A973E3">
      <w:pPr>
        <w:widowControl/>
        <w:wordWrap/>
        <w:autoSpaceDE/>
        <w:autoSpaceDN/>
        <w:snapToGrid w:val="0"/>
        <w:spacing w:line="24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cost (CC)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782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Times New Roman"/>
                    <w:i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CC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xCOSTij(CC)</m:t>
                </m:r>
              </m:e>
            </m:nary>
          </m:e>
        </m:nary>
      </m:oMath>
      <w:r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p w:rsidR="00A973E3" w:rsidRDefault="00A973E3" w:rsidP="00A973E3">
      <w:pPr>
        <w:widowControl/>
        <w:wordWrap/>
        <w:autoSpaceDE/>
        <w:autoSpaceDN/>
        <w:snapToGrid w:val="0"/>
        <w:spacing w:line="24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0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>here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0"/>
        </w:rPr>
        <w:t>,</w:t>
      </w:r>
    </w:p>
    <w:p w:rsidR="00A973E3" w:rsidRPr="00C65594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Expected cost (CC) = the expected cost that a</w:t>
      </w:r>
      <w:r w:rsidRPr="00572DCA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>patient with R/R PTCL would have for 15 years from the start of the simulation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PROB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(CC) =</w:t>
      </w:r>
      <w:r w:rsidRPr="00142CA2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probability of transition to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patient with R/R PTCL 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i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COST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(CC) = cost associated with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patient with R/R PTCL </w:t>
      </w:r>
    </w:p>
    <w:p w:rsidR="00A973E3" w:rsidRDefault="00A973E3" w:rsidP="00A973E3">
      <w:pPr>
        <w:widowControl/>
        <w:wordWrap/>
        <w:autoSpaceDE/>
        <w:autoSpaceDN/>
        <w:snapToGrid w:val="0"/>
        <w:spacing w:line="480" w:lineRule="auto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Pr="00982E38" w:rsidRDefault="00A973E3" w:rsidP="00A973E3">
      <w:pPr>
        <w:widowControl/>
        <w:wordWrap/>
        <w:autoSpaceDE/>
        <w:autoSpaceDN/>
        <w:snapToGrid w:val="0"/>
        <w:spacing w:line="240" w:lineRule="auto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>Expected LYs (</w:t>
      </w:r>
      <w:r>
        <w:rPr>
          <w:rFonts w:ascii="Times New Roman" w:hAnsi="Times New Roman" w:cs="Times New Roman"/>
          <w:kern w:val="0"/>
          <w:sz w:val="24"/>
          <w:szCs w:val="20"/>
        </w:rPr>
        <w:t>PT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782</m:t>
            </m:r>
          </m:sup>
          <m:e>
            <m:nary>
              <m:naryPr>
                <m:chr m:val="∑"/>
                <m:grow m:val="1"/>
                <m:ctrlP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PT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 xml:space="preserve">xUnitLYs </m:t>
                </m:r>
              </m:e>
            </m:nary>
          </m:e>
        </m:nary>
      </m:oMath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Where,</w:t>
      </w:r>
    </w:p>
    <w:p w:rsidR="00A973E3" w:rsidRPr="00A83D0A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LYs (PT) = the expected life-years that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 w:rsidRPr="00572DCA">
        <w:rPr>
          <w:rFonts w:ascii="Times New Roman" w:hAnsi="Times New Roman" w:cs="Times New Roman"/>
          <w:kern w:val="0"/>
          <w:sz w:val="24"/>
          <w:szCs w:val="20"/>
        </w:rPr>
        <w:t xml:space="preserve">patient </w:t>
      </w:r>
      <w:r>
        <w:rPr>
          <w:rFonts w:ascii="Times New Roman" w:hAnsi="Times New Roman" w:cs="Times New Roman"/>
          <w:kern w:val="0"/>
          <w:sz w:val="24"/>
          <w:szCs w:val="20"/>
        </w:rPr>
        <w:t>with R/R PTCL would have for 15 years from the start of the simulation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i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Unit LYs = “1 week/52.1 weeks” if alive or “0 week/52.1 weeks” if dead </w:t>
      </w:r>
    </w:p>
    <w:p w:rsidR="00A973E3" w:rsidRPr="004910CF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Expected LYs (CC)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782</m:t>
            </m:r>
          </m:sup>
          <m:e>
            <m:nary>
              <m:naryPr>
                <m:chr m:val="∑"/>
                <m:grow m:val="1"/>
                <m:ctrlP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CC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 xml:space="preserve">xUnitLYs </m:t>
                </m:r>
              </m:e>
            </m:nary>
          </m:e>
        </m:nary>
      </m:oMath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0"/>
        </w:rPr>
        <w:t>where</w:t>
      </w:r>
      <w:proofErr w:type="gramEnd"/>
      <w:r>
        <w:rPr>
          <w:rFonts w:ascii="Times New Roman" w:hAnsi="Times New Roman" w:cs="Times New Roman"/>
          <w:kern w:val="0"/>
          <w:sz w:val="24"/>
          <w:szCs w:val="20"/>
        </w:rPr>
        <w:t xml:space="preserve">, </w:t>
      </w:r>
    </w:p>
    <w:p w:rsidR="00A973E3" w:rsidRPr="00A83D0A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Expected LYs (CC) = the expected life-years that a</w:t>
      </w:r>
      <w:r w:rsidRPr="00572DCA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>patient with R/R PTCL would have for 15 years from the start of the simulation</w:t>
      </w:r>
    </w:p>
    <w:p w:rsidR="00A973E3" w:rsidRPr="004910CF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Pr="004910CF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QALYs (PT)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782</m:t>
            </m:r>
          </m:sup>
          <m:e>
            <m:nary>
              <m:naryPr>
                <m:chr m:val="∑"/>
                <m:grow m:val="1"/>
                <m:ctrlP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PT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x</m:t>
                </m:r>
              </m:e>
            </m:nary>
          </m:e>
        </m:nary>
      </m:oMath>
      <w:r w:rsidRPr="00982E38">
        <w:rPr>
          <w:rFonts w:ascii="Cambria Math" w:hAnsi="Cambria Math" w:cs="Times New Roman"/>
          <w:kern w:val="0"/>
          <w:sz w:val="24"/>
          <w:szCs w:val="20"/>
        </w:rPr>
        <w:t xml:space="preserve">UnitLYs x </w:t>
      </w:r>
      <w:proofErr w:type="gramStart"/>
      <w:r w:rsidRPr="00982E38">
        <w:rPr>
          <w:rFonts w:ascii="Cambria Math" w:hAnsi="Cambria Math" w:cs="Times New Roman"/>
          <w:kern w:val="0"/>
          <w:sz w:val="24"/>
          <w:szCs w:val="20"/>
        </w:rPr>
        <w:t>Uij(</w:t>
      </w:r>
      <w:proofErr w:type="gramEnd"/>
      <w:r w:rsidRPr="00982E38">
        <w:rPr>
          <w:rFonts w:ascii="Cambria Math" w:hAnsi="Cambria Math" w:cs="Times New Roman"/>
          <w:kern w:val="0"/>
          <w:sz w:val="24"/>
          <w:szCs w:val="20"/>
        </w:rPr>
        <w:t>PT)</w:t>
      </w:r>
    </w:p>
    <w:p w:rsidR="00A973E3" w:rsidRDefault="00A973E3" w:rsidP="00A973E3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Default="00A973E3" w:rsidP="00A973E3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kern w:val="0"/>
          <w:sz w:val="24"/>
          <w:szCs w:val="20"/>
        </w:rPr>
      </w:pPr>
      <w:proofErr w:type="gramStart"/>
      <w:r w:rsidRPr="00F76DAD">
        <w:rPr>
          <w:rFonts w:ascii="Times New Roman" w:hAnsi="Times New Roman" w:cs="Times New Roman"/>
          <w:kern w:val="0"/>
          <w:sz w:val="24"/>
          <w:szCs w:val="20"/>
        </w:rPr>
        <w:t>w</w:t>
      </w:r>
      <w:r>
        <w:rPr>
          <w:rFonts w:ascii="Times New Roman" w:hAnsi="Times New Roman" w:cs="Times New Roman"/>
          <w:kern w:val="0"/>
          <w:sz w:val="24"/>
          <w:szCs w:val="20"/>
        </w:rPr>
        <w:t>here</w:t>
      </w:r>
      <w:proofErr w:type="gramEnd"/>
      <w:r>
        <w:rPr>
          <w:rFonts w:ascii="Times New Roman" w:hAnsi="Times New Roman" w:cs="Times New Roman"/>
          <w:kern w:val="0"/>
          <w:sz w:val="24"/>
          <w:szCs w:val="20"/>
        </w:rPr>
        <w:t>,</w:t>
      </w:r>
    </w:p>
    <w:p w:rsidR="00A973E3" w:rsidRDefault="00A973E3" w:rsidP="00A973E3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QALYs (PT) = the expected quality-adjusted life-years that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>patient with R/R PTCL would have for 15 years from the start of the simulation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i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U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(PT) = utility weight of being in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 w:rsidRPr="00824E98">
        <w:rPr>
          <w:rFonts w:ascii="Times New Roman" w:hAnsi="Times New Roman" w:cs="Times New Roman"/>
          <w:i/>
          <w:kern w:val="0"/>
          <w:sz w:val="24"/>
          <w:szCs w:val="20"/>
        </w:rPr>
        <w:t>pralatrexate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patient with R/R PTCL </w:t>
      </w:r>
    </w:p>
    <w:p w:rsidR="00A973E3" w:rsidRPr="004910CF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A973E3" w:rsidRPr="00982E38" w:rsidRDefault="00A973E3" w:rsidP="00A973E3">
      <w:pPr>
        <w:widowControl/>
        <w:wordWrap/>
        <w:autoSpaceDE/>
        <w:autoSpaceDN/>
        <w:snapToGrid w:val="0"/>
        <w:spacing w:line="480" w:lineRule="auto"/>
        <w:jc w:val="left"/>
        <w:rPr>
          <w:rFonts w:ascii="Cambria Math" w:hAnsi="Cambria Math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QALYs (CC) = </w:t>
      </w:r>
      <m:oMath>
        <m:nary>
          <m:naryPr>
            <m:chr m:val="∑"/>
            <m:grow m:val="1"/>
            <m:ctrlPr>
              <w:rPr>
                <w:rFonts w:ascii="Cambria Math" w:eastAsia="Cambria Math" w:hAnsi="Cambria Math" w:cs="Times New Roman"/>
                <w:kern w:val="0"/>
                <w:sz w:val="24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j=1</m:t>
            </m:r>
          </m:sub>
          <m:sup>
            <m:r>
              <w:rPr>
                <w:rFonts w:ascii="Cambria Math" w:hAnsi="Cambria Math" w:cs="Times New Roman"/>
                <w:kern w:val="0"/>
                <w:sz w:val="24"/>
                <w:szCs w:val="20"/>
              </w:rPr>
              <m:t>782</m:t>
            </m:r>
          </m:sup>
          <m:e>
            <m:nary>
              <m:naryPr>
                <m:chr m:val="∑"/>
                <m:grow m:val="1"/>
                <m:ctrlP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5</m:t>
                </m:r>
              </m:sup>
              <m:e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PROBij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kern w:val="0"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kern w:val="0"/>
                        <w:sz w:val="24"/>
                        <w:szCs w:val="20"/>
                      </w:rPr>
                      <m:t>CC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kern w:val="0"/>
                    <w:sz w:val="24"/>
                    <w:szCs w:val="20"/>
                  </w:rPr>
                  <m:t>x</m:t>
                </m:r>
              </m:e>
            </m:nary>
          </m:e>
        </m:nary>
      </m:oMath>
      <w:r w:rsidRPr="00982E38">
        <w:rPr>
          <w:rFonts w:ascii="Cambria Math" w:hAnsi="Cambria Math" w:cs="Times New Roman"/>
          <w:kern w:val="0"/>
          <w:sz w:val="24"/>
          <w:szCs w:val="20"/>
        </w:rPr>
        <w:t xml:space="preserve">UnitLYs x </w:t>
      </w:r>
      <w:proofErr w:type="gramStart"/>
      <w:r w:rsidRPr="00982E38">
        <w:rPr>
          <w:rFonts w:ascii="Cambria Math" w:hAnsi="Cambria Math" w:cs="Times New Roman"/>
          <w:kern w:val="0"/>
          <w:sz w:val="24"/>
          <w:szCs w:val="20"/>
        </w:rPr>
        <w:t>Uij(</w:t>
      </w:r>
      <w:proofErr w:type="gramEnd"/>
      <w:r w:rsidRPr="00982E38">
        <w:rPr>
          <w:rFonts w:ascii="Cambria Math" w:hAnsi="Cambria Math" w:cs="Times New Roman"/>
          <w:kern w:val="0"/>
          <w:sz w:val="24"/>
          <w:szCs w:val="20"/>
        </w:rPr>
        <w:t>CC)</w:t>
      </w:r>
    </w:p>
    <w:p w:rsidR="00A973E3" w:rsidRDefault="00A973E3" w:rsidP="00A973E3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>Where,</w:t>
      </w:r>
    </w:p>
    <w:p w:rsidR="00A973E3" w:rsidRDefault="00A973E3" w:rsidP="00A973E3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Expected QALYs (CC) = the expected quality-adjusted life-years that a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>patient with R/R PTCL would have for 15 years from the start of the simulation</w:t>
      </w:r>
    </w:p>
    <w:p w:rsidR="00A973E3" w:rsidRDefault="00A973E3" w:rsidP="00A973E3">
      <w:pPr>
        <w:widowControl/>
        <w:wordWrap/>
        <w:autoSpaceDE/>
        <w:autoSpaceDN/>
        <w:snapToGrid w:val="0"/>
        <w:ind w:left="283" w:hangingChars="118" w:hanging="283"/>
        <w:jc w:val="left"/>
        <w:rPr>
          <w:rFonts w:ascii="Times New Roman" w:hAnsi="Times New Roman" w:cs="Times New Roman"/>
          <w:i/>
          <w:kern w:val="0"/>
          <w:sz w:val="24"/>
          <w:szCs w:val="20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U</w:t>
      </w:r>
      <w:r w:rsidRPr="00824E98">
        <w:rPr>
          <w:rFonts w:ascii="Times New Roman" w:hAnsi="Times New Roman" w:cs="Times New Roman"/>
          <w:kern w:val="0"/>
          <w:sz w:val="24"/>
          <w:szCs w:val="20"/>
          <w:vertAlign w:val="subscript"/>
        </w:rPr>
        <w:t>i</w:t>
      </w:r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0"/>
        </w:rPr>
        <w:t>(CC) = utility weight of being in the health state “</w:t>
      </w:r>
      <w:proofErr w:type="spellStart"/>
      <w:r>
        <w:rPr>
          <w:rFonts w:ascii="Times New Roman" w:hAnsi="Times New Roman" w:cs="Times New Roman"/>
          <w:kern w:val="0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0"/>
        </w:rPr>
        <w:t xml:space="preserve">” during the cycle “j” for a </w:t>
      </w:r>
      <w:r>
        <w:rPr>
          <w:rFonts w:ascii="Times New Roman" w:hAnsi="Times New Roman" w:cs="Times New Roman"/>
          <w:i/>
          <w:kern w:val="0"/>
          <w:sz w:val="24"/>
          <w:szCs w:val="20"/>
        </w:rPr>
        <w:t>conventional chemotherapy</w:t>
      </w:r>
      <w:r w:rsidRPr="008E1EC9">
        <w:rPr>
          <w:rFonts w:ascii="Times New Roman" w:hAnsi="Times New Roman" w:cs="Times New Roman"/>
          <w:iCs/>
          <w:kern w:val="0"/>
          <w:sz w:val="24"/>
          <w:szCs w:val="20"/>
        </w:rPr>
        <w:t xml:space="preserve">-treated 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patient with R/R PTCL </w:t>
      </w:r>
    </w:p>
    <w:p w:rsidR="00A61FCE" w:rsidRPr="00A973E3" w:rsidRDefault="00A61FCE">
      <w:bookmarkStart w:id="0" w:name="_GoBack"/>
      <w:bookmarkEnd w:id="0"/>
    </w:p>
    <w:sectPr w:rsidR="00A61FCE" w:rsidRPr="00A973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3"/>
    <w:rsid w:val="00A61FCE"/>
    <w:rsid w:val="00A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E6B0-FBC4-4CBC-9B2D-C43ADC9E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Ahyoung</dc:creator>
  <cp:keywords/>
  <dc:description/>
  <cp:lastModifiedBy>Kim Ahyoung</cp:lastModifiedBy>
  <cp:revision>1</cp:revision>
  <dcterms:created xsi:type="dcterms:W3CDTF">2020-10-08T03:35:00Z</dcterms:created>
  <dcterms:modified xsi:type="dcterms:W3CDTF">2020-10-08T03:35:00Z</dcterms:modified>
</cp:coreProperties>
</file>