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  <w:t>Supplementary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  <w:t xml:space="preserve"> Material</w:t>
      </w:r>
      <w:r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1: Details of </w:t>
      </w:r>
      <w:r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  <w:lang w:val="en-US" w:eastAsia="zh-CN"/>
        </w:rPr>
        <w:t>p</w:t>
      </w:r>
      <w:r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  <w:t>articipating centers</w:t>
      </w:r>
    </w:p>
    <w:tbl>
      <w:tblPr>
        <w:tblStyle w:val="2"/>
        <w:tblW w:w="83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1407"/>
        <w:gridCol w:w="1153"/>
        <w:gridCol w:w="1200"/>
        <w:gridCol w:w="15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0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Name of the hospital</w:t>
            </w:r>
          </w:p>
        </w:tc>
        <w:tc>
          <w:tcPr>
            <w:tcW w:w="14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40" w:after="64" w:line="360" w:lineRule="auto"/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Province, city</w:t>
            </w: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40" w:after="64" w:line="360" w:lineRule="auto"/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Teaching Hospital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/>
              <w:keepLines/>
              <w:spacing w:before="240" w:after="64" w:line="360" w:lineRule="auto"/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Beds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240" w:after="64" w:line="360" w:lineRule="auto"/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Staff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 of Clinical Microbioloy Lab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Beijing Jishuitan Hospital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07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Beijing</w:t>
            </w:r>
          </w:p>
        </w:tc>
        <w:tc>
          <w:tcPr>
            <w:tcW w:w="1153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  <w:t>Yes</w:t>
            </w:r>
          </w:p>
        </w:tc>
        <w:tc>
          <w:tcPr>
            <w:tcW w:w="1200" w:type="dxa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  <w:t>1500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Beijing Chao-Yang Hospital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Beijing</w:t>
            </w:r>
          </w:p>
        </w:tc>
        <w:tc>
          <w:tcPr>
            <w:tcW w:w="115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  <w:t>Yes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highlight w:val="yellow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091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6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color w:val="000000"/>
                <w:sz w:val="15"/>
                <w:szCs w:val="15"/>
              </w:rPr>
              <w:t>Qingdao Municipal Hospital</w:t>
            </w:r>
          </w:p>
        </w:tc>
        <w:tc>
          <w:tcPr>
            <w:tcW w:w="140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  <w:t>ShanDong,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  <w:t>Qingdao</w:t>
            </w:r>
          </w:p>
        </w:tc>
        <w:tc>
          <w:tcPr>
            <w:tcW w:w="115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  <w:t>Yes</w:t>
            </w:r>
          </w:p>
        </w:tc>
        <w:tc>
          <w:tcPr>
            <w:tcW w:w="1200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</w:rPr>
              <w:t>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8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  <w:t>Supplementary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  <w:t xml:space="preserve"> Material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2 </w:t>
      </w:r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Definition of underlying diseases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Cardiovascular disease included coronary heart disease and chronic congestive heart failure;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Coronary heart disease included angina pectoris, myocardial infarction, ischemic cardiomyopathy;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Heart failure was defined as a clinical syndrome consisting of dyspnea, malaise, swelling and/or decreased exercise capacity due to the loss of compensation for cardiac pumping function due to structural and/or functional abnormalities of the heart.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Chronic obstructive pulmonary disease was defined as: persistent airflow limitation, FEV</w:t>
      </w:r>
      <w:r>
        <w:rPr>
          <w:rFonts w:hint="default" w:ascii="Times New Roman" w:hAnsi="Times New Roman" w:cs="Times New Roman"/>
          <w:sz w:val="20"/>
          <w:szCs w:val="20"/>
          <w:vertAlign w:val="subscript"/>
          <w:lang w:val="en-US" w:eastAsia="zh-CN"/>
        </w:rPr>
        <w:t>1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 xml:space="preserve"> / FVC &lt; 70% post bronchodilator;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Cerebrovascular diseases included transient ischemic attack, cerebral hemorrhage, subarachnoid hemorrhage, cerebral infarction;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Diabetes mellitus: included diabetes mellitus type 1 and diabetes mellitus type 2, not included impaired glucose tolerance and impaired fasting glycaemia;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outlineLvl w:val="0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Chronic kidney disease included diabetic nephropathy, hypertensive renal damage, chronic glomerulonephritis, chronic pyelonephritis, lupus nephritis, IgA nephropathy, nephrotic syndrome, hereditary kidney disease;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outlineLvl w:val="0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宋体" w:cs="Times New Roman"/>
          <w:color w:val="000000"/>
          <w:sz w:val="20"/>
          <w:szCs w:val="20"/>
          <w:lang w:val="en-US" w:eastAsia="zh-CN"/>
        </w:rPr>
        <w:t>I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mmunocompromised status</w:t>
      </w:r>
      <w:r>
        <w:rPr>
          <w:rFonts w:hint="default" w:ascii="Times New Roman" w:hAnsi="Times New Roman" w:eastAsia="宋体" w:cs="Times New Roman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included primary immune deficiency diseases, active malignancy, HIV infection with a CD4 T-lymphocyte count &lt; 200 cells/mL or percentage &lt; 14%, immunosuppressive therapy, solid organ transplantation, hematopoietic stem cell transplantation, splenectomy</w:t>
      </w:r>
      <w:r>
        <w:rPr>
          <w:rFonts w:hint="default" w:ascii="Times New Roman" w:hAnsi="Times New Roman" w:eastAsia="宋体" w:cs="Times New Roman"/>
          <w:color w:val="000000"/>
          <w:sz w:val="20"/>
          <w:szCs w:val="20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outlineLvl w:val="0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Immunosuppressive therapy: was defined as receiving cancer chemotherapy, receiving corticosteroid therapy with a dose ≥ 20 mg prednisone or equivalent daily for ≥ 14 d or a cumulative dose &gt; 600 mg of prednisone, receiving biological immune modulators, receiving disease-modifying antirheumatic drugs or other immunosuppressive drugs (eg, cyclosporin, cyclophosphamide, hydroxychloroquine, methotrexate)</w:t>
      </w:r>
      <w:r>
        <w:rPr>
          <w:rFonts w:hint="default" w:ascii="Times New Roman" w:hAnsi="Times New Roman" w:eastAsia="宋体" w:cs="Times New Roman"/>
          <w:color w:val="000000"/>
          <w:sz w:val="20"/>
          <w:szCs w:val="20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outlineLvl w:val="0"/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/>
        <w:jc w:val="both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  <w:t>Supplementary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  <w:t xml:space="preserve"> Material 3 Antimicrobial susceptibility testing results of CRE isolates </w:t>
      </w:r>
    </w:p>
    <w:tbl>
      <w:tblPr>
        <w:tblStyle w:val="3"/>
        <w:tblpPr w:leftFromText="181" w:rightFromText="181" w:vertAnchor="text" w:horzAnchor="page" w:tblpX="1798" w:tblpY="1"/>
        <w:tblOverlap w:val="never"/>
        <w:tblW w:w="854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645"/>
        <w:gridCol w:w="1645"/>
        <w:gridCol w:w="1645"/>
        <w:gridCol w:w="16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Antimicrobial</w:t>
            </w:r>
          </w:p>
        </w:tc>
        <w:tc>
          <w:tcPr>
            <w:tcW w:w="658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Susceptibility 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, 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966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Total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 = 187)</w:t>
            </w:r>
          </w:p>
        </w:tc>
        <w:tc>
          <w:tcPr>
            <w:tcW w:w="164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Klebsiella pneumoniae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 xml:space="preserve"> = 164)</w:t>
            </w:r>
          </w:p>
        </w:tc>
        <w:tc>
          <w:tcPr>
            <w:tcW w:w="164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Escherichia coli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 = 21)</w:t>
            </w:r>
          </w:p>
        </w:tc>
        <w:tc>
          <w:tcPr>
            <w:tcW w:w="164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Others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 = 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Ceftriaxone</w:t>
            </w:r>
          </w:p>
        </w:tc>
        <w:tc>
          <w:tcPr>
            <w:tcW w:w="1645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 (1.1)</w:t>
            </w:r>
          </w:p>
        </w:tc>
        <w:tc>
          <w:tcPr>
            <w:tcW w:w="1645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(0.6)</w:t>
            </w:r>
          </w:p>
        </w:tc>
        <w:tc>
          <w:tcPr>
            <w:tcW w:w="1645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(4.8)</w:t>
            </w:r>
          </w:p>
        </w:tc>
        <w:tc>
          <w:tcPr>
            <w:tcW w:w="1646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Ceftazidime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 (1.1)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(0.6)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(4.8)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Cefepime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 (1.6)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 (1.2)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(4.8)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Aztreonam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7 (3.7)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 (2.4)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 (14.3)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Piperacillin-tazobactam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 (4.3)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 (3.0)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 (14.3)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Cefoperazone/sulbactam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13 (7.0)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9 (5.5)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 (14.3)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(50.0)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Levofloxacin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12 (6.4)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9 (5.5)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 (14.3)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Amikacin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102 (54.5)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85 (51.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15 (71.4)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 (100.0)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Gentamicin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50 (26.7)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43 (26.2)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 (28.6)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(50.0)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Sulfamethoxazole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57 (30.5)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52 (31.7)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 (19.0)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(50.0)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Ertapenem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Imipenem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 (1.1)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(0.6)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(4.8)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Meropenem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 (1.1)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(0.6)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 (0.0)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 (50.0)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Tigecycline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169 (90.4)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156 (95.1)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11 (52.4)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 (100.0)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Polymyxin B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172 (92.0)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151 (92.1)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19 (90.5)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 (100.0)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CAZ-AVI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7/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73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(78.1)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(85.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/9 (3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3.3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64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Chars="0"/>
        <w:jc w:val="both"/>
        <w:textAlignment w:val="auto"/>
        <w:outlineLvl w:val="0"/>
        <w:rPr>
          <w:rFonts w:hint="default" w:ascii="Times New Roman" w:hAnsi="Times New Roman" w:eastAsia="宋体" w:cs="Times New Roman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0"/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0"/>
        <w:rPr>
          <w:rFonts w:hint="default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  <w:t>Supplementary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  <w:t xml:space="preserve"> Material 4 Empirical antimicrobial regime</w:t>
      </w:r>
      <w:r>
        <w:rPr>
          <w:rFonts w:hint="eastAsia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  <w:t>s among patients with CRE-BSI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319"/>
        <w:gridCol w:w="23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Empirical antimicrobial regime</w:t>
            </w: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n</w:t>
            </w:r>
          </w:p>
        </w:tc>
        <w:tc>
          <w:tcPr>
            <w:tcW w:w="231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Deceased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 = 78)</w:t>
            </w:r>
          </w:p>
        </w:tc>
        <w:tc>
          <w:tcPr>
            <w:tcW w:w="232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Survival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 = 109)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Carbapenem</w:t>
            </w:r>
          </w:p>
        </w:tc>
        <w:tc>
          <w:tcPr>
            <w:tcW w:w="2319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32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(41.0)</w:t>
            </w:r>
          </w:p>
        </w:tc>
        <w:tc>
          <w:tcPr>
            <w:tcW w:w="232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53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(48.6)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Carbapenem + Glycopeptide</w:t>
            </w:r>
          </w:p>
        </w:tc>
        <w:tc>
          <w:tcPr>
            <w:tcW w:w="231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(26.9)</w:t>
            </w:r>
          </w:p>
        </w:tc>
        <w:tc>
          <w:tcPr>
            <w:tcW w:w="23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22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(20.2)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Carbapenem + Quinolone</w:t>
            </w:r>
          </w:p>
        </w:tc>
        <w:tc>
          <w:tcPr>
            <w:tcW w:w="231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(7.7)</w:t>
            </w:r>
          </w:p>
        </w:tc>
        <w:tc>
          <w:tcPr>
            <w:tcW w:w="23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(8.3)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Carbapenem + Aminoglycoside</w:t>
            </w:r>
          </w:p>
        </w:tc>
        <w:tc>
          <w:tcPr>
            <w:tcW w:w="231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(7.7)</w:t>
            </w:r>
          </w:p>
        </w:tc>
        <w:tc>
          <w:tcPr>
            <w:tcW w:w="23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(7.3)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Third- or fourth-generation cephalosporins</w:t>
            </w:r>
          </w:p>
        </w:tc>
        <w:tc>
          <w:tcPr>
            <w:tcW w:w="231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(3.8)</w:t>
            </w:r>
          </w:p>
        </w:tc>
        <w:tc>
          <w:tcPr>
            <w:tcW w:w="23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(4.6)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Third- or fourth-generation cephalosporins + Quinolone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(6.4)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(5.5)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Third- or fourth-generation cephalosporins + Aminoglycoside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(6.4)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(3.7)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Quinolones</w:t>
            </w:r>
          </w:p>
        </w:tc>
        <w:tc>
          <w:tcPr>
            <w:tcW w:w="231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(0.0)</w:t>
            </w:r>
          </w:p>
        </w:tc>
        <w:tc>
          <w:tcPr>
            <w:tcW w:w="23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(1.8)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0"/>
        <w:rPr>
          <w:rFonts w:hint="default" w:ascii="Times New Roman" w:hAnsi="Times New Roman" w:eastAsia="宋体" w:cs="Times New Roman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  <w:t>Supplementary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  <w:t xml:space="preserve"> Material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5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The impact of definitive antimicrobial regime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n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s on the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clinical failure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in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patients with CRE-BSI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1143"/>
        <w:gridCol w:w="1703"/>
        <w:gridCol w:w="806"/>
        <w:gridCol w:w="1720"/>
        <w:gridCol w:w="7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Antimicrobial r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egime</w:t>
            </w: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n</w:t>
            </w:r>
          </w:p>
        </w:tc>
        <w:tc>
          <w:tcPr>
            <w:tcW w:w="688" w:type="pct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Clinical failure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, %)</w:t>
            </w:r>
          </w:p>
        </w:tc>
        <w:tc>
          <w:tcPr>
            <w:tcW w:w="1510" w:type="pct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Univariate logistic regression</w:t>
            </w:r>
          </w:p>
        </w:tc>
        <w:tc>
          <w:tcPr>
            <w:tcW w:w="1475" w:type="pct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Multivariate logistic regression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8" w:type="pct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25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OR (95% CI)</w:t>
            </w:r>
          </w:p>
        </w:tc>
        <w:tc>
          <w:tcPr>
            <w:tcW w:w="485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P value</w:t>
            </w:r>
          </w:p>
        </w:tc>
        <w:tc>
          <w:tcPr>
            <w:tcW w:w="1035" w:type="pct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OR (95% CI)</w:t>
            </w:r>
          </w:p>
        </w:tc>
        <w:tc>
          <w:tcPr>
            <w:tcW w:w="440" w:type="pct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op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CAZ-AVI </w:t>
            </w:r>
          </w:p>
        </w:tc>
        <w:tc>
          <w:tcPr>
            <w:tcW w:w="688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/13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30.8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025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485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35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440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CAZ-AVI + Tigecycline 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/13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30.8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1.000 (0.189-5.289)</w:t>
            </w:r>
          </w:p>
        </w:tc>
        <w:tc>
          <w:tcPr>
            <w:tcW w:w="4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1.000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2.044 (0.324-12.900)</w:t>
            </w:r>
          </w:p>
        </w:tc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CAZ-AVI + Tigecycline + polymyxin B sulfate 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/9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22.2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0.643 (0.090-4.581)</w:t>
            </w:r>
          </w:p>
        </w:tc>
        <w:tc>
          <w:tcPr>
            <w:tcW w:w="4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0.659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0.8991 (0.099-8.170)</w:t>
            </w:r>
          </w:p>
        </w:tc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0.925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Other regimens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104/152 (68.4)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4.875 (1.430-16.619)</w:t>
            </w:r>
          </w:p>
        </w:tc>
        <w:tc>
          <w:tcPr>
            <w:tcW w:w="4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0.011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8.047 (1.896-34.151)</w:t>
            </w:r>
          </w:p>
        </w:tc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Tigecycline + polymyxin B sulfate 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46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69.6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5.143 (1.354-9.538)</w:t>
            </w:r>
          </w:p>
        </w:tc>
        <w:tc>
          <w:tcPr>
            <w:tcW w:w="4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0.016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10.158 (2.127-28.507)</w:t>
            </w:r>
          </w:p>
        </w:tc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Carbapenem + Tigecycline + polymyxin B sulfate 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/4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54.5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2.700 (0.722-5.095)</w:t>
            </w:r>
          </w:p>
        </w:tc>
        <w:tc>
          <w:tcPr>
            <w:tcW w:w="4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0.140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5.029 (1.124-12.500)</w:t>
            </w:r>
          </w:p>
        </w:tc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Carbapenem + polymyxin B sulfate + Aminoglycoside  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/1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76.9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7.500 (1.307-13.028)</w:t>
            </w:r>
          </w:p>
        </w:tc>
        <w:tc>
          <w:tcPr>
            <w:tcW w:w="4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0.024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16.297 (2.260-37.519)</w:t>
            </w:r>
          </w:p>
        </w:tc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Carbapenem + Tigecycline 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/1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85.7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13.500 (2.510-30.689)</w:t>
            </w:r>
          </w:p>
        </w:tc>
        <w:tc>
          <w:tcPr>
            <w:tcW w:w="4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0.007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12.576 (1.345-37.558)</w:t>
            </w:r>
          </w:p>
        </w:tc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Tigecycline 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/1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78.9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8.437 (1.681-24.363)</w:t>
            </w:r>
          </w:p>
        </w:tc>
        <w:tc>
          <w:tcPr>
            <w:tcW w:w="4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0.010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17.775 (2.598-42.607)</w:t>
            </w:r>
          </w:p>
        </w:tc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Carbapenem + Aminoglycoside 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/1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68.8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4.950 (1.071-24.095)</w:t>
            </w:r>
          </w:p>
        </w:tc>
        <w:tc>
          <w:tcPr>
            <w:tcW w:w="4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0.048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13.571 (2.142-36.002)</w:t>
            </w:r>
          </w:p>
        </w:tc>
        <w:tc>
          <w:tcPr>
            <w:tcW w:w="44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0.006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outlineLvl w:val="0"/>
        <w:rPr>
          <w:rFonts w:hint="default" w:ascii="Times New Roman" w:hAnsi="Times New Roman" w:eastAsia="宋体" w:cs="Times New Roman"/>
          <w:b w:val="0"/>
          <w:bCs w:val="0"/>
          <w:sz w:val="15"/>
          <w:szCs w:val="15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15"/>
          <w:szCs w:val="15"/>
          <w:shd w:val="clear" w:color="auto" w:fill="FFFFFF"/>
          <w:lang w:val="en-US" w:eastAsia="zh-CN"/>
        </w:rPr>
        <w:t>*:adjusting for Pitt score, meropenem MIC ≥ 8 mg/L, immunocompromised status, source control of infection, appropriate empirical therapy, possible source of BSI and days of appropriate antimicrobial therapy</w:t>
      </w:r>
      <w:r>
        <w:rPr>
          <w:rFonts w:hint="eastAsia" w:ascii="Times New Roman" w:hAnsi="Times New Roman" w:eastAsia="宋体" w:cs="Times New Roman"/>
          <w:b w:val="0"/>
          <w:bCs w:val="0"/>
          <w:sz w:val="15"/>
          <w:szCs w:val="15"/>
          <w:shd w:val="clear" w:color="auto" w:fill="FFFFFF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outlineLvl w:val="0"/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outlineLvl w:val="0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shd w:val="clear" w:color="auto" w:fill="FFFFFF"/>
        </w:rPr>
        <w:t>Supplementary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shd w:val="clear" w:color="auto" w:fill="FFFFFF"/>
          <w:lang w:val="en-US" w:eastAsia="zh-CN"/>
        </w:rPr>
        <w:t xml:space="preserve"> Material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Effect of each type of antimicrobial on the mortality of patients with CRE-BSI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106"/>
        <w:gridCol w:w="1837"/>
        <w:gridCol w:w="757"/>
        <w:gridCol w:w="1825"/>
        <w:gridCol w:w="74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50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Antimicrobial r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egime</w:t>
            </w:r>
            <w:r>
              <w:rPr>
                <w:rFonts w:hint="eastAsia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n</w:t>
            </w:r>
          </w:p>
        </w:tc>
        <w:tc>
          <w:tcPr>
            <w:tcW w:w="1106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Mortality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, %)</w:t>
            </w:r>
          </w:p>
        </w:tc>
        <w:tc>
          <w:tcPr>
            <w:tcW w:w="259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Univariate logistic regression</w:t>
            </w:r>
          </w:p>
        </w:tc>
        <w:tc>
          <w:tcPr>
            <w:tcW w:w="257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Multivariate logistic regression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OR (95% CI)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P value</w:t>
            </w:r>
          </w:p>
        </w:tc>
        <w:tc>
          <w:tcPr>
            <w:tcW w:w="18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*a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  <w:t>OR (95% CI)</w:t>
            </w:r>
          </w:p>
        </w:tc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CAZ-AVI</w:t>
            </w:r>
          </w:p>
        </w:tc>
        <w:tc>
          <w:tcPr>
            <w:tcW w:w="1106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eastAsia="MingLiU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Without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72/152 (47.4)</w:t>
            </w:r>
          </w:p>
        </w:tc>
        <w:tc>
          <w:tcPr>
            <w:tcW w:w="18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5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eastAsia="MingLiU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6/35 (17.1)</w:t>
            </w:r>
          </w:p>
        </w:tc>
        <w:tc>
          <w:tcPr>
            <w:tcW w:w="18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0.230 (0.090-0.586)</w:t>
            </w:r>
          </w:p>
        </w:tc>
        <w:tc>
          <w:tcPr>
            <w:tcW w:w="75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0.002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0.0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8 (0.02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-0.3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79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Carbapenem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Without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38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(38.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i/>
                <w:iCs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i/>
                <w:iCs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87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(46.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1.3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89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 xml:space="preserve"> (0.7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75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-2.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489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)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0.2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2.2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 xml:space="preserve">81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(0.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874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-5.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956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)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0.0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  <w:t>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Tigecycline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eastAsia="MingLiU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Without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(3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8.1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i/>
                <w:iCs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i/>
                <w:iCs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eastAsia="MingLiU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/14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(4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2.8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8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214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(0.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600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2.455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75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590</w:t>
            </w:r>
          </w:p>
        </w:tc>
        <w:tc>
          <w:tcPr>
            <w:tcW w:w="18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1.139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0.410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3.166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Polymyxin B sulfate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eastAsia="MingLiU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Without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37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75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(4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9.3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i/>
                <w:iCs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i/>
                <w:iCs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eastAsia="MingLiU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41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/1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36.6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8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0.593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(0.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327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-1.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074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75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0.8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05</w:t>
            </w:r>
          </w:p>
        </w:tc>
        <w:tc>
          <w:tcPr>
            <w:tcW w:w="18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020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(0.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394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2.642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968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Aminoglycoside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eastAsia="MingLiU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Without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65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/15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41.1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i/>
                <w:iCs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 w:val="0"/>
                <w:bCs w:val="0"/>
                <w:i/>
                <w:iCs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5"/>
                <w:szCs w:val="15"/>
                <w:vertAlign w:val="baseline"/>
                <w:lang w:val="en-US" w:eastAsia="zh-CN"/>
              </w:rPr>
              <w:t>Ref</w:t>
            </w: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0" w:leftChars="50"/>
              <w:jc w:val="both"/>
              <w:textAlignment w:val="auto"/>
              <w:rPr>
                <w:rFonts w:hint="default" w:ascii="Times New Roman" w:hAnsi="Times New Roman" w:eastAsia="MingLiU" w:cs="Times New Roman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With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29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44.8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18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1.162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0.524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2.581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75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711</w:t>
            </w:r>
          </w:p>
        </w:tc>
        <w:tc>
          <w:tcPr>
            <w:tcW w:w="18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2.259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(0.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741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7.143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7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0.16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>*: adjusting for Pitt score, meropenem MIC ≥ 8 mg/L, immunocompromised status, source control of infection and appropriate empirical therapy.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B142C"/>
    <w:multiLevelType w:val="singleLevel"/>
    <w:tmpl w:val="959B142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92666"/>
    <w:rsid w:val="0AE76EC0"/>
    <w:rsid w:val="0B367EA3"/>
    <w:rsid w:val="16512FB5"/>
    <w:rsid w:val="16FB53D2"/>
    <w:rsid w:val="17DE269A"/>
    <w:rsid w:val="19531E6A"/>
    <w:rsid w:val="1A462E20"/>
    <w:rsid w:val="1C097D0A"/>
    <w:rsid w:val="261C689C"/>
    <w:rsid w:val="271E484C"/>
    <w:rsid w:val="2C8D6F8C"/>
    <w:rsid w:val="2F025437"/>
    <w:rsid w:val="32F26442"/>
    <w:rsid w:val="39161D5A"/>
    <w:rsid w:val="3ACA1294"/>
    <w:rsid w:val="3CCC48F5"/>
    <w:rsid w:val="3F8F5AEA"/>
    <w:rsid w:val="4A4259C5"/>
    <w:rsid w:val="4A612F77"/>
    <w:rsid w:val="4EBE4AC2"/>
    <w:rsid w:val="59027AF1"/>
    <w:rsid w:val="5DB92666"/>
    <w:rsid w:val="665C75EB"/>
    <w:rsid w:val="6C9B7A96"/>
    <w:rsid w:val="6E5A72EA"/>
    <w:rsid w:val="717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ingLiU" w:hAnsi="MingLiU" w:eastAsia="MingLiU" w:cs="Times New Roman"/>
      <w:color w:val="000000"/>
      <w:sz w:val="20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2021-03-19T07:41:00Z</dcterms:created>
  <dc:creator>安</dc:creator>
  <cp:lastModifiedBy>安</cp:lastModifiedBy>
  <dcterms:modified xsi:type="dcterms:W3CDTF">2021-04-05T08:39:54Z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821882342BA64B139B0126934156443F</vt:lpwstr>
  </property>
</Properties>
</file>