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Videos caption: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 49-year-old woman with metastatic squamous carcinoma from cervical cancer presents with a 16mm Lymph node located left paraaortic region above the </w:t>
      </w:r>
      <w:r>
        <w:rPr>
          <w:rFonts w:hint="default"/>
          <w:lang w:val="en-US" w:eastAsia="zh-CN"/>
        </w:rPr>
        <w:t>inferior mesenteric artery</w:t>
      </w:r>
      <w:r>
        <w:rPr>
          <w:rFonts w:hint="eastAsia"/>
          <w:lang w:val="en-US" w:eastAsia="zh-CN"/>
        </w:rPr>
        <w:t>(</w:t>
      </w:r>
      <w:r>
        <w:rPr>
          <w:rFonts w:hint="eastAsia"/>
          <w:color w:val="0000FF"/>
          <w:lang w:val="en-US" w:eastAsia="zh-CN"/>
        </w:rPr>
        <w:t>Ⅰ</w:t>
      </w:r>
      <w:r>
        <w:rPr>
          <w:rFonts w:hint="eastAsia"/>
          <w:lang w:val="en-US" w:eastAsia="zh-CN"/>
        </w:rPr>
        <w:t xml:space="preserve">).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Movie 1 manifested that the needle tip was displayed in real time throughout the procedure and the needle tip always remains within the lesion during sampling.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Movie 2 showed that when the needle tip was not clearly visualized, shaking the puncture needle was beneficial to the display of the needle tip. 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76479"/>
    <w:rsid w:val="494F60C2"/>
    <w:rsid w:val="49612D26"/>
    <w:rsid w:val="537C2125"/>
    <w:rsid w:val="538B61B7"/>
    <w:rsid w:val="78FA3634"/>
    <w:rsid w:val="7BC9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2021-04-05T14:46:42Z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