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D" w:rsidRPr="007D4596" w:rsidRDefault="002F605D" w:rsidP="002F605D">
      <w:pPr>
        <w:rPr>
          <w:b/>
          <w:bCs/>
        </w:rPr>
      </w:pPr>
      <w:r w:rsidRPr="007D4596">
        <w:rPr>
          <w:b/>
          <w:bCs/>
        </w:rPr>
        <w:t>1</w:t>
      </w:r>
      <w:r>
        <w:rPr>
          <w:b/>
          <w:bCs/>
        </w:rPr>
        <w:t>1</w:t>
      </w:r>
      <w:r w:rsidRPr="007D4596">
        <w:rPr>
          <w:b/>
          <w:bCs/>
        </w:rPr>
        <w:t>. Appendix A. Description of disease and medication-related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605D" w:rsidTr="00F9664B">
        <w:tc>
          <w:tcPr>
            <w:tcW w:w="4508" w:type="dxa"/>
          </w:tcPr>
          <w:p w:rsidR="002F605D" w:rsidRDefault="002F605D" w:rsidP="00F9664B">
            <w:pPr>
              <w:spacing w:line="480" w:lineRule="auto"/>
            </w:pPr>
            <w:r>
              <w:t>Variable</w:t>
            </w:r>
          </w:p>
        </w:tc>
        <w:tc>
          <w:tcPr>
            <w:tcW w:w="4508" w:type="dxa"/>
          </w:tcPr>
          <w:p w:rsidR="002F605D" w:rsidRDefault="002F605D" w:rsidP="00F9664B">
            <w:pPr>
              <w:spacing w:line="480" w:lineRule="auto"/>
            </w:pPr>
            <w:r>
              <w:t>Description</w:t>
            </w:r>
          </w:p>
        </w:tc>
      </w:tr>
      <w:tr w:rsidR="002F605D" w:rsidTr="00F9664B">
        <w:tc>
          <w:tcPr>
            <w:tcW w:w="9016" w:type="dxa"/>
            <w:gridSpan w:val="2"/>
          </w:tcPr>
          <w:p w:rsidR="002F605D" w:rsidRPr="002A1A84" w:rsidRDefault="002F605D" w:rsidP="00F9664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Disease-related</w:t>
            </w:r>
            <w:r w:rsidRPr="002A1A84">
              <w:rPr>
                <w:bCs/>
              </w:rPr>
              <w:t xml:space="preserve"> variable</w:t>
            </w:r>
          </w:p>
        </w:tc>
      </w:tr>
      <w:tr w:rsidR="002F605D" w:rsidTr="00F9664B">
        <w:tc>
          <w:tcPr>
            <w:tcW w:w="4508" w:type="dxa"/>
          </w:tcPr>
          <w:p w:rsidR="002F605D" w:rsidRPr="00956B85" w:rsidRDefault="002F605D" w:rsidP="00F9664B">
            <w:pPr>
              <w:spacing w:line="480" w:lineRule="auto"/>
            </w:pPr>
            <w:r>
              <w:t>Comorbidity count</w:t>
            </w:r>
          </w:p>
        </w:tc>
        <w:tc>
          <w:tcPr>
            <w:tcW w:w="4508" w:type="dxa"/>
          </w:tcPr>
          <w:p w:rsidR="002F605D" w:rsidRPr="002A1A84" w:rsidRDefault="002F605D" w:rsidP="00F9664B">
            <w:pPr>
              <w:spacing w:line="480" w:lineRule="auto"/>
              <w:rPr>
                <w:bCs/>
              </w:rPr>
            </w:pPr>
            <w:r w:rsidRPr="002A1A84">
              <w:rPr>
                <w:bCs/>
              </w:rPr>
              <w:t>Total numerical count of all comorbid conditions. Intermittent conditions such as infections were excluded unless documented as severe, requiring regular pharmacological management</w:t>
            </w:r>
          </w:p>
        </w:tc>
      </w:tr>
      <w:tr w:rsidR="002F605D" w:rsidTr="00F9664B">
        <w:tc>
          <w:tcPr>
            <w:tcW w:w="9016" w:type="dxa"/>
            <w:gridSpan w:val="2"/>
          </w:tcPr>
          <w:p w:rsidR="002F605D" w:rsidRPr="002A1A84" w:rsidRDefault="002F605D" w:rsidP="00F9664B">
            <w:pPr>
              <w:spacing w:line="480" w:lineRule="auto"/>
              <w:jc w:val="center"/>
              <w:rPr>
                <w:bCs/>
              </w:rPr>
            </w:pPr>
            <w:r w:rsidRPr="002A1A84">
              <w:rPr>
                <w:bCs/>
              </w:rPr>
              <w:t>Medication-related variables</w:t>
            </w:r>
          </w:p>
        </w:tc>
      </w:tr>
      <w:tr w:rsidR="002F605D" w:rsidTr="00F9664B">
        <w:tc>
          <w:tcPr>
            <w:tcW w:w="9016" w:type="dxa"/>
            <w:gridSpan w:val="2"/>
          </w:tcPr>
          <w:p w:rsidR="002F605D" w:rsidRPr="00435054" w:rsidRDefault="002F605D" w:rsidP="00F9664B">
            <w:pPr>
              <w:spacing w:line="480" w:lineRule="auto"/>
              <w:jc w:val="center"/>
              <w:rPr>
                <w:i/>
              </w:rPr>
            </w:pPr>
            <w:r w:rsidRPr="00435054">
              <w:rPr>
                <w:i/>
              </w:rPr>
              <w:t>Number-related variable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Total number of medicines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Total numerical count of all medicines</w:t>
            </w:r>
          </w:p>
        </w:tc>
      </w:tr>
      <w:tr w:rsidR="002F605D" w:rsidTr="00F9664B">
        <w:tc>
          <w:tcPr>
            <w:tcW w:w="9016" w:type="dxa"/>
            <w:gridSpan w:val="2"/>
          </w:tcPr>
          <w:p w:rsidR="002F605D" w:rsidRPr="007408AE" w:rsidRDefault="002F605D" w:rsidP="00F9664B">
            <w:pPr>
              <w:spacing w:line="480" w:lineRule="auto"/>
              <w:jc w:val="center"/>
              <w:rPr>
                <w:rFonts w:cstheme="minorHAnsi"/>
              </w:rPr>
            </w:pPr>
            <w:r w:rsidRPr="002413E9">
              <w:rPr>
                <w:rFonts w:cstheme="minorHAnsi"/>
                <w:i/>
              </w:rPr>
              <w:t>Medication-combination variables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Drug-drug interaction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Drug-drug interactions were identified using the Australian Medicines Handbook </w:t>
            </w:r>
            <w:r>
              <w:rPr>
                <w:rFonts w:cstheme="minorHAnsi"/>
                <w:noProof/>
              </w:rPr>
              <w:t>[22]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Drug-disease interaction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Drug-disease interactions were identified using the list of drug-disease or drug-syndrome interactions from Beers Criteria 2015 </w:t>
            </w:r>
            <w:r>
              <w:rPr>
                <w:rFonts w:cstheme="minorHAnsi"/>
                <w:noProof/>
              </w:rPr>
              <w:t>[24]</w:t>
            </w:r>
            <w:r w:rsidRPr="007408AE">
              <w:rPr>
                <w:rFonts w:cstheme="minorHAnsi"/>
              </w:rPr>
              <w:t xml:space="preserve"> and a list of treatment conflicts shortlisted after reviewing Australian clinical guidelines on diabetes, heart failure and COPD </w:t>
            </w:r>
            <w:r>
              <w:rPr>
                <w:rFonts w:cstheme="minorHAnsi"/>
                <w:noProof/>
              </w:rPr>
              <w:t>[22-24]</w:t>
            </w:r>
            <w:r w:rsidRPr="007408AE">
              <w:rPr>
                <w:rFonts w:cstheme="minorHAnsi"/>
              </w:rPr>
              <w:t xml:space="preserve"> 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Inappropriate drug class duplication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Inappropriate drug class duplication was identified as described in the Australian Medicines Handbook </w:t>
            </w:r>
            <w:r>
              <w:rPr>
                <w:rFonts w:cstheme="minorHAnsi"/>
                <w:noProof/>
              </w:rPr>
              <w:t>[22]</w:t>
            </w:r>
            <w:r w:rsidRPr="007408AE">
              <w:rPr>
                <w:rFonts w:cstheme="minorHAnsi"/>
              </w:rPr>
              <w:t>.</w:t>
            </w:r>
          </w:p>
        </w:tc>
      </w:tr>
      <w:tr w:rsidR="002F605D" w:rsidTr="00F9664B">
        <w:tc>
          <w:tcPr>
            <w:tcW w:w="9016" w:type="dxa"/>
            <w:gridSpan w:val="2"/>
          </w:tcPr>
          <w:p w:rsidR="002F605D" w:rsidRPr="00437F16" w:rsidRDefault="002F605D" w:rsidP="00F9664B">
            <w:pPr>
              <w:spacing w:line="480" w:lineRule="auto"/>
              <w:jc w:val="center"/>
              <w:rPr>
                <w:rFonts w:cstheme="minorHAnsi"/>
                <w:i/>
              </w:rPr>
            </w:pPr>
            <w:r w:rsidRPr="00437F16">
              <w:rPr>
                <w:rFonts w:cstheme="minorHAnsi"/>
                <w:i/>
              </w:rPr>
              <w:t>Drug classes individually or grouped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lastRenderedPageBreak/>
              <w:t>High</w:t>
            </w:r>
            <w:r>
              <w:rPr>
                <w:rFonts w:cstheme="minorHAnsi"/>
              </w:rPr>
              <w:t>-</w:t>
            </w:r>
            <w:r w:rsidRPr="007408AE">
              <w:rPr>
                <w:rFonts w:cstheme="minorHAnsi"/>
              </w:rPr>
              <w:t>risk medicines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The number </w:t>
            </w:r>
            <w:r>
              <w:rPr>
                <w:rFonts w:cstheme="minorHAnsi"/>
              </w:rPr>
              <w:t>of high-</w:t>
            </w:r>
            <w:r w:rsidRPr="007408AE">
              <w:rPr>
                <w:rFonts w:cstheme="minorHAnsi"/>
              </w:rPr>
              <w:t xml:space="preserve">risk medicines were identified using the </w:t>
            </w:r>
            <w:r>
              <w:rPr>
                <w:rFonts w:cstheme="minorHAnsi"/>
              </w:rPr>
              <w:t>APINCHEN list</w:t>
            </w:r>
            <w:r w:rsidRPr="007408AE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>[20]</w:t>
            </w:r>
            <w:r w:rsidRPr="007408AE">
              <w:rPr>
                <w:rFonts w:cstheme="minorHAnsi"/>
              </w:rPr>
              <w:t>.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Sedative or anticholinergic </w:t>
            </w:r>
          </w:p>
        </w:tc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Sedatives were identified using the ‘Narcotics and other sedatives’ list from the </w:t>
            </w:r>
            <w:r>
              <w:rPr>
                <w:rFonts w:cstheme="minorHAnsi"/>
              </w:rPr>
              <w:t>APINCHEN</w:t>
            </w:r>
            <w:r w:rsidRPr="007408AE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>[20]</w:t>
            </w:r>
            <w:r w:rsidRPr="007408AE">
              <w:rPr>
                <w:rFonts w:cstheme="minorHAnsi"/>
              </w:rPr>
              <w:t xml:space="preserve"> and anticholinergics were identified using the ‘Drugs with anticholinergic effects’ table from the Australian Medicines Handbook </w:t>
            </w:r>
            <w:r>
              <w:rPr>
                <w:rFonts w:cstheme="minorHAnsi"/>
                <w:noProof/>
              </w:rPr>
              <w:t>[22]</w:t>
            </w:r>
            <w:r w:rsidRPr="007408AE">
              <w:rPr>
                <w:rFonts w:cstheme="minorHAnsi"/>
              </w:rPr>
              <w:t xml:space="preserve">. 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Anticholinergic </w:t>
            </w:r>
          </w:p>
        </w:tc>
        <w:tc>
          <w:tcPr>
            <w:tcW w:w="4508" w:type="dxa"/>
            <w:vMerge w:val="restart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608FF">
              <w:rPr>
                <w:rFonts w:cstheme="minorHAnsi"/>
              </w:rPr>
              <w:t>Number in each drug class was included. Drugs were classified into each class as per the categorisation in the Australian Medicines Handbook</w:t>
            </w:r>
            <w:r w:rsidRPr="007408AE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>[22]</w:t>
            </w:r>
            <w:r w:rsidRPr="007408AE">
              <w:rPr>
                <w:rFonts w:cstheme="minorHAnsi"/>
              </w:rPr>
              <w:t>.</w:t>
            </w: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Benzodiazepine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Opioid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Antipsychotic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Antidepressant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Antiepileptic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Antiparkinson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NSAID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 xml:space="preserve">Anticoagulant 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Antiplatelet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Antiarrhythmic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Diuretic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Antihypertensive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Systemic corticosteroid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Oral hypoglycaemic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Insulin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Digoxin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t>Paracetamol (negative control)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 w:rsidRPr="007408AE">
              <w:rPr>
                <w:rFonts w:cstheme="minorHAnsi"/>
              </w:rPr>
              <w:lastRenderedPageBreak/>
              <w:t>Vitamin D (negative control)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  <w:tr w:rsidR="002F605D" w:rsidTr="00F9664B">
        <w:tc>
          <w:tcPr>
            <w:tcW w:w="4508" w:type="dxa"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Multivitamin (negative control)</w:t>
            </w:r>
          </w:p>
        </w:tc>
        <w:tc>
          <w:tcPr>
            <w:tcW w:w="4508" w:type="dxa"/>
            <w:vMerge/>
          </w:tcPr>
          <w:p w:rsidR="002F605D" w:rsidRPr="007408AE" w:rsidRDefault="002F605D" w:rsidP="00F9664B">
            <w:pPr>
              <w:spacing w:line="480" w:lineRule="auto"/>
              <w:rPr>
                <w:rFonts w:cstheme="minorHAnsi"/>
              </w:rPr>
            </w:pPr>
          </w:p>
        </w:tc>
      </w:tr>
    </w:tbl>
    <w:p w:rsidR="002F605D" w:rsidRDefault="002F605D" w:rsidP="002F605D"/>
    <w:p w:rsidR="00390883" w:rsidRDefault="002F605D">
      <w:bookmarkStart w:id="0" w:name="_GoBack"/>
      <w:bookmarkEnd w:id="0"/>
    </w:p>
    <w:sectPr w:rsidR="00390883" w:rsidSect="006B4FDD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968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82F" w:rsidRDefault="002F6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82F" w:rsidRDefault="002F605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F" w:rsidRDefault="002F605D">
    <w:pPr>
      <w:pStyle w:val="Header"/>
    </w:pPr>
    <w:r>
      <w:rPr>
        <w:rFonts w:ascii="Times New Roman" w:hAnsi="Times New Roman" w:cs="Times New Roman"/>
        <w:b/>
        <w:sz w:val="20"/>
        <w:szCs w:val="20"/>
      </w:rPr>
      <w:t>Important medication-related factors for polypharmacy and deprescribing assessment by physicians and pharmacists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D"/>
    <w:rsid w:val="002F605D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ED9E-51C7-4A8B-BE74-2B7BF466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5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05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5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5D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2F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2021-07-12T06:01:00Z</dcterms:created>
  <dcterms:modified xsi:type="dcterms:W3CDTF">2021-07-12T06:02:00Z</dcterms:modified>
</cp:coreProperties>
</file>