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eastAsia="Times New Roman" w:cs="Arial"/>
          <w:b/>
          <w:sz w:val="28"/>
          <w:lang w:eastAsia="de-DE"/>
        </w:rPr>
      </w:pPr>
      <w:r>
        <w:rPr>
          <w:rFonts w:eastAsia="Times New Roman" w:cs="Arial"/>
          <w:b/>
          <w:sz w:val="32"/>
          <w:szCs w:val="24"/>
          <w:lang w:eastAsia="de-DE"/>
        </w:rPr>
        <w:t>Effects of adherence to pharmacological secondary prevention after acute myocardial infarction on health care costs – an analysis of real-world data</w:t>
      </w:r>
    </w:p>
    <w:p>
      <w:pPr>
        <w:spacing w:after="0" w:line="240" w:lineRule="auto"/>
        <w:rPr>
          <w:rFonts w:eastAsia="Times New Roman" w:cs="Arial"/>
          <w:sz w:val="24"/>
          <w:szCs w:val="24"/>
          <w:lang w:eastAsia="de-DE"/>
        </w:rPr>
      </w:pPr>
    </w:p>
    <w:p>
      <w:pPr>
        <w:spacing w:after="0" w:line="240" w:lineRule="auto"/>
        <w:rPr>
          <w:rFonts w:eastAsia="Times New Roman" w:cs="Arial"/>
          <w:sz w:val="24"/>
          <w:szCs w:val="24"/>
          <w:lang w:eastAsia="de-DE"/>
        </w:rPr>
      </w:pPr>
      <w:r>
        <w:rPr>
          <w:rFonts w:eastAsia="Times New Roman" w:cs="Arial"/>
          <w:sz w:val="24"/>
          <w:szCs w:val="24"/>
          <w:lang w:eastAsia="de-DE"/>
        </w:rPr>
        <w:t>Florian Kirsch</w:t>
      </w:r>
      <w:r>
        <w:rPr>
          <w:rFonts w:eastAsia="Times New Roman" w:cs="Arial"/>
          <w:sz w:val="24"/>
          <w:szCs w:val="24"/>
          <w:vertAlign w:val="superscript"/>
          <w:lang w:eastAsia="de-DE"/>
        </w:rPr>
        <w:t>1,2</w:t>
      </w:r>
      <w:r>
        <w:rPr>
          <w:rFonts w:eastAsia="Times New Roman" w:cs="Arial"/>
          <w:sz w:val="24"/>
          <w:szCs w:val="24"/>
          <w:lang w:eastAsia="de-DE"/>
        </w:rPr>
        <w:t>, Christian Becker</w:t>
      </w:r>
      <w:r>
        <w:rPr>
          <w:rFonts w:eastAsia="Times New Roman" w:cs="Arial"/>
          <w:sz w:val="24"/>
          <w:szCs w:val="24"/>
          <w:vertAlign w:val="superscript"/>
          <w:lang w:eastAsia="de-DE"/>
        </w:rPr>
        <w:t>2</w:t>
      </w:r>
      <w:r>
        <w:rPr>
          <w:rFonts w:eastAsia="Times New Roman" w:cs="Arial"/>
          <w:sz w:val="24"/>
          <w:szCs w:val="24"/>
          <w:lang w:eastAsia="de-DE"/>
        </w:rPr>
        <w:t>, Christoph Kurz</w:t>
      </w:r>
      <w:r>
        <w:rPr>
          <w:rFonts w:eastAsia="Times New Roman" w:cs="Arial"/>
          <w:sz w:val="24"/>
          <w:szCs w:val="24"/>
          <w:vertAlign w:val="superscript"/>
          <w:lang w:eastAsia="de-DE"/>
        </w:rPr>
        <w:t>2</w:t>
      </w:r>
      <w:r>
        <w:rPr>
          <w:rFonts w:eastAsia="Times New Roman" w:cs="Arial"/>
          <w:sz w:val="24"/>
          <w:szCs w:val="24"/>
          <w:lang w:eastAsia="de-DE"/>
        </w:rPr>
        <w:t>, Lars Schwettmann</w:t>
      </w:r>
      <w:r>
        <w:rPr>
          <w:rFonts w:eastAsia="Times New Roman" w:cs="Arial"/>
          <w:sz w:val="24"/>
          <w:szCs w:val="24"/>
          <w:vertAlign w:val="superscript"/>
          <w:lang w:eastAsia="de-DE"/>
        </w:rPr>
        <w:t>2</w:t>
      </w:r>
      <w:r>
        <w:rPr>
          <w:rFonts w:eastAsia="Times New Roman" w:cs="Arial"/>
          <w:sz w:val="24"/>
          <w:szCs w:val="24"/>
          <w:lang w:eastAsia="de-DE"/>
        </w:rPr>
        <w:t>, Anja Schramm</w:t>
      </w:r>
      <w:r>
        <w:rPr>
          <w:rFonts w:eastAsia="Times New Roman" w:cs="Arial"/>
          <w:sz w:val="24"/>
          <w:szCs w:val="24"/>
          <w:vertAlign w:val="superscript"/>
          <w:lang w:eastAsia="de-DE"/>
        </w:rPr>
        <w:t>3</w:t>
      </w:r>
    </w:p>
    <w:p>
      <w:pPr>
        <w:spacing w:after="0" w:line="240" w:lineRule="auto"/>
        <w:rPr>
          <w:rFonts w:eastAsia="Times New Roman" w:cs="Arial"/>
          <w:sz w:val="20"/>
          <w:szCs w:val="20"/>
          <w:lang w:eastAsia="de-DE"/>
        </w:rPr>
      </w:pPr>
      <w:r>
        <w:rPr>
          <w:rFonts w:eastAsia="Times New Roman" w:cs="Arial"/>
          <w:sz w:val="20"/>
          <w:szCs w:val="20"/>
          <w:lang w:eastAsia="de-DE"/>
        </w:rPr>
        <w:t>Affiliation:</w:t>
      </w:r>
    </w:p>
    <w:p>
      <w:pPr>
        <w:spacing w:after="0" w:line="240" w:lineRule="auto"/>
        <w:rPr>
          <w:rFonts w:eastAsia="Times New Roman" w:cs="Arial"/>
          <w:sz w:val="20"/>
          <w:szCs w:val="20"/>
          <w:lang w:eastAsia="de-DE"/>
        </w:rPr>
      </w:pPr>
      <w:r>
        <w:rPr>
          <w:rFonts w:eastAsia="Times New Roman" w:cs="Arial"/>
          <w:sz w:val="20"/>
          <w:szCs w:val="20"/>
          <w:vertAlign w:val="superscript"/>
          <w:lang w:eastAsia="de-DE"/>
        </w:rPr>
        <w:t>1</w:t>
      </w:r>
      <w:r>
        <w:rPr>
          <w:rFonts w:eastAsia="Times New Roman" w:cs="Arial"/>
          <w:sz w:val="20"/>
          <w:szCs w:val="20"/>
          <w:lang w:eastAsia="de-DE"/>
        </w:rPr>
        <w:t xml:space="preserve"> Munich School of Management and Munich Center of Health Sciences, Ludwig-Maximilians-University, Munich, Germany</w:t>
      </w:r>
    </w:p>
    <w:p>
      <w:pPr>
        <w:spacing w:after="0" w:line="240" w:lineRule="auto"/>
        <w:rPr>
          <w:rFonts w:eastAsia="Times New Roman" w:cs="Arial"/>
          <w:sz w:val="20"/>
          <w:szCs w:val="20"/>
          <w:lang w:eastAsia="de-DE"/>
        </w:rPr>
      </w:pPr>
      <w:r>
        <w:rPr>
          <w:rFonts w:eastAsia="Times New Roman" w:cs="Arial"/>
          <w:sz w:val="20"/>
          <w:szCs w:val="20"/>
          <w:vertAlign w:val="superscript"/>
          <w:lang w:eastAsia="de-DE"/>
        </w:rPr>
        <w:t>2</w:t>
      </w:r>
      <w:r>
        <w:rPr>
          <w:rFonts w:eastAsia="Times New Roman" w:cs="Arial"/>
          <w:sz w:val="20"/>
          <w:szCs w:val="20"/>
          <w:lang w:eastAsia="de-DE"/>
        </w:rPr>
        <w:t xml:space="preserve"> Institute of Health Economics and Health Care Management, HelmholtzZentrum München, Neuherberg, Germany</w:t>
      </w:r>
    </w:p>
    <w:p>
      <w:pPr>
        <w:spacing w:after="0" w:line="240" w:lineRule="auto"/>
        <w:rPr>
          <w:rFonts w:eastAsia="Times New Roman" w:cs="Arial"/>
          <w:sz w:val="20"/>
          <w:szCs w:val="20"/>
          <w:lang w:eastAsia="de-DE"/>
        </w:rPr>
      </w:pPr>
      <w:r>
        <w:rPr>
          <w:rFonts w:eastAsia="Times New Roman" w:cs="Arial"/>
          <w:sz w:val="20"/>
          <w:szCs w:val="20"/>
          <w:vertAlign w:val="superscript"/>
          <w:lang w:eastAsia="de-DE"/>
        </w:rPr>
        <w:t>3</w:t>
      </w:r>
      <w:r>
        <w:rPr>
          <w:rFonts w:eastAsia="Times New Roman" w:cs="Arial"/>
          <w:sz w:val="20"/>
          <w:szCs w:val="20"/>
          <w:lang w:eastAsia="de-DE"/>
        </w:rPr>
        <w:t xml:space="preserve"> AOK Bayern, Service Center of Health Care Management, Regensburg, Germany</w:t>
      </w:r>
    </w:p>
    <w:p>
      <w:pPr>
        <w:spacing w:after="0" w:line="240" w:lineRule="auto"/>
        <w:rPr>
          <w:rFonts w:eastAsia="Times New Roman" w:cs="Arial"/>
          <w:sz w:val="20"/>
          <w:szCs w:val="20"/>
          <w:lang w:eastAsia="de-DE"/>
        </w:rPr>
      </w:pPr>
    </w:p>
    <w:p>
      <w:pPr>
        <w:spacing w:after="0" w:line="240" w:lineRule="auto"/>
        <w:rPr>
          <w:rStyle w:val="Hyperlink"/>
          <w:rFonts w:cs="Arial"/>
          <w:sz w:val="20"/>
          <w:szCs w:val="20"/>
          <w:lang w:eastAsia="de-DE"/>
        </w:rPr>
      </w:pPr>
      <w:r>
        <w:rPr>
          <w:rFonts w:eastAsia="Times New Roman" w:cs="Arial"/>
          <w:sz w:val="20"/>
          <w:szCs w:val="20"/>
          <w:lang w:eastAsia="de-DE"/>
        </w:rPr>
        <w:t xml:space="preserve">Correspondence: Dr. Florian Kirsch, MBR, Institute of Health Economics and Health Care Management, </w:t>
      </w:r>
      <w:bookmarkStart w:id="0" w:name="_GoBack"/>
      <w:bookmarkEnd w:id="0"/>
      <w:r>
        <w:rPr>
          <w:rFonts w:eastAsia="Times New Roman" w:cs="Arial"/>
          <w:sz w:val="20"/>
          <w:szCs w:val="20"/>
          <w:lang w:eastAsia="de-DE"/>
        </w:rPr>
        <w:t xml:space="preserve">HelmholtzZentrum München, Ingolstädter Landstraße 1, D-85764 Neuherberg, Germany; phone: +49 (0) 89 / 3187 – 49223; E-mail: </w:t>
      </w:r>
      <w:hyperlink r:id="rId8" w:history="1">
        <w:r>
          <w:rPr>
            <w:rStyle w:val="Hyperlink"/>
            <w:rFonts w:cs="Arial"/>
            <w:sz w:val="20"/>
            <w:szCs w:val="20"/>
            <w:lang w:eastAsia="de-DE"/>
          </w:rPr>
          <w:t>florian.kirsch@helmholtz-muenchen.de</w:t>
        </w:r>
      </w:hyperlink>
    </w:p>
    <w:p>
      <w:pPr>
        <w:spacing w:after="0" w:line="240" w:lineRule="auto"/>
        <w:rPr>
          <w:rStyle w:val="Hyperlink"/>
          <w:rFonts w:cs="Arial"/>
          <w:color w:val="auto"/>
          <w:sz w:val="20"/>
          <w:szCs w:val="20"/>
          <w:lang w:eastAsia="de-DE"/>
        </w:rPr>
      </w:pPr>
    </w:p>
    <w:p>
      <w:pPr>
        <w:spacing w:after="0" w:line="240" w:lineRule="auto"/>
        <w:rPr>
          <w:rStyle w:val="Hyperlink"/>
          <w:rFonts w:cs="Arial"/>
          <w:color w:val="auto"/>
          <w:sz w:val="20"/>
          <w:szCs w:val="20"/>
          <w:lang w:eastAsia="de-DE"/>
        </w:rPr>
      </w:pPr>
    </w:p>
    <w:p>
      <w:pPr>
        <w:spacing w:after="120" w:line="360" w:lineRule="auto"/>
        <w:contextualSpacing/>
        <w:jc w:val="both"/>
        <w:rPr>
          <w:b/>
          <w:sz w:val="24"/>
        </w:rPr>
      </w:pPr>
      <w:r>
        <w:rPr>
          <w:b/>
          <w:sz w:val="24"/>
        </w:rPr>
        <w:t>Acknowledgements</w:t>
      </w:r>
    </w:p>
    <w:p>
      <w:pPr>
        <w:spacing w:after="120" w:line="360" w:lineRule="auto"/>
        <w:contextualSpacing/>
        <w:jc w:val="both"/>
        <w:rPr>
          <w:sz w:val="24"/>
          <w:szCs w:val="24"/>
        </w:rPr>
      </w:pPr>
      <w:r>
        <w:rPr>
          <w:sz w:val="24"/>
          <w:szCs w:val="24"/>
        </w:rPr>
        <w:t>We would like to thank the AOK Bayern for providing the data and the helpful comments on data.</w:t>
      </w:r>
    </w:p>
    <w:p>
      <w:pPr>
        <w:spacing w:after="120" w:line="360" w:lineRule="auto"/>
        <w:contextualSpacing/>
        <w:jc w:val="both"/>
        <w:rPr>
          <w:sz w:val="24"/>
          <w:szCs w:val="24"/>
        </w:rPr>
      </w:pPr>
    </w:p>
    <w:p>
      <w:pPr>
        <w:spacing w:after="120" w:line="360" w:lineRule="auto"/>
        <w:contextualSpacing/>
        <w:jc w:val="both"/>
        <w:rPr>
          <w:b/>
          <w:sz w:val="24"/>
        </w:rPr>
      </w:pPr>
      <w:r>
        <w:rPr>
          <w:b/>
          <w:sz w:val="24"/>
        </w:rPr>
        <w:t>Conflict of interest statement</w:t>
      </w:r>
    </w:p>
    <w:p>
      <w:pPr>
        <w:spacing w:after="120" w:line="360" w:lineRule="auto"/>
        <w:contextualSpacing/>
        <w:jc w:val="both"/>
        <w:rPr>
          <w:sz w:val="24"/>
          <w:szCs w:val="24"/>
        </w:rPr>
      </w:pPr>
      <w:r>
        <w:rPr>
          <w:sz w:val="24"/>
          <w:szCs w:val="24"/>
        </w:rPr>
        <w:t>No funding was provided for the preparation of the manuscript.</w:t>
      </w:r>
    </w:p>
    <w:p>
      <w:pPr>
        <w:spacing w:after="120" w:line="360" w:lineRule="auto"/>
        <w:contextualSpacing/>
        <w:jc w:val="both"/>
        <w:rPr>
          <w:sz w:val="24"/>
          <w:szCs w:val="24"/>
        </w:rPr>
      </w:pPr>
    </w:p>
    <w:p>
      <w:pPr>
        <w:spacing w:after="120" w:line="360" w:lineRule="auto"/>
        <w:contextualSpacing/>
        <w:jc w:val="both"/>
        <w:rPr>
          <w:b/>
          <w:sz w:val="24"/>
        </w:rPr>
      </w:pPr>
      <w:r>
        <w:rPr>
          <w:b/>
          <w:sz w:val="24"/>
        </w:rPr>
        <w:t>Conflict of interest statement</w:t>
      </w:r>
    </w:p>
    <w:p>
      <w:pPr>
        <w:spacing w:after="120" w:line="360" w:lineRule="auto"/>
        <w:contextualSpacing/>
        <w:jc w:val="both"/>
        <w:rPr>
          <w:sz w:val="24"/>
          <w:szCs w:val="24"/>
        </w:rPr>
      </w:pPr>
      <w:r>
        <w:rPr>
          <w:sz w:val="24"/>
          <w:szCs w:val="24"/>
        </w:rPr>
        <w:t>The authors have no relevant affiliation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pPr>
        <w:spacing w:after="0" w:line="240" w:lineRule="auto"/>
        <w:rPr>
          <w:rFonts w:cs="Arial"/>
          <w:sz w:val="20"/>
          <w:szCs w:val="20"/>
          <w:u w:val="single"/>
          <w:lang w:eastAsia="de-DE"/>
        </w:rPr>
      </w:pPr>
    </w:p>
    <w:p>
      <w:pPr>
        <w:spacing w:after="0" w:line="240" w:lineRule="auto"/>
        <w:rPr>
          <w:rFonts w:eastAsia="Times New Roman" w:cs="Times New Roman"/>
          <w:b/>
          <w:sz w:val="24"/>
          <w:szCs w:val="24"/>
        </w:rPr>
      </w:pPr>
      <w:r>
        <w:rPr>
          <w:rFonts w:eastAsia="Times New Roman" w:cs="Times New Roman"/>
          <w:b/>
          <w:sz w:val="24"/>
          <w:szCs w:val="24"/>
        </w:rPr>
        <w:t>Keywords</w:t>
      </w:r>
    </w:p>
    <w:p>
      <w:pPr>
        <w:spacing w:after="0" w:line="240" w:lineRule="auto"/>
        <w:rPr>
          <w:rFonts w:cs="Arial"/>
          <w:sz w:val="20"/>
          <w:szCs w:val="20"/>
          <w:u w:val="single"/>
          <w:lang w:eastAsia="de-DE"/>
        </w:rPr>
      </w:pPr>
      <w:r>
        <w:rPr>
          <w:rFonts w:eastAsia="Times New Roman" w:cs="Times New Roman"/>
          <w:sz w:val="24"/>
          <w:szCs w:val="24"/>
        </w:rPr>
        <w:t>A</w:t>
      </w:r>
      <w:r>
        <w:rPr>
          <w:rFonts w:eastAsia="Times New Roman" w:cs="Times New Roman"/>
          <w:sz w:val="24"/>
          <w:szCs w:val="24"/>
        </w:rPr>
        <w:t>cute myocardial infarction, health care expenditures</w:t>
      </w:r>
      <w:r>
        <w:rPr>
          <w:rFonts w:eastAsia="Times New Roman" w:cs="Times New Roman"/>
          <w:sz w:val="24"/>
          <w:szCs w:val="24"/>
        </w:rPr>
        <w:t>, secondary prevention</w:t>
      </w:r>
      <w:r>
        <w:rPr>
          <w:rFonts w:eastAsia="Times New Roman" w:cs="Times New Roman"/>
          <w:sz w:val="24"/>
          <w:szCs w:val="24"/>
        </w:rPr>
        <w:t>, guideline-based medication, Disease Management Program</w:t>
      </w:r>
      <w:r>
        <w:rPr>
          <w:rFonts w:eastAsia="Times New Roman" w:cs="Times New Roman"/>
          <w:sz w:val="24"/>
          <w:szCs w:val="24"/>
        </w:rPr>
        <w:t>.</w:t>
      </w:r>
    </w:p>
    <w:sectPr>
      <w:headerReference w:type="default" r:id="rId9"/>
      <w:footerReference w:type="default" r:id="rId10"/>
      <w:pgSz w:w="11906" w:h="16838"/>
      <w:pgMar w:top="1418" w:right="1134" w:bottom="1418" w:left="2268" w:header="709" w:footer="709"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58C52" w16cid:durableId="20D410BB"/>
  <w16cid:commentId w16cid:paraId="03318FD0" w16cid:durableId="20D41088"/>
  <w16cid:commentId w16cid:paraId="7EA2076D" w16cid:durableId="20D410F1"/>
  <w16cid:commentId w16cid:paraId="6ED26D7B" w16cid:durableId="20D41128"/>
  <w16cid:commentId w16cid:paraId="3CE479A8" w16cid:durableId="20D411E1"/>
  <w16cid:commentId w16cid:paraId="5521C730" w16cid:durableId="20D4AABD"/>
  <w16cid:commentId w16cid:paraId="01436841" w16cid:durableId="20D4AAFA"/>
  <w16cid:commentId w16cid:paraId="1BD99593" w16cid:durableId="20D4AA57"/>
  <w16cid:commentId w16cid:paraId="5F67759D" w16cid:durableId="20D4AB39"/>
  <w16cid:commentId w16cid:paraId="31AB8FEF" w16cid:durableId="20D4AB9C"/>
  <w16cid:commentId w16cid:paraId="25E2D0B1" w16cid:durableId="20D4ABB3"/>
  <w16cid:commentId w16cid:paraId="3FFC0241" w16cid:durableId="20D564D1"/>
  <w16cid:commentId w16cid:paraId="568A2F91" w16cid:durableId="20D568ED"/>
  <w16cid:commentId w16cid:paraId="7267F6FE" w16cid:durableId="20D55ADD"/>
  <w16cid:commentId w16cid:paraId="4022FCA4" w16cid:durableId="20D56BE4"/>
  <w16cid:commentId w16cid:paraId="657E6B5D" w16cid:durableId="20D56C36"/>
  <w16cid:commentId w16cid:paraId="7EFD1B7B" w16cid:durableId="20D56C9D"/>
  <w16cid:commentId w16cid:paraId="1C001F81" w16cid:durableId="20D56CF0"/>
  <w16cid:commentId w16cid:paraId="6A63B9C7" w16cid:durableId="20D573B4"/>
  <w16cid:commentId w16cid:paraId="2C5D1B10" w16cid:durableId="20D573F8"/>
  <w16cid:commentId w16cid:paraId="3E303577" w16cid:durableId="20D574B5"/>
  <w16cid:commentId w16cid:paraId="173E3001" w16cid:durableId="20D57501"/>
  <w16cid:commentId w16cid:paraId="4F1B76B0" w16cid:durableId="20D5953A"/>
  <w16cid:commentId w16cid:paraId="3216E7AC" w16cid:durableId="20D595DB"/>
  <w16cid:commentId w16cid:paraId="3C8DA482" w16cid:durableId="20D59691"/>
  <w16cid:commentId w16cid:paraId="12EDE5A5" w16cid:durableId="20D5978C"/>
  <w16cid:commentId w16cid:paraId="18556FD2" w16cid:durableId="20D5CA50"/>
  <w16cid:commentId w16cid:paraId="759FC96B" w16cid:durableId="20D5CACB"/>
  <w16cid:commentId w16cid:paraId="7C8CE58A" w16cid:durableId="20D5CB20"/>
  <w16cid:commentId w16cid:paraId="3F2D60D2" w16cid:durableId="20D5CB88"/>
  <w16cid:commentId w16cid:paraId="7688B8F8" w16cid:durableId="20D5CBE9"/>
  <w16cid:commentId w16cid:paraId="72789983" w16cid:durableId="20D5CE3C"/>
  <w16cid:commentId w16cid:paraId="5038B00A" w16cid:durableId="20D69E82"/>
  <w16cid:commentId w16cid:paraId="520E5111" w16cid:durableId="20D6A207"/>
  <w16cid:commentId w16cid:paraId="7CEBF6DA" w16cid:durableId="20D6A306"/>
  <w16cid:commentId w16cid:paraId="6F73A8BE" w16cid:durableId="20D6A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szCs w:val="24"/>
      </w:rPr>
      <w:t>ADHERENCE TO PHARMACOLOGICAL SECONDARY PREVENTION AFTER AMI ON COSTS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89F"/>
    <w:multiLevelType w:val="hybridMultilevel"/>
    <w:tmpl w:val="44A611B2"/>
    <w:lvl w:ilvl="0" w:tplc="647AF55A">
      <w:start w:val="18"/>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E4833"/>
    <w:multiLevelType w:val="hybridMultilevel"/>
    <w:tmpl w:val="42B0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ealth 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sed9fvjvxapqe2xfjpvts652szfv5ts0wt&quot;&gt;GAMM_AMI&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7&lt;/item&gt;&lt;item&gt;58&lt;/item&gt;&lt;item&gt;59&lt;/item&gt;&lt;item&gt;60&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2BACD42-20B8-424C-9873-0D512A65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nternetLink">
    <w:name w:val="Internet Link"/>
    <w:basedOn w:val="DefaultParagraphFont"/>
    <w:uiPriority w:val="99"/>
    <w:unhideWhenUsed/>
    <w:rPr>
      <w:color w:val="0563C1" w:themeColor="hyperlink"/>
      <w:u w:val="single"/>
    </w:rPr>
  </w:style>
  <w:style w:type="character" w:customStyle="1" w:styleId="EndNoteBibliographyTitleZchn">
    <w:name w:val="EndNote Bibliography Title Zchn"/>
    <w:basedOn w:val="DefaultParagraphFont"/>
    <w:link w:val="EndNoteBibliographyTitle"/>
    <w:qFormat/>
    <w:rPr>
      <w:rFonts w:ascii="Calibri" w:hAnsi="Calibri" w:cs="Calibri"/>
    </w:rPr>
  </w:style>
  <w:style w:type="character" w:customStyle="1" w:styleId="EndNoteBibliographyZchn">
    <w:name w:val="EndNote Bibliography Zchn"/>
    <w:basedOn w:val="DefaultParagraphFont"/>
    <w:link w:val="EndNoteBibliography"/>
    <w:qFormat/>
    <w:rPr>
      <w:rFonts w:ascii="Calibri" w:hAnsi="Calibri" w:cs="Calibri"/>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color w:val="0000FF"/>
      <w:sz w:val="20"/>
      <w:szCs w:val="20"/>
      <w:u w:val="single"/>
      <w:lang w:eastAsia="de-DE"/>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pPr>
      <w:tabs>
        <w:tab w:val="center" w:pos="4703"/>
        <w:tab w:val="right" w:pos="9406"/>
      </w:tabs>
      <w:spacing w:after="0" w:line="240" w:lineRule="auto"/>
    </w:pPr>
  </w:style>
  <w:style w:type="paragraph" w:styleId="Footer">
    <w:name w:val="footer"/>
    <w:basedOn w:val="Normal"/>
    <w:link w:val="FooterChar"/>
    <w:uiPriority w:val="99"/>
    <w:unhideWhenUsed/>
    <w:pPr>
      <w:tabs>
        <w:tab w:val="center" w:pos="4703"/>
        <w:tab w:val="right" w:pos="9406"/>
      </w:tabs>
      <w:spacing w:after="0" w:line="240" w:lineRule="auto"/>
    </w:pPr>
  </w:style>
  <w:style w:type="paragraph" w:customStyle="1" w:styleId="EndNoteBibliographyTitle">
    <w:name w:val="EndNote Bibliography Title"/>
    <w:basedOn w:val="Normal"/>
    <w:link w:val="EndNoteBibliographyTitleZchn"/>
    <w:qFormat/>
    <w:pPr>
      <w:spacing w:after="0"/>
      <w:jc w:val="center"/>
    </w:pPr>
    <w:rPr>
      <w:rFonts w:ascii="Calibri" w:hAnsi="Calibri" w:cs="Calibri"/>
    </w:rPr>
  </w:style>
  <w:style w:type="paragraph" w:customStyle="1" w:styleId="EndNoteBibliography">
    <w:name w:val="EndNote Bibliography"/>
    <w:basedOn w:val="Normal"/>
    <w:link w:val="EndNoteBibliographyZchn"/>
    <w:qFormat/>
    <w:pPr>
      <w:spacing w:line="240" w:lineRule="auto"/>
    </w:pPr>
    <w:rPr>
      <w:rFonts w:ascii="Calibri" w:hAnsi="Calibri" w:cs="Calibri"/>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de-DE" w:eastAsia="de-DE"/>
    </w:rPr>
  </w:style>
  <w:style w:type="paragraph" w:customStyle="1" w:styleId="Default">
    <w:name w:val="Default"/>
    <w:pPr>
      <w:autoSpaceDE w:val="0"/>
      <w:autoSpaceDN w:val="0"/>
      <w:adjustRightInd w:val="0"/>
    </w:pPr>
    <w:rPr>
      <w:rFonts w:ascii="Calibri" w:hAnsi="Calibri" w:cs="Calibri"/>
      <w:color w:val="000000"/>
      <w:sz w:val="24"/>
      <w:szCs w:val="24"/>
      <w:lang w:val="de-DE"/>
    </w:rPr>
  </w:style>
  <w:style w:type="table" w:styleId="TableGrid">
    <w:name w:val="Table Grid"/>
    <w:aliases w:val="Tabellengitternetz"/>
    <w:basedOn w:val="TableNormal"/>
    <w:uiPriority w:val="99"/>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rian.kirsch@helmholtz-muenchen.d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F2BB-F05A-47CE-A313-E8437925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Florian</dc:creator>
  <dc:description/>
  <cp:lastModifiedBy>Kirsch, Florian</cp:lastModifiedBy>
  <cp:revision>4</cp:revision>
  <cp:lastPrinted>2019-05-02T10:59:00Z</cp:lastPrinted>
  <dcterms:created xsi:type="dcterms:W3CDTF">2019-07-24T08:28:00Z</dcterms:created>
  <dcterms:modified xsi:type="dcterms:W3CDTF">2019-07-24T10:54:00Z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Helmholtz Zentrum München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