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F2" w:rsidRPr="00E320A6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D14F2" w:rsidRPr="00E320A6" w:rsidRDefault="008C336F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20A6">
        <w:rPr>
          <w:rFonts w:ascii="Times New Roman" w:eastAsia="Times New Roman" w:hAnsi="Times New Roman" w:cs="Times New Roman"/>
          <w:b/>
          <w:sz w:val="24"/>
          <w:szCs w:val="24"/>
        </w:rPr>
        <w:t>Supplementary file 3/Table 3</w:t>
      </w:r>
      <w:r w:rsidR="008D14F2" w:rsidRPr="00E320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D14F2" w:rsidRPr="00E320A6">
        <w:rPr>
          <w:rFonts w:ascii="Times New Roman" w:eastAsia="Times New Roman" w:hAnsi="Times New Roman" w:cs="Times New Roman"/>
          <w:sz w:val="24"/>
          <w:szCs w:val="24"/>
        </w:rPr>
        <w:t xml:space="preserve"> Current </w:t>
      </w:r>
      <w:r w:rsidR="00F3655C" w:rsidRPr="00E320A6">
        <w:rPr>
          <w:rFonts w:ascii="Times New Roman" w:eastAsia="Times New Roman" w:hAnsi="Times New Roman" w:cs="Times New Roman"/>
          <w:sz w:val="24"/>
          <w:szCs w:val="24"/>
        </w:rPr>
        <w:t xml:space="preserve">clinical </w:t>
      </w:r>
      <w:r w:rsidR="008D14F2" w:rsidRPr="00E320A6">
        <w:rPr>
          <w:rFonts w:ascii="Times New Roman" w:eastAsia="Times New Roman" w:hAnsi="Times New Roman" w:cs="Times New Roman"/>
          <w:sz w:val="24"/>
          <w:szCs w:val="24"/>
        </w:rPr>
        <w:t xml:space="preserve">trials on </w:t>
      </w:r>
      <w:proofErr w:type="spellStart"/>
      <w:r w:rsidR="00023B34" w:rsidRPr="00E320A6">
        <w:rPr>
          <w:rFonts w:ascii="Times New Roman" w:eastAsia="Times New Roman" w:hAnsi="Times New Roman" w:cs="Times New Roman"/>
          <w:sz w:val="24"/>
          <w:szCs w:val="24"/>
        </w:rPr>
        <w:t>hydroxychloroquine</w:t>
      </w:r>
      <w:proofErr w:type="spellEnd"/>
      <w:r w:rsidR="00023B34" w:rsidRPr="00E320A6">
        <w:rPr>
          <w:rFonts w:ascii="Times New Roman" w:eastAsia="Times New Roman" w:hAnsi="Times New Roman" w:cs="Times New Roman"/>
          <w:sz w:val="24"/>
          <w:szCs w:val="24"/>
        </w:rPr>
        <w:t xml:space="preserve"> and azithromycin </w:t>
      </w:r>
      <w:r w:rsidR="00247950" w:rsidRPr="00E320A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D14F2" w:rsidRPr="00E320A6">
        <w:rPr>
          <w:rFonts w:ascii="Times New Roman" w:eastAsia="Times New Roman" w:hAnsi="Times New Roman" w:cs="Times New Roman"/>
          <w:sz w:val="24"/>
          <w:szCs w:val="24"/>
        </w:rPr>
        <w:t>COVID-19 treatment</w:t>
      </w:r>
    </w:p>
    <w:tbl>
      <w:tblPr>
        <w:tblStyle w:val="TableGrid"/>
        <w:tblW w:w="133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360"/>
        <w:gridCol w:w="4050"/>
        <w:gridCol w:w="1080"/>
        <w:gridCol w:w="1070"/>
        <w:gridCol w:w="1080"/>
        <w:gridCol w:w="4050"/>
      </w:tblGrid>
      <w:tr w:rsidR="005603DD" w:rsidRPr="00E320A6" w:rsidTr="005603DD">
        <w:trPr>
          <w:jc w:val="center"/>
        </w:trPr>
        <w:tc>
          <w:tcPr>
            <w:tcW w:w="625" w:type="dxa"/>
          </w:tcPr>
          <w:bookmarkEnd w:id="0"/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360" w:type="dxa"/>
          </w:tcPr>
          <w:p w:rsidR="005603DD" w:rsidRPr="00E320A6" w:rsidRDefault="00BB22F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Trial identifier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Title/Location</w:t>
            </w:r>
          </w:p>
        </w:tc>
        <w:tc>
          <w:tcPr>
            <w:tcW w:w="1080" w:type="dxa"/>
          </w:tcPr>
          <w:p w:rsidR="005603DD" w:rsidRPr="00E320A6" w:rsidRDefault="005603DD" w:rsidP="00560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  <w:tc>
          <w:tcPr>
            <w:tcW w:w="1070" w:type="dxa"/>
          </w:tcPr>
          <w:p w:rsidR="005603DD" w:rsidRPr="00E320A6" w:rsidRDefault="005603DD" w:rsidP="00560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Study type/  Year 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Primary outcome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NCT04329832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 vs. Azithromycin for Hospitalized Patients With Suspected or Confirmed COVID-19  (HAHPS)/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0" w:type="dxa"/>
          </w:tcPr>
          <w:p w:rsidR="005603DD" w:rsidRPr="00E320A6" w:rsidRDefault="005603DD" w:rsidP="00560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45404D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 ordinal outcomes scale at 14 d (TF: assessed once on d 14 after enrollment)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NCT04334382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 vs. Azithromycin for Outpatients in Utah With COVID-19  (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HyAzOUT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)/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B64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Hospitalization within 14 d of enrollment (TF: from enrollment to 14 d after enrollment)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  <w:shd w:val="clear" w:color="auto" w:fill="auto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NCT04341207</w:t>
            </w:r>
          </w:p>
        </w:tc>
        <w:tc>
          <w:tcPr>
            <w:tcW w:w="4050" w:type="dxa"/>
            <w:shd w:val="clear" w:color="auto" w:fill="auto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Epidemiology of  SARS-CoV-2 and Mortality to COVID-19  Disease in French Cancer Patients (ONCOVID)/ France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0" w:type="dxa"/>
            <w:shd w:val="clear" w:color="auto" w:fill="auto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  <w:shd w:val="clear" w:color="auto" w:fill="auto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  <w:shd w:val="clear" w:color="auto" w:fill="auto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Prevalence and the 3-months incidence of SARS-CoV-2 in cancer patients (TF: up to 3 months)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Covid-19 disease-specific mortality rate in cancer patients treated by HCQ and azithromycin (TF: up to 12 months)</w:t>
            </w:r>
          </w:p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NCT04336332</w:t>
            </w:r>
          </w:p>
        </w:tc>
        <w:tc>
          <w:tcPr>
            <w:tcW w:w="4050" w:type="dxa"/>
          </w:tcPr>
          <w:p w:rsidR="005603DD" w:rsidRPr="00E320A6" w:rsidRDefault="005603DD" w:rsidP="00CB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Randomized Comparison of Combination Azithromycin and HCQ vs. HCQ Alone for the Treatment of Confirmed COVID-19 / US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patients viral load (TF: baseline, d 3 and d 6)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Second evaluation of changes in patients viral load (TF: d-6)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NCT04358068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Evaluating the Efficacy of HCQ and Azithromycin to Prevent Hospitalization or Death in Persons With COVID-19/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FF3D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Proportion of participants who died from any cause or were hospitalized (TF: 21-d)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NCT04335552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Pragmatic Factorial Trial of HCQ, Azithromycin, or Both for Treatment of Severe  SARS-CoV-2 Infection/ US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207A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 ordinal scale measured at 14 d after enrollment (TF: d-14)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NCT04344379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Prevention of SARS-CoV-2 in Hospital Workers s Exposed to the Virus (PREP-COVID)/ France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assess the impact of HCQ and azithromycin on the prevention of SARS-CoV-2 contamination in hospital workers exposed to 40 d of treatment.(TF: 3 months)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NCT04344444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Treatment in Patients With Suspected or Confirmed COVID-19 With Early Moderate or Severe Disease (RCT)/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Most severe outcome (TF: 5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NCT04358081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Style w:val="hitinf"/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  <w:t>HCQ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Monotherapy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and in Combination With Azithromycin in Patients With Moderate and Severe COVID-19 Disease/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Percentage of participants who achieve clinical response (TF: 15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NCT04345861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 Plus Azithromycin Versus HCQ for COVID-19 Pneumonia (COVIDOC Trial) (COVIDOC)/ France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28237B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to clinical improvement of at least 1 level on the ordinal scale between d-1 (d of the first administration of study drug) to d-11. (TF: up to d-11 )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NCT04321278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Safety and Efficacy of HCQ Associated With Azithromycin in SARS-CoV-2 Virus (Coalition COVID-19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II)/ Brazil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Evaluation of the clinical status (TF: 15 d after randomization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NCT04322396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Proactive Prophylaxis With Azithromycin and HCQ in Hospitalized Patients With COVID-19 (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ProPAC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-COVID)/ Denmark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28237B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 alive and discharged from hospital within 14 d (TF: 14 d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NCT04371744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QT-Logs : Artificial Intelligence for QT Interval Analysis of ECG From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Smartwatches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in Patient Receiving Treatment for 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(QT-Logs)/ France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Observatonal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Corrected QT (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QTc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interval measurement (TF: 10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NCT04341727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,Azithromycin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in the Treatment of SARS-CoV-2 Infection (WU352)/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Hours to recovery (TF: 42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NCT04354428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Treatment for 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in High-Risk Adult Outpatients/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LRTI rates (TF: 28 d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Incidence of hospitalization or mortality (TF: d-28)</w:t>
            </w:r>
          </w:p>
          <w:p w:rsidR="005603DD" w:rsidRPr="00E320A6" w:rsidRDefault="005603DD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upper respiratory viral shedding (TF: d-1 through d-14)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NCT04366089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Oxygen-Ozone as Adjuvant Treatment in Early Control of 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Progression and Modulation of the Gut Microbial Flora (PROBIOZOVID)/ Italy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Delta in the number of patients requiring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orotracheal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intubation despite treatment (TF: 21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NCT04381936</w:t>
            </w:r>
          </w:p>
        </w:tc>
        <w:tc>
          <w:tcPr>
            <w:tcW w:w="4050" w:type="dxa"/>
          </w:tcPr>
          <w:p w:rsidR="005603DD" w:rsidRPr="00E320A6" w:rsidRDefault="005603DD" w:rsidP="0080792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Randomized Evaluation of 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Therapy (RECOVERY)/ UK</w:t>
            </w:r>
          </w:p>
          <w:p w:rsidR="005603DD" w:rsidRPr="00E320A6" w:rsidRDefault="005603DD" w:rsidP="0080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807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70" w:type="dxa"/>
          </w:tcPr>
          <w:p w:rsidR="005603DD" w:rsidRPr="00E320A6" w:rsidRDefault="005603DD" w:rsidP="00807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807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B50080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All-cause mortality (TF: within 28 d)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NCT04324463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Anti-Coronavirus Therapies to Prevent Progression of Coronavirus Disease 2019 (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 Trial (ACT COVID19)/ Canada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Outpatients: Hospital admission or death (TF: up to 6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randomization )</w:t>
            </w:r>
          </w:p>
          <w:p w:rsidR="005603DD" w:rsidRPr="00E320A6" w:rsidRDefault="005603DD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Inpatients: Invasive mechanical ventilation or mortality (TF: up to 6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randomization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NCT04366206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Factors Associated With Clinical Outcomes in Patients Hospitalized for 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in GHT-93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Est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 France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Composite of death and mechanical ventilation (TF: at 14-d follow-up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NCT04365764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Effect of Treatments in Patients Hospitalized for Severe 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Pneumonia: a Multicenter Cohort Study/ France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Composite of death and mechanical ventilation (TF: 14-d follow-up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NCT02735707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Randomized, Embedded, Multifactorial Adaptive Platform Trial for Community- Acquired Pneumonia (REMAP-CAP)/ New Zealand</w:t>
            </w:r>
          </w:p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 (TF: d-90 )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Day alive and outside of ICU (TF: d-21)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60" w:type="dxa"/>
          </w:tcPr>
          <w:p w:rsidR="005603DD" w:rsidRPr="00E320A6" w:rsidRDefault="005603DD" w:rsidP="00F21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NCT04412746</w:t>
            </w:r>
          </w:p>
        </w:tc>
        <w:tc>
          <w:tcPr>
            <w:tcW w:w="4050" w:type="dxa"/>
          </w:tcPr>
          <w:p w:rsidR="005603DD" w:rsidRPr="00E320A6" w:rsidRDefault="005603DD" w:rsidP="00F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COVID-19 and Diabetes in West of Algeria (COVIDIAB-13)/ Algeria</w:t>
            </w:r>
          </w:p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Observational/  2020</w:t>
            </w:r>
          </w:p>
        </w:tc>
        <w:tc>
          <w:tcPr>
            <w:tcW w:w="108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Prevalence of diabetes among all hospitalized COVID-19 (TF: 3 months)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360" w:type="dxa"/>
          </w:tcPr>
          <w:p w:rsidR="005603DD" w:rsidRPr="00E320A6" w:rsidRDefault="005603DD" w:rsidP="00F21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NCT04278404</w:t>
            </w:r>
          </w:p>
        </w:tc>
        <w:tc>
          <w:tcPr>
            <w:tcW w:w="4050" w:type="dxa"/>
          </w:tcPr>
          <w:p w:rsidR="005603DD" w:rsidRPr="00E320A6" w:rsidRDefault="005603DD" w:rsidP="00F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Pharmacokinetics, Pharmacodynamics, and Safety Profile of Understudied Drugs Administered to Children Per Standard of Care (POPS) (POPS or POP02)/ US</w:t>
            </w:r>
          </w:p>
          <w:p w:rsidR="005603DD" w:rsidRPr="00E320A6" w:rsidRDefault="005603DD" w:rsidP="00F2180A">
            <w:pPr>
              <w:rPr>
                <w:rStyle w:val="hitinf"/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Observational/  2020</w:t>
            </w:r>
          </w:p>
        </w:tc>
        <w:tc>
          <w:tcPr>
            <w:tcW w:w="1080" w:type="dxa"/>
          </w:tcPr>
          <w:p w:rsidR="005603DD" w:rsidRPr="00E320A6" w:rsidRDefault="005603DD" w:rsidP="00F2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4050" w:type="dxa"/>
          </w:tcPr>
          <w:p w:rsidR="005603DD" w:rsidRPr="00E320A6" w:rsidRDefault="005603DD" w:rsidP="00F21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Clearance, volume of distribution, half-life, elimination rate constant, absorption rate constant, AUC, peak plasma concentration, time for peak plasma concentration as measured by PK sampling (TF: up to 90 d from the time of consent/ for participants with Down Syndrome - up to 210 days)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NCT04328272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Effectiveness of HCQ in COVID-19 Patients (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)/ Pakistan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Early Warning Score equal to zero (TF: 3-5 d)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NCT04365231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HCQ Azithromycin COVID-19 Pregnancy Trial (HASCOPT)/ France 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B50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yet recruiting 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Percentage of patients with a negative RT-PCR test result to COVID-19 (TF: 7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NCT04371406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Efficacy of Azithromycin-associated HCQ Therapy Given in General Practice in Early-stage Disease in COVID-19 Patients (MG-COVID) / France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Rate of patients with occurrence of an unfavorable outcome between randomization and d 14 (TF: between randomization and d14 )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outcome of ancillary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virological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: evolution of viral load between d-0 and d-14 (TF: between d-0 and d-14 )</w:t>
            </w:r>
          </w:p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NCT04392128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Study Evaluating the Efficacy of HCQ and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Azithromycine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in Patients With COVID-19  and Hematological Malignancies (HYACINTHE) (HYACINTHE)/ France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Evaluation of the efficacy of HCQ and azithromycin on the viral load drop at d 5. (TF: 5 d of treatment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NCT04405921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HCQ, Azithromycin in the Treatment of COVID-19 (PACTT)/ Tunisia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 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Clinical recovery at d-14, from the start of treatment. (TF: 14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6F60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NCT04347512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Evaluation of the Efficacy of the HCQ</w:t>
            </w: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  <w:t>-</w:t>
            </w: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Azithromycin Combination in the Prevention of COVID-19 Related SDRA (TEACHCOVID)/ France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9857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Rate of patients reaching a significant hypoxemia, in each arms. (TF: from d-0 to d-7 )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NCT04354597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HCQ and Azithromycin as Prophylaxis for Healthcare Workers Dealing With COVID-19 Patients (MOPHYDA)/ Jordan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Effect of HCQ and azithromycin in preventing infection with COVID-19 among healthcare workers working with COVID-19 patients (TF: 4 months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NCT04390594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Efficacy and Safety Evaluation of Treatment Regimens in Adult COVID-19 Patients in Senegal (SEN-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Fadj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)/ Senegal 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9857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SARS-CoV-2 viral load level (TF: d-7 )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NCT04374552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Asymptomatic COVID-19 Trial (ACT)/ US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primary outcome is the rate of decline in viral load over the 10 d after randomization (TF: 10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NCT04359316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Azithromycin in Hospitalized COVID-19 Patients (AIC)/ Iran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9857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to clinical improvement (TF: from date of randomization until 14 d later)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NCT04349592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Qatar Prospective RCT Of Therapy Eliminating COVID-19 Transmission (Q-PROTECT)/ NP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1F55C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Proportion of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virologically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cured (no virus detected) cases at d 6 (TF: d-6 )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NCT04395768</w:t>
            </w:r>
          </w:p>
        </w:tc>
        <w:tc>
          <w:tcPr>
            <w:tcW w:w="4050" w:type="dxa"/>
          </w:tcPr>
          <w:p w:rsidR="005603DD" w:rsidRPr="00E320A6" w:rsidRDefault="005603DD" w:rsidP="007B37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International ALLIANCE Study of Therapies to Prevent Progression of COVID-19 / Australia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Symptoms (TF: once daily for 15 d)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LOS (TF: at 15 and 45 d)</w:t>
            </w:r>
          </w:p>
          <w:p w:rsidR="005603DD" w:rsidRPr="00E320A6" w:rsidRDefault="005603DD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Invasive mechanical ventilation or mortality (TF: any time within 15 d)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NCT04361461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Use of HCQ Alone or Associated for Inpatients With SARS-CoV-2 Virus (COVID-19)/ Brazil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1F55C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 response rate (TF: 14d)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NCT04334512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A Study of Quintuple Therapy to Treat COVID-19 Infection (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HAZDpaC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)/ US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rate of recovery of mild or moderate COVID-19 in patients using quintuple therapy (TF: 12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Reduction or Progression of symptomatic day (TF: 12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</w:p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 the safety of quintuple therapy, via pulse, oxygen saturation, and ECG (TF: 12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</w:p>
          <w:p w:rsidR="005603DD" w:rsidRPr="00E320A6" w:rsidRDefault="005603DD" w:rsidP="00D57D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Assess tolerability of quintuple therapy (TF: 12 </w:t>
            </w:r>
            <w:proofErr w:type="spellStart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proofErr w:type="spellEnd"/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NCT04339816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Azithromycin Added to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Hydrochloroquine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in Patients Admitted to Intensive Care With COVID-19: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Randomised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Controlled Trial (AZIQUINE-ICU)/ NP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Proportion of alive patients free off mechanical ventilation (TF: 14 d after enrolment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NCT04365582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OUTpatient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Treatment of COVID-19 in Patients With Risk Factor for Poor Outcome (OUTCOV)/ France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DD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recruiting</w:t>
            </w:r>
          </w:p>
        </w:tc>
        <w:tc>
          <w:tcPr>
            <w:tcW w:w="4050" w:type="dxa"/>
          </w:tcPr>
          <w:p w:rsidR="005603DD" w:rsidRPr="00E320A6" w:rsidRDefault="005603DD" w:rsidP="00D57DD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Hospital admission (TF: d- 20 )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NCT04363203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VA Remote and Equitable Access to COVID-19 Healthcare Delivery (VA-REACH TRIAL) (VA-REACH)/ US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Active, not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D to resolution of cough, fever and shortness of breath (TF: 30-d )</w:t>
            </w:r>
          </w:p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NCT04322123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Safety and Efficacy of HCQ Associated With Azithromycin in SARS-CoV-2 Virus (COVID-19) (Coalition-I)/ Brazil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Active, not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Evaluation of the clinical status (TF: 15 d after randomization )</w:t>
            </w:r>
          </w:p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NCT04368351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Bacteriotherapy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 xml:space="preserve"> in the Treatment of COVID-19 (BACT-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)/ Italy</w:t>
            </w:r>
          </w:p>
          <w:p w:rsidR="005603DD" w:rsidRPr="00E320A6" w:rsidRDefault="005603DD" w:rsidP="00C94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Active, not recruiting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Delta of time of disappearance of acute diarrhea (TF: 21 d )</w:t>
            </w:r>
          </w:p>
        </w:tc>
      </w:tr>
      <w:tr w:rsidR="005603DD" w:rsidRPr="00E320A6" w:rsidTr="005603DD">
        <w:trPr>
          <w:jc w:val="center"/>
        </w:trPr>
        <w:tc>
          <w:tcPr>
            <w:tcW w:w="625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36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NCT04349410</w:t>
            </w:r>
          </w:p>
        </w:tc>
        <w:tc>
          <w:tcPr>
            <w:tcW w:w="4050" w:type="dxa"/>
          </w:tcPr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</w:rPr>
              <w:t>The Fleming [FMTVDM) Directed COVID-19 Treatment Protocol (FMTVDM)/ US</w:t>
            </w:r>
          </w:p>
          <w:p w:rsidR="005603DD" w:rsidRPr="00E320A6" w:rsidRDefault="005603DD" w:rsidP="00C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CT/  2020</w:t>
            </w:r>
          </w:p>
        </w:tc>
        <w:tc>
          <w:tcPr>
            <w:tcW w:w="1080" w:type="dxa"/>
          </w:tcPr>
          <w:p w:rsidR="005603DD" w:rsidRPr="00E320A6" w:rsidRDefault="005603D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eastAsia="Times New Roman" w:hAnsi="Times New Roman" w:cs="Times New Roman"/>
                <w:sz w:val="24"/>
                <w:szCs w:val="24"/>
              </w:rPr>
              <w:t>Enrolling by invitation</w:t>
            </w:r>
          </w:p>
        </w:tc>
        <w:tc>
          <w:tcPr>
            <w:tcW w:w="4050" w:type="dxa"/>
          </w:tcPr>
          <w:p w:rsidR="005603DD" w:rsidRPr="00E320A6" w:rsidRDefault="005603DD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Improvement in FMTVDM Measurement with nuclear imaging (TF: 72 </w:t>
            </w:r>
            <w:proofErr w:type="spellStart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E3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</w:p>
        </w:tc>
      </w:tr>
    </w:tbl>
    <w:p w:rsidR="008D14F2" w:rsidRPr="00E320A6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5EF" w:rsidRPr="00E320A6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A6">
        <w:rPr>
          <w:rFonts w:ascii="Times New Roman" w:eastAsia="Times New Roman" w:hAnsi="Times New Roman" w:cs="Times New Roman"/>
          <w:sz w:val="24"/>
          <w:szCs w:val="24"/>
        </w:rPr>
        <w:t xml:space="preserve">Abbreviations </w:t>
      </w:r>
      <w:r w:rsidR="005605EF" w:rsidRPr="00E320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313" w:rsidRPr="00E32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80A" w:rsidRPr="00E320A6">
        <w:rPr>
          <w:rFonts w:ascii="Times New Roman" w:eastAsia="Times New Roman" w:hAnsi="Times New Roman" w:cs="Times New Roman"/>
          <w:sz w:val="24"/>
          <w:szCs w:val="24"/>
        </w:rPr>
        <w:t xml:space="preserve">AUC: Area under curve, </w:t>
      </w:r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D: Day</w:t>
      </w:r>
      <w:r w:rsidR="00E21313" w:rsidRPr="00E32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 xml:space="preserve">ECG: Electrocardiogram, </w:t>
      </w:r>
      <w:r w:rsidR="0023448E" w:rsidRPr="00E320A6">
        <w:rPr>
          <w:rFonts w:ascii="Times New Roman" w:eastAsia="Times New Roman" w:hAnsi="Times New Roman" w:cs="Times New Roman"/>
          <w:sz w:val="24"/>
          <w:szCs w:val="24"/>
        </w:rPr>
        <w:t xml:space="preserve">FMTVDM: </w:t>
      </w:r>
      <w:r w:rsidR="0023448E" w:rsidRPr="00E320A6">
        <w:rPr>
          <w:rFonts w:ascii="Times New Roman" w:hAnsi="Times New Roman" w:cs="Times New Roman"/>
          <w:sz w:val="24"/>
          <w:szCs w:val="24"/>
          <w:shd w:val="clear" w:color="auto" w:fill="FFFFFF"/>
        </w:rPr>
        <w:t>Fleming method for tissue and vascular differentiation and metabolism,</w:t>
      </w:r>
      <w:r w:rsidR="0023448E" w:rsidRPr="00E32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5EF" w:rsidRPr="00E320A6">
        <w:rPr>
          <w:rFonts w:ascii="Times New Roman" w:eastAsia="Times New Roman" w:hAnsi="Times New Roman" w:cs="Times New Roman"/>
          <w:sz w:val="24"/>
          <w:szCs w:val="24"/>
        </w:rPr>
        <w:t xml:space="preserve">HCQ: </w:t>
      </w:r>
      <w:proofErr w:type="spellStart"/>
      <w:r w:rsidR="005605EF" w:rsidRPr="00E320A6">
        <w:rPr>
          <w:rFonts w:ascii="Times New Roman" w:eastAsia="Times New Roman" w:hAnsi="Times New Roman" w:cs="Times New Roman"/>
          <w:sz w:val="24"/>
          <w:szCs w:val="24"/>
        </w:rPr>
        <w:t>Hydroxychloroquine</w:t>
      </w:r>
      <w:proofErr w:type="spellEnd"/>
      <w:r w:rsidR="005605EF" w:rsidRPr="00E32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: Hour, ICU: Intensive care unit, IL: Interleukin,</w:t>
      </w:r>
      <w:r w:rsidR="005603DD" w:rsidRPr="00E32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 xml:space="preserve">LOS: Length of stay, LRTI: Lower respiratory tract infection, NP: Not provided, RT-PCR: Reverse transcription polymerase chain reaction, </w:t>
      </w:r>
      <w:r w:rsidR="005605EF" w:rsidRPr="00E320A6">
        <w:rPr>
          <w:rFonts w:ascii="Times New Roman" w:eastAsia="Times New Roman" w:hAnsi="Times New Roman" w:cs="Times New Roman"/>
          <w:sz w:val="24"/>
          <w:szCs w:val="24"/>
        </w:rPr>
        <w:t>TF: Time frame</w:t>
      </w:r>
      <w:proofErr w:type="gramStart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,  US</w:t>
      </w:r>
      <w:proofErr w:type="gramEnd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 xml:space="preserve">: United States, WHO: World Health Organization, </w:t>
      </w:r>
      <w:proofErr w:type="spellStart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Wk</w:t>
      </w:r>
      <w:proofErr w:type="spellEnd"/>
      <w:r w:rsidR="001F49E8" w:rsidRPr="00E320A6">
        <w:rPr>
          <w:rFonts w:ascii="Times New Roman" w:eastAsia="Times New Roman" w:hAnsi="Times New Roman" w:cs="Times New Roman"/>
          <w:sz w:val="24"/>
          <w:szCs w:val="24"/>
        </w:rPr>
        <w:t>: Week</w:t>
      </w:r>
    </w:p>
    <w:p w:rsidR="007601C0" w:rsidRPr="00E320A6" w:rsidRDefault="007601C0" w:rsidP="00C94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01C0" w:rsidRPr="00E320A6" w:rsidSect="008D14F2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00" w:rsidRDefault="00826200" w:rsidP="008D14F2">
      <w:pPr>
        <w:spacing w:after="0" w:line="240" w:lineRule="auto"/>
      </w:pPr>
      <w:r>
        <w:separator/>
      </w:r>
    </w:p>
  </w:endnote>
  <w:endnote w:type="continuationSeparator" w:id="0">
    <w:p w:rsidR="00826200" w:rsidRDefault="00826200" w:rsidP="008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00" w:rsidRDefault="00826200" w:rsidP="008D14F2">
      <w:pPr>
        <w:spacing w:after="0" w:line="240" w:lineRule="auto"/>
      </w:pPr>
      <w:r>
        <w:separator/>
      </w:r>
    </w:p>
  </w:footnote>
  <w:footnote w:type="continuationSeparator" w:id="0">
    <w:p w:rsidR="00826200" w:rsidRDefault="00826200" w:rsidP="008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086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22FD" w:rsidRDefault="00BB22F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2FD" w:rsidRDefault="00BB2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3AC"/>
    <w:multiLevelType w:val="multilevel"/>
    <w:tmpl w:val="163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3DD"/>
    <w:multiLevelType w:val="multilevel"/>
    <w:tmpl w:val="2072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A663A"/>
    <w:multiLevelType w:val="multilevel"/>
    <w:tmpl w:val="1872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B0B9D"/>
    <w:multiLevelType w:val="multilevel"/>
    <w:tmpl w:val="8FB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66290"/>
    <w:multiLevelType w:val="multilevel"/>
    <w:tmpl w:val="EB3E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16CE"/>
    <w:multiLevelType w:val="multilevel"/>
    <w:tmpl w:val="105A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2"/>
    <w:rsid w:val="00010B5C"/>
    <w:rsid w:val="00022490"/>
    <w:rsid w:val="00023B34"/>
    <w:rsid w:val="000739D9"/>
    <w:rsid w:val="00082845"/>
    <w:rsid w:val="00096C3B"/>
    <w:rsid w:val="00097CB8"/>
    <w:rsid w:val="000E18F2"/>
    <w:rsid w:val="000F5D09"/>
    <w:rsid w:val="00124C5E"/>
    <w:rsid w:val="00164EF1"/>
    <w:rsid w:val="00194B75"/>
    <w:rsid w:val="00196781"/>
    <w:rsid w:val="001C4FC9"/>
    <w:rsid w:val="001D3545"/>
    <w:rsid w:val="001E4C0E"/>
    <w:rsid w:val="001F49E8"/>
    <w:rsid w:val="001F55C6"/>
    <w:rsid w:val="00207A94"/>
    <w:rsid w:val="00221A5D"/>
    <w:rsid w:val="0023448E"/>
    <w:rsid w:val="00247950"/>
    <w:rsid w:val="00261204"/>
    <w:rsid w:val="00271CD3"/>
    <w:rsid w:val="0028237B"/>
    <w:rsid w:val="00290448"/>
    <w:rsid w:val="002C493C"/>
    <w:rsid w:val="003164C7"/>
    <w:rsid w:val="003169E8"/>
    <w:rsid w:val="00354887"/>
    <w:rsid w:val="00362C2D"/>
    <w:rsid w:val="003D6A0F"/>
    <w:rsid w:val="003E0849"/>
    <w:rsid w:val="003F2C64"/>
    <w:rsid w:val="00420D4C"/>
    <w:rsid w:val="0045404D"/>
    <w:rsid w:val="004A67C1"/>
    <w:rsid w:val="004C4CE8"/>
    <w:rsid w:val="00517941"/>
    <w:rsid w:val="005603DD"/>
    <w:rsid w:val="005605EF"/>
    <w:rsid w:val="00596ECD"/>
    <w:rsid w:val="005B7A30"/>
    <w:rsid w:val="00612AFA"/>
    <w:rsid w:val="00616F43"/>
    <w:rsid w:val="00695E42"/>
    <w:rsid w:val="006A4F39"/>
    <w:rsid w:val="006C7179"/>
    <w:rsid w:val="006D31AB"/>
    <w:rsid w:val="006F6080"/>
    <w:rsid w:val="00717216"/>
    <w:rsid w:val="00737F20"/>
    <w:rsid w:val="0075266D"/>
    <w:rsid w:val="007601C0"/>
    <w:rsid w:val="007610DB"/>
    <w:rsid w:val="007A594A"/>
    <w:rsid w:val="007B37DA"/>
    <w:rsid w:val="007E1AF7"/>
    <w:rsid w:val="007F6EBC"/>
    <w:rsid w:val="00807926"/>
    <w:rsid w:val="00821CE8"/>
    <w:rsid w:val="00826200"/>
    <w:rsid w:val="008724D4"/>
    <w:rsid w:val="00873FA5"/>
    <w:rsid w:val="008C336F"/>
    <w:rsid w:val="008D14F2"/>
    <w:rsid w:val="00933AF6"/>
    <w:rsid w:val="00944AC4"/>
    <w:rsid w:val="00980101"/>
    <w:rsid w:val="009857F9"/>
    <w:rsid w:val="009A01F0"/>
    <w:rsid w:val="009E6B67"/>
    <w:rsid w:val="00A013EE"/>
    <w:rsid w:val="00A25F78"/>
    <w:rsid w:val="00A47546"/>
    <w:rsid w:val="00A650F8"/>
    <w:rsid w:val="00A67C24"/>
    <w:rsid w:val="00A87AE4"/>
    <w:rsid w:val="00A94E40"/>
    <w:rsid w:val="00AC4A5E"/>
    <w:rsid w:val="00AC555C"/>
    <w:rsid w:val="00B021AD"/>
    <w:rsid w:val="00B100AA"/>
    <w:rsid w:val="00B50080"/>
    <w:rsid w:val="00B51051"/>
    <w:rsid w:val="00B83D16"/>
    <w:rsid w:val="00BB16BE"/>
    <w:rsid w:val="00BB22FD"/>
    <w:rsid w:val="00BB434E"/>
    <w:rsid w:val="00BE7087"/>
    <w:rsid w:val="00C72BC2"/>
    <w:rsid w:val="00C75DCF"/>
    <w:rsid w:val="00C83D07"/>
    <w:rsid w:val="00C94602"/>
    <w:rsid w:val="00C96EA5"/>
    <w:rsid w:val="00CB6468"/>
    <w:rsid w:val="00CC3BB8"/>
    <w:rsid w:val="00CC556F"/>
    <w:rsid w:val="00CE003D"/>
    <w:rsid w:val="00D156CA"/>
    <w:rsid w:val="00D338F0"/>
    <w:rsid w:val="00D5393C"/>
    <w:rsid w:val="00D57DD0"/>
    <w:rsid w:val="00D6605D"/>
    <w:rsid w:val="00DD7995"/>
    <w:rsid w:val="00E1535F"/>
    <w:rsid w:val="00E15392"/>
    <w:rsid w:val="00E21313"/>
    <w:rsid w:val="00E320A6"/>
    <w:rsid w:val="00ED3A5A"/>
    <w:rsid w:val="00ED4467"/>
    <w:rsid w:val="00EE249F"/>
    <w:rsid w:val="00F2180A"/>
    <w:rsid w:val="00F3655C"/>
    <w:rsid w:val="00F515BD"/>
    <w:rsid w:val="00FA516D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24AA-B83F-4B9A-8739-A391E3A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F2"/>
  </w:style>
  <w:style w:type="paragraph" w:styleId="Heading1">
    <w:name w:val="heading 1"/>
    <w:basedOn w:val="Normal"/>
    <w:link w:val="Heading1Char"/>
    <w:uiPriority w:val="9"/>
    <w:qFormat/>
    <w:rsid w:val="008D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4F2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styleId="Hyperlink">
    <w:name w:val="Hyperlink"/>
    <w:basedOn w:val="DefaultParagraphFont"/>
    <w:uiPriority w:val="99"/>
    <w:unhideWhenUsed/>
    <w:rsid w:val="008D1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14F2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fzoykl">
    <w:name w:val="sc-fzoykl"/>
    <w:basedOn w:val="DefaultParagraphFont"/>
    <w:rsid w:val="008D14F2"/>
  </w:style>
  <w:style w:type="character" w:customStyle="1" w:styleId="xref">
    <w:name w:val="xref"/>
    <w:basedOn w:val="DefaultParagraphFont"/>
    <w:rsid w:val="008D14F2"/>
  </w:style>
  <w:style w:type="character" w:customStyle="1" w:styleId="hitinf">
    <w:name w:val="hit_inf"/>
    <w:basedOn w:val="DefaultParagraphFont"/>
    <w:rsid w:val="008D14F2"/>
  </w:style>
  <w:style w:type="character" w:customStyle="1" w:styleId="hitsyn">
    <w:name w:val="hit_syn"/>
    <w:basedOn w:val="DefaultParagraphFont"/>
    <w:rsid w:val="008D14F2"/>
  </w:style>
  <w:style w:type="paragraph" w:customStyle="1" w:styleId="paragraph">
    <w:name w:val="paragraph"/>
    <w:basedOn w:val="Normal"/>
    <w:rsid w:val="008D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normaltextrun">
    <w:name w:val="normaltextrun"/>
    <w:basedOn w:val="DefaultParagraphFont"/>
    <w:rsid w:val="008D14F2"/>
  </w:style>
  <w:style w:type="character" w:customStyle="1" w:styleId="eop">
    <w:name w:val="eop"/>
    <w:basedOn w:val="DefaultParagraphFont"/>
    <w:rsid w:val="008D14F2"/>
  </w:style>
  <w:style w:type="paragraph" w:styleId="Header">
    <w:name w:val="header"/>
    <w:basedOn w:val="Normal"/>
    <w:link w:val="HeaderChar"/>
    <w:uiPriority w:val="99"/>
    <w:unhideWhenUsed/>
    <w:rsid w:val="008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F2"/>
  </w:style>
  <w:style w:type="paragraph" w:styleId="Footer">
    <w:name w:val="footer"/>
    <w:basedOn w:val="Normal"/>
    <w:link w:val="FooterChar"/>
    <w:uiPriority w:val="99"/>
    <w:unhideWhenUsed/>
    <w:rsid w:val="008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F2"/>
  </w:style>
  <w:style w:type="paragraph" w:styleId="ListParagraph">
    <w:name w:val="List Paragraph"/>
    <w:basedOn w:val="Normal"/>
    <w:uiPriority w:val="34"/>
    <w:qFormat/>
    <w:rsid w:val="008D1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2"/>
    <w:rPr>
      <w:rFonts w:ascii="Segoe UI" w:hAnsi="Segoe UI" w:cs="Segoe UI"/>
      <w:sz w:val="18"/>
      <w:szCs w:val="18"/>
    </w:rPr>
  </w:style>
  <w:style w:type="character" w:customStyle="1" w:styleId="hitorg">
    <w:name w:val="hit_org"/>
    <w:basedOn w:val="DefaultParagraphFont"/>
    <w:rsid w:val="00247950"/>
  </w:style>
  <w:style w:type="paragraph" w:styleId="NoSpacing">
    <w:name w:val="No Spacing"/>
    <w:uiPriority w:val="1"/>
    <w:qFormat/>
    <w:rsid w:val="00C94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3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17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5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1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79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1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21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76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51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93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69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9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49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8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93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05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7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2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1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8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21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53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93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71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2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5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42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60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55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1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5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44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87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19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40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46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3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63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68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98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52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5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96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57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3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90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03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8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80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45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15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4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3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62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9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16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9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97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35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8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8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1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2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04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74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66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95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90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3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3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7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8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4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8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40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0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59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120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95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7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0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59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437E-3E01-47CA-8F4F-B6AB6B0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2020-05-27T20:05:00Z</dcterms:created>
  <dcterms:modified xsi:type="dcterms:W3CDTF">2020-06-03T22:01:00Z</dcterms:modified>
</cp:coreProperties>
</file>