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C0" w:rsidRDefault="00C943C0" w:rsidP="00C943C0">
      <w:pPr>
        <w:pStyle w:val="NormalWeb"/>
        <w:spacing w:beforeLines="0" w:afterLines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SUPPLEMENTARY MATERIAL FOR: SHORT-LIVED SPECIES MOVE UPHILL FASTER UNDER CLIMATE CHANGE</w:t>
      </w:r>
      <w:r w:rsidR="009F6E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4pt;height:.8pt"/>
        </w:pict>
      </w:r>
    </w:p>
    <w:p w:rsidR="00C943C0" w:rsidRDefault="00C943C0" w:rsidP="00C943C0"/>
    <w:p w:rsidR="00C943C0" w:rsidRDefault="00C943C0" w:rsidP="00C943C0">
      <w:pPr>
        <w:pStyle w:val="NormalWeb"/>
        <w:spacing w:beforeLines="0" w:afterLines="0" w:line="480" w:lineRule="auto"/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Joséphine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Couet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Emma-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Liina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Marjakangas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Andrea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Santangeli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John-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Atle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Kålås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Åke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Lindström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Aleksi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Lehikoinen</w:t>
      </w:r>
      <w:proofErr w:type="spellEnd"/>
    </w:p>
    <w:p w:rsidR="00C943C0" w:rsidRDefault="00C943C0" w:rsidP="00C943C0"/>
    <w:p w:rsidR="00C943C0" w:rsidRDefault="00C943C0" w:rsidP="00C943C0">
      <w:r>
        <w:br/>
      </w:r>
      <w:r>
        <w:br/>
      </w: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5054600" cy="4089400"/>
            <wp:effectExtent l="25400" t="0" r="0" b="0"/>
            <wp:docPr id="7" name="Picture 7" descr="ttps://lh4.googleusercontent.com/ARU_dbaiVL4ZVpiogZHfPgcoRa5IOGRdjChde-lDTmMb02FCj0uWJU3GCGY1Mf5KFEgKLqEQlgkW0DWOTlfASYzV_QDhgCZqogDXevmhK0A0MRGO6ogQ8_rCZG4J73jP-B3Ce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s://lh4.googleusercontent.com/ARU_dbaiVL4ZVpiogZHfPgcoRa5IOGRdjChde-lDTmMb02FCj0uWJU3GCGY1Mf5KFEgKLqEQlgkW0DWOTlfASYzV_QDhgCZqogDXevmhK0A0MRGO6ogQ8_rCZG4J73jP-B3Cel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C0" w:rsidRDefault="00C943C0" w:rsidP="00C943C0">
      <w:pPr>
        <w:pStyle w:val="NormalWeb"/>
        <w:spacing w:beforeLines="0" w:afterLines="0" w:line="48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Figure S1.</w:t>
      </w:r>
      <w:r>
        <w:rPr>
          <w:rFonts w:ascii="Times New Roman" w:hAnsi="Times New Roman"/>
          <w:color w:val="000000"/>
          <w:sz w:val="24"/>
          <w:szCs w:val="24"/>
        </w:rPr>
        <w:t xml:space="preserve"> Spatial autocorrelation of the linear mixed model residuals of the relationship between the average altitudinal shift across bird species and the geographical and spatial variables. Spatial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correlogram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illustrates the spatial autocorrelation of the residuals from the model for a maximal distance of 4.5 degree decimal, which corresponds to 500 km of distance.</w:t>
      </w:r>
    </w:p>
    <w:p w:rsidR="00C943C0" w:rsidRDefault="00C943C0" w:rsidP="00C943C0"/>
    <w:p w:rsidR="00C943C0" w:rsidRDefault="00C943C0" w:rsidP="00C943C0">
      <w:pPr>
        <w:pStyle w:val="NormalWeb"/>
        <w:spacing w:beforeLines="0" w:afterLines="0" w:line="480" w:lineRule="auto"/>
        <w:jc w:val="both"/>
      </w:pPr>
      <w:r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inline distT="0" distB="0" distL="0" distR="0">
            <wp:extent cx="5740400" cy="3733800"/>
            <wp:effectExtent l="25400" t="0" r="0" b="0"/>
            <wp:docPr id="8" name="Picture 8" descr="iyex0W3KNEHQjSV2VcsiieuXwYU6fh-vWq-0Rt2cBbza1s0fGdk8Y1E1yMT_h8_hKJncFAw3hZ03TPfY4GA_SFfMVSS7AjLyteI4QCIrMhjDuSGhozqcJMgi6Bx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yex0W3KNEHQjSV2VcsiieuXwYU6fh-vWq-0Rt2cBbza1s0fGdk8Y1E1yMT_h8_hKJncFAw3hZ03TPfY4GA_SFfMVSS7AjLyteI4QCIrMhjDuSGhozqcJMgi6Bx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C0" w:rsidRDefault="00C943C0" w:rsidP="00C943C0">
      <w:pPr>
        <w:pStyle w:val="NormalWeb"/>
        <w:spacing w:beforeLines="0" w:afterLines="0" w:line="48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Figure S2.</w:t>
      </w:r>
      <w:r>
        <w:rPr>
          <w:rFonts w:ascii="Times New Roman" w:hAnsi="Times New Roman"/>
          <w:color w:val="000000"/>
          <w:sz w:val="24"/>
          <w:szCs w:val="24"/>
        </w:rPr>
        <w:t xml:space="preserve"> Range shift of species in a given grid cell based on the altitudinal range of the grid. One dot is one species in a given grid cell.</w:t>
      </w:r>
    </w:p>
    <w:p w:rsidR="00C943C0" w:rsidRDefault="00C943C0" w:rsidP="00C943C0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943C0" w:rsidRDefault="00050A5D" w:rsidP="00C943C0">
      <w:pPr>
        <w:pStyle w:val="NormalWeb"/>
        <w:spacing w:beforeLines="0" w:afterLines="0" w:line="48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C943C0">
        <w:rPr>
          <w:rFonts w:ascii="Times New Roman" w:hAnsi="Times New Roman"/>
          <w:b/>
          <w:bCs/>
          <w:color w:val="000000"/>
          <w:sz w:val="24"/>
          <w:szCs w:val="24"/>
        </w:rPr>
        <w:t>Table S1.</w:t>
      </w:r>
      <w:r w:rsidR="00C943C0">
        <w:rPr>
          <w:rFonts w:ascii="Times New Roman" w:hAnsi="Times New Roman"/>
          <w:color w:val="000000"/>
          <w:sz w:val="24"/>
          <w:szCs w:val="24"/>
        </w:rPr>
        <w:t xml:space="preserve"> Definitions and references of each species’ trait used for the analysis of the role of species-specific differences in the altitudinal range shifts. References to data, trait definition, and computation tool origin are included. For full references, see the main text.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2"/>
        <w:gridCol w:w="4899"/>
        <w:gridCol w:w="1969"/>
      </w:tblGrid>
      <w:tr w:rsidR="00C943C0" w:rsidRPr="00050A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b/>
                <w:bCs/>
                <w:color w:val="000000"/>
                <w:sz w:val="22"/>
              </w:rPr>
              <w:t>Trait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b/>
                <w:bCs/>
                <w:color w:val="000000"/>
                <w:sz w:val="22"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b/>
                <w:bCs/>
                <w:color w:val="000000"/>
                <w:sz w:val="22"/>
              </w:rPr>
              <w:t>Reference(s)</w:t>
            </w:r>
          </w:p>
        </w:tc>
      </w:tr>
      <w:tr w:rsidR="00C943C0" w:rsidRPr="00050A5D"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Clutch size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Annual mean number of eggs</w:t>
            </w:r>
          </w:p>
          <w:p w:rsidR="00C943C0" w:rsidRPr="00050A5D" w:rsidRDefault="00C943C0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Storchová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&amp; 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Hořák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2018</w:t>
            </w:r>
          </w:p>
        </w:tc>
      </w:tr>
      <w:tr w:rsidR="00C943C0" w:rsidRPr="00050A5D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Longevity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Mean of maximum longevity (years)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 xml:space="preserve">De 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Magalhaes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&amp; Costa 2009</w:t>
            </w:r>
          </w:p>
        </w:tc>
      </w:tr>
      <w:tr w:rsidR="00C943C0" w:rsidRPr="00050A5D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Body mass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Mean body mass (g)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 w:rsidP="00225B63">
            <w:pPr>
              <w:pStyle w:val="NormalWeb"/>
              <w:spacing w:beforeLines="0" w:afterLines="0"/>
              <w:rPr>
                <w:sz w:val="22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Wilman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et al. 2014</w:t>
            </w:r>
          </w:p>
        </w:tc>
      </w:tr>
      <w:tr w:rsidR="00C943C0" w:rsidRPr="00050A5D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Main habitat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 xml:space="preserve">Main habitat that the species uses, divided into four categories: farmland-urban, forest, wetland and rocky outcrops, 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montane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Lehikoinen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&amp; 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Virkkala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2016</w:t>
            </w:r>
          </w:p>
        </w:tc>
      </w:tr>
      <w:tr w:rsidR="00C943C0" w:rsidRPr="00050A5D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Diet specialization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 xml:space="preserve">Quantified as Shannon’s diversity index (calculated with R package ‘vegan’, 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Oksanen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</w:rPr>
              <w:t xml:space="preserve"> et al.</w:t>
            </w:r>
            <w:r w:rsidRPr="00050A5D">
              <w:rPr>
                <w:rFonts w:ascii="Arial" w:hAnsi="Arial"/>
                <w:color w:val="000000"/>
                <w:sz w:val="22"/>
              </w:rPr>
              <w:t>, 2019) of the proportional use of different diet categories: invertebrate, vertebrate (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endotherm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>), vertebrate (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ectotherm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>), fish, vertebrate (unknown), scavenge, fruit, nectar or pollen, seed, other plant material.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 w:rsidP="00C7638F">
            <w:pPr>
              <w:pStyle w:val="NormalWeb"/>
              <w:spacing w:beforeLines="0" w:afterLines="0"/>
              <w:rPr>
                <w:sz w:val="22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Wilman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et al. 2014</w:t>
            </w:r>
          </w:p>
        </w:tc>
      </w:tr>
      <w:tr w:rsidR="00C943C0" w:rsidRPr="00050A5D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Migration strategy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Migration behaviour divided into four categories: resident, partial migrant (including species from which a part of the population migrates), short distance migrant (including species that winter in the Baltic countries or Western Europe), long distance migrant (including wintering further than the Mediterranean area)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Laaksonen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&amp; 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Lehikoinen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2013</w:t>
            </w:r>
          </w:p>
        </w:tc>
      </w:tr>
      <w:tr w:rsidR="00C943C0" w:rsidRPr="00050A5D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Species temperature index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Long-term average temperature experienced by individuals across the range (species temperature index, STI). The values were obtained from the combination of the spatial distribution of the mean temperature (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WordlClim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v. 1.0) of birds breeding season (from March to August) and data from the EBCC atlas of European breeding birds.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Devictor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et al. 2008, 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Hijmans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et al. 2015, 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Hagemeijer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&amp; Blair 1997</w:t>
            </w:r>
          </w:p>
        </w:tc>
      </w:tr>
      <w:tr w:rsidR="00C943C0" w:rsidRPr="00050A5D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Population trend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</w:rPr>
              <w:t>The population tendency in the study area during the breeding season between the period 1998-2019, divided into three categories: decreasing population, stable population, increasing population.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rPr>
                <w:sz w:val="22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Svensk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color w:val="000000"/>
                <w:sz w:val="22"/>
              </w:rPr>
              <w:t>Fågeltaxering</w:t>
            </w:r>
            <w:proofErr w:type="spellEnd"/>
            <w:r w:rsidRPr="00050A5D">
              <w:rPr>
                <w:rFonts w:ascii="Arial" w:hAnsi="Arial"/>
                <w:color w:val="000000"/>
                <w:sz w:val="22"/>
              </w:rPr>
              <w:t xml:space="preserve"> 2019</w:t>
            </w:r>
          </w:p>
        </w:tc>
      </w:tr>
    </w:tbl>
    <w:p w:rsidR="00C943C0" w:rsidRDefault="00C943C0" w:rsidP="00C943C0">
      <w:pPr>
        <w:spacing w:after="240"/>
      </w:pPr>
    </w:p>
    <w:p w:rsidR="00C943C0" w:rsidRDefault="00C943C0" w:rsidP="00C943C0">
      <w:pPr>
        <w:pStyle w:val="NormalWeb"/>
        <w:spacing w:beforeLines="0" w:afterLines="0"/>
      </w:pPr>
      <w:r>
        <w:rPr>
          <w:rFonts w:ascii="Calibri" w:hAnsi="Calibri"/>
          <w:color w:val="000000"/>
        </w:rPr>
        <w:t>References</w:t>
      </w:r>
    </w:p>
    <w:p w:rsidR="00C943C0" w:rsidRDefault="00C943C0" w:rsidP="00C943C0"/>
    <w:p w:rsidR="00C943C0" w:rsidRPr="00050A5D" w:rsidRDefault="00C943C0" w:rsidP="00050A5D">
      <w:pPr>
        <w:pStyle w:val="NormalWeb"/>
        <w:spacing w:beforeLines="0" w:afterLines="0" w:line="480" w:lineRule="auto"/>
        <w:ind w:left="284" w:hanging="284"/>
        <w:jc w:val="both"/>
      </w:pPr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De </w:t>
      </w: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Magalhaes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JP, Costa J</w:t>
      </w:r>
      <w:r w:rsidRPr="00050A5D">
        <w:rPr>
          <w:rFonts w:ascii="Times New Roman" w:hAnsi="Times New Roman"/>
          <w:color w:val="000000"/>
          <w:sz w:val="24"/>
          <w:szCs w:val="24"/>
        </w:rPr>
        <w:t xml:space="preserve"> (2009) A database of vertebrate longevity records and their relation to other life</w:t>
      </w:r>
      <w:r w:rsidRPr="00050A5D">
        <w:rPr>
          <w:rFonts w:ascii="American Typewriter" w:hAnsi="American Typewriter" w:cs="American Typewriter"/>
          <w:color w:val="000000"/>
          <w:sz w:val="24"/>
          <w:szCs w:val="24"/>
        </w:rPr>
        <w:t>‐</w:t>
      </w:r>
      <w:r w:rsidRPr="00050A5D">
        <w:rPr>
          <w:rFonts w:ascii="Times New Roman" w:hAnsi="Times New Roman"/>
          <w:color w:val="000000"/>
          <w:sz w:val="24"/>
          <w:szCs w:val="24"/>
        </w:rPr>
        <w:t xml:space="preserve">history traits. </w:t>
      </w:r>
      <w:r w:rsidRPr="00050A5D">
        <w:rPr>
          <w:rFonts w:ascii="Times New Roman" w:hAnsi="Times New Roman"/>
          <w:iCs/>
          <w:color w:val="000000"/>
          <w:sz w:val="24"/>
          <w:szCs w:val="24"/>
        </w:rPr>
        <w:t>Journal of Evolutionary Biology 22:</w:t>
      </w:r>
      <w:r w:rsidRPr="00050A5D">
        <w:rPr>
          <w:rFonts w:ascii="Times New Roman" w:hAnsi="Times New Roman"/>
          <w:color w:val="000000"/>
          <w:sz w:val="24"/>
          <w:szCs w:val="24"/>
        </w:rPr>
        <w:t>1770–1774.</w:t>
      </w:r>
    </w:p>
    <w:p w:rsidR="00C943C0" w:rsidRPr="00050A5D" w:rsidRDefault="00C943C0" w:rsidP="00050A5D">
      <w:pPr>
        <w:pStyle w:val="NormalWeb"/>
        <w:spacing w:beforeLines="0" w:afterLines="0" w:line="480" w:lineRule="auto"/>
        <w:ind w:left="284" w:hanging="284"/>
        <w:jc w:val="both"/>
      </w:pP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Devictor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V, Julliard R, </w:t>
      </w: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Couvet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D, </w:t>
      </w: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Jiguet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F</w:t>
      </w:r>
      <w:r w:rsidRPr="00050A5D">
        <w:rPr>
          <w:rFonts w:ascii="Times New Roman" w:hAnsi="Times New Roman"/>
          <w:color w:val="000000"/>
          <w:sz w:val="24"/>
          <w:szCs w:val="24"/>
        </w:rPr>
        <w:t xml:space="preserve"> (2008) Birds are tracking climate warming, but not fast enough. </w:t>
      </w:r>
      <w:r w:rsidRPr="00050A5D">
        <w:rPr>
          <w:rFonts w:ascii="Times New Roman" w:hAnsi="Times New Roman"/>
          <w:iCs/>
          <w:color w:val="000000"/>
          <w:sz w:val="24"/>
          <w:szCs w:val="24"/>
        </w:rPr>
        <w:t>Proceedings of the Royal Society B: Biological Sciences, 275:</w:t>
      </w:r>
      <w:r w:rsidRPr="00050A5D">
        <w:rPr>
          <w:rFonts w:ascii="Times New Roman" w:hAnsi="Times New Roman"/>
          <w:color w:val="000000"/>
          <w:sz w:val="24"/>
          <w:szCs w:val="24"/>
        </w:rPr>
        <w:t>2743–2748.</w:t>
      </w:r>
    </w:p>
    <w:p w:rsidR="00C943C0" w:rsidRPr="00050A5D" w:rsidRDefault="00C943C0" w:rsidP="00050A5D">
      <w:pPr>
        <w:pStyle w:val="NormalWeb"/>
        <w:spacing w:beforeLines="0" w:afterLines="0" w:line="480" w:lineRule="auto"/>
        <w:ind w:left="284" w:hanging="284"/>
        <w:jc w:val="both"/>
      </w:pP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Hagemeijer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WJ, Blair MJ</w:t>
      </w:r>
      <w:r w:rsidRPr="00050A5D">
        <w:rPr>
          <w:rFonts w:ascii="Times New Roman" w:hAnsi="Times New Roman"/>
          <w:color w:val="000000"/>
          <w:sz w:val="24"/>
          <w:szCs w:val="24"/>
        </w:rPr>
        <w:t xml:space="preserve"> (1997) The EBCC atlas of European breeding birds. </w:t>
      </w:r>
      <w:proofErr w:type="spellStart"/>
      <w:r w:rsidRPr="00050A5D">
        <w:rPr>
          <w:rFonts w:ascii="Times New Roman" w:hAnsi="Times New Roman"/>
          <w:iCs/>
          <w:color w:val="000000"/>
          <w:sz w:val="24"/>
          <w:szCs w:val="24"/>
        </w:rPr>
        <w:t>Poyser</w:t>
      </w:r>
      <w:proofErr w:type="spellEnd"/>
      <w:r w:rsidRPr="00050A5D">
        <w:rPr>
          <w:rFonts w:ascii="Times New Roman" w:hAnsi="Times New Roman"/>
          <w:iCs/>
          <w:color w:val="000000"/>
          <w:sz w:val="24"/>
          <w:szCs w:val="24"/>
        </w:rPr>
        <w:t>, London</w:t>
      </w:r>
      <w:r w:rsidRPr="00050A5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C943C0" w:rsidRPr="00050A5D" w:rsidRDefault="00C943C0" w:rsidP="00050A5D">
      <w:pPr>
        <w:pStyle w:val="NormalWeb"/>
        <w:spacing w:beforeLines="0" w:afterLines="0" w:line="480" w:lineRule="auto"/>
        <w:ind w:left="284" w:hanging="284"/>
        <w:jc w:val="both"/>
      </w:pP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Hijmans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RJ, Cameron SE, Parra JL, Jones PG, Jarvis A </w:t>
      </w:r>
      <w:r w:rsidRPr="00050A5D">
        <w:rPr>
          <w:rFonts w:ascii="Times New Roman" w:hAnsi="Times New Roman"/>
          <w:color w:val="000000"/>
          <w:sz w:val="24"/>
          <w:szCs w:val="24"/>
        </w:rPr>
        <w:t xml:space="preserve">(2005) Very high resolution interpolated climate surfaces for global land areas. </w:t>
      </w:r>
      <w:r w:rsidRPr="00050A5D">
        <w:rPr>
          <w:rFonts w:ascii="Times New Roman" w:hAnsi="Times New Roman"/>
          <w:iCs/>
          <w:color w:val="000000"/>
          <w:sz w:val="24"/>
          <w:szCs w:val="24"/>
        </w:rPr>
        <w:t>International Journal of Climatology: A Journal of the Royal Meteorological Society 25(15):</w:t>
      </w:r>
      <w:r w:rsidRPr="00050A5D">
        <w:rPr>
          <w:rFonts w:ascii="Times New Roman" w:hAnsi="Times New Roman"/>
          <w:color w:val="000000"/>
          <w:sz w:val="24"/>
          <w:szCs w:val="24"/>
        </w:rPr>
        <w:t>1965–1978.</w:t>
      </w:r>
    </w:p>
    <w:p w:rsidR="00C943C0" w:rsidRPr="00050A5D" w:rsidRDefault="00C943C0" w:rsidP="00050A5D">
      <w:pPr>
        <w:pStyle w:val="NormalWeb"/>
        <w:spacing w:beforeLines="0" w:afterLines="0" w:line="480" w:lineRule="auto"/>
        <w:ind w:left="284" w:hanging="284"/>
        <w:jc w:val="both"/>
      </w:pP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Laaksonen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TK, </w:t>
      </w: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Lehikoinen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A</w:t>
      </w:r>
      <w:r w:rsidRPr="00050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(2013) Population trends in boreal birds: continuing declines in long-distance migrants, agricultural and northern species. </w:t>
      </w:r>
      <w:r w:rsidRPr="00050A5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Biological Conservation 168:</w:t>
      </w:r>
      <w:r w:rsidRPr="00050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99–107.</w:t>
      </w:r>
    </w:p>
    <w:p w:rsidR="00C943C0" w:rsidRPr="00050A5D" w:rsidRDefault="00C943C0" w:rsidP="00050A5D">
      <w:pPr>
        <w:pStyle w:val="NormalWeb"/>
        <w:spacing w:beforeLines="0" w:afterLines="0" w:line="480" w:lineRule="auto"/>
        <w:ind w:left="284" w:hanging="284"/>
        <w:jc w:val="both"/>
        <w:rPr>
          <w:rFonts w:ascii="Times Roman" w:hAnsi="Times Roman"/>
          <w:sz w:val="24"/>
        </w:rPr>
      </w:pP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Oksanen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J, Blanchet FG, Friendly M, </w:t>
      </w: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Roeland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K, Legendre P, </w:t>
      </w: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McGlinn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D, Minchin PR, O'Hara RB, Simpson GL, </w:t>
      </w: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Solymos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P, Stevens MHH, </w:t>
      </w:r>
      <w:proofErr w:type="spellStart"/>
      <w:r w:rsidRPr="00050A5D">
        <w:rPr>
          <w:rFonts w:ascii="Times New Roman" w:hAnsi="Times New Roman"/>
          <w:bCs/>
          <w:color w:val="000000"/>
          <w:sz w:val="24"/>
          <w:szCs w:val="24"/>
        </w:rPr>
        <w:t>Szoecs</w:t>
      </w:r>
      <w:proofErr w:type="spellEnd"/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 E, Wagner</w:t>
      </w:r>
      <w:r w:rsidRPr="00050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0A5D">
        <w:rPr>
          <w:rFonts w:ascii="Times New Roman" w:hAnsi="Times New Roman"/>
          <w:bCs/>
          <w:color w:val="000000"/>
          <w:sz w:val="24"/>
          <w:szCs w:val="24"/>
        </w:rPr>
        <w:t xml:space="preserve">H </w:t>
      </w:r>
      <w:r w:rsidRPr="00050A5D">
        <w:rPr>
          <w:rFonts w:ascii="Times New Roman" w:hAnsi="Times New Roman"/>
          <w:color w:val="000000"/>
          <w:sz w:val="24"/>
          <w:szCs w:val="24"/>
        </w:rPr>
        <w:t xml:space="preserve">(2019) vegan: Community Ecology Package. </w:t>
      </w:r>
      <w:r w:rsidRPr="00050A5D">
        <w:rPr>
          <w:rFonts w:ascii="Times New Roman" w:hAnsi="Times New Roman"/>
          <w:iCs/>
          <w:color w:val="000000"/>
          <w:sz w:val="24"/>
          <w:szCs w:val="24"/>
        </w:rPr>
        <w:t>R package</w:t>
      </w:r>
      <w:r w:rsidRPr="00050A5D">
        <w:rPr>
          <w:rFonts w:ascii="Times New Roman" w:hAnsi="Times New Roman"/>
          <w:color w:val="000000"/>
          <w:sz w:val="24"/>
          <w:szCs w:val="24"/>
        </w:rPr>
        <w:t xml:space="preserve"> version 2.5</w:t>
      </w:r>
      <w:r w:rsidRPr="00050A5D">
        <w:rPr>
          <w:rFonts w:ascii="Times New Roman" w:hAnsi="Times New Roman"/>
          <w:color w:val="000000"/>
          <w:sz w:val="24"/>
          <w:szCs w:val="24"/>
        </w:rPr>
        <w:softHyphen/>
        <w:t xml:space="preserve">–6. </w:t>
      </w:r>
      <w:hyperlink r:id="rId7" w:history="1">
        <w:r w:rsidRPr="00050A5D">
          <w:rPr>
            <w:rStyle w:val="Hyperlink"/>
            <w:rFonts w:ascii="Times Roman" w:hAnsi="Times Roman"/>
            <w:color w:val="1155CC"/>
            <w:sz w:val="24"/>
            <w:szCs w:val="24"/>
          </w:rPr>
          <w:t>https://CRAN.R-project.org/package=vegan</w:t>
        </w:r>
      </w:hyperlink>
    </w:p>
    <w:p w:rsidR="00050A5D" w:rsidRPr="00050A5D" w:rsidRDefault="00C943C0" w:rsidP="00050A5D">
      <w:pPr>
        <w:pStyle w:val="NormalWeb"/>
        <w:spacing w:beforeLines="0" w:afterLines="0" w:line="480" w:lineRule="auto"/>
        <w:ind w:left="284" w:hanging="284"/>
        <w:jc w:val="both"/>
        <w:rPr>
          <w:rFonts w:ascii="Times Roman" w:hAnsi="Times Roman"/>
          <w:sz w:val="24"/>
        </w:rPr>
      </w:pPr>
      <w:proofErr w:type="spellStart"/>
      <w:r w:rsidRPr="00050A5D">
        <w:rPr>
          <w:rFonts w:ascii="Times Roman" w:hAnsi="Times Roman"/>
          <w:bCs/>
          <w:color w:val="000000"/>
          <w:sz w:val="24"/>
          <w:szCs w:val="24"/>
        </w:rPr>
        <w:t>Storchová</w:t>
      </w:r>
      <w:proofErr w:type="spellEnd"/>
      <w:r w:rsidRPr="00050A5D">
        <w:rPr>
          <w:rFonts w:ascii="Times Roman" w:hAnsi="Times Roman"/>
          <w:bCs/>
          <w:color w:val="000000"/>
          <w:sz w:val="24"/>
          <w:szCs w:val="24"/>
        </w:rPr>
        <w:t xml:space="preserve"> L, </w:t>
      </w:r>
      <w:proofErr w:type="spellStart"/>
      <w:r w:rsidRPr="00050A5D">
        <w:rPr>
          <w:rFonts w:ascii="Times Roman" w:hAnsi="Times Roman"/>
          <w:bCs/>
          <w:color w:val="000000"/>
          <w:sz w:val="24"/>
          <w:szCs w:val="24"/>
        </w:rPr>
        <w:t>Hořák</w:t>
      </w:r>
      <w:proofErr w:type="spellEnd"/>
      <w:r w:rsidRPr="00050A5D">
        <w:rPr>
          <w:rFonts w:ascii="Times Roman" w:hAnsi="Times Roman"/>
          <w:bCs/>
          <w:color w:val="000000"/>
          <w:sz w:val="24"/>
          <w:szCs w:val="24"/>
        </w:rPr>
        <w:t xml:space="preserve"> D</w:t>
      </w:r>
      <w:r w:rsidRPr="00050A5D">
        <w:rPr>
          <w:rFonts w:ascii="Times Roman" w:hAnsi="Times Roman"/>
          <w:color w:val="000000"/>
          <w:sz w:val="24"/>
          <w:szCs w:val="24"/>
        </w:rPr>
        <w:t xml:space="preserve"> (2018) Life</w:t>
      </w:r>
      <w:r w:rsidRPr="00050A5D">
        <w:rPr>
          <w:rFonts w:ascii="American Typewriter" w:hAnsi="American Typewriter" w:cs="American Typewriter"/>
          <w:color w:val="000000"/>
          <w:sz w:val="24"/>
          <w:szCs w:val="24"/>
        </w:rPr>
        <w:t>‐</w:t>
      </w:r>
      <w:r w:rsidRPr="00050A5D">
        <w:rPr>
          <w:rFonts w:ascii="Times Roman" w:hAnsi="Times Roman"/>
          <w:color w:val="000000"/>
          <w:sz w:val="24"/>
          <w:szCs w:val="24"/>
        </w:rPr>
        <w:t xml:space="preserve">history characteristics of European birds. </w:t>
      </w:r>
      <w:r w:rsidRPr="00050A5D">
        <w:rPr>
          <w:rFonts w:ascii="Times Roman" w:hAnsi="Times Roman"/>
          <w:iCs/>
          <w:color w:val="000000"/>
          <w:sz w:val="24"/>
          <w:szCs w:val="24"/>
        </w:rPr>
        <w:t>Global Ecology and Biogeography 27</w:t>
      </w:r>
      <w:r w:rsidRPr="00050A5D">
        <w:rPr>
          <w:rFonts w:ascii="Times Roman" w:hAnsi="Times Roman"/>
          <w:color w:val="000000"/>
          <w:sz w:val="24"/>
          <w:szCs w:val="24"/>
        </w:rPr>
        <w:t>:400–406.</w:t>
      </w:r>
    </w:p>
    <w:p w:rsidR="00050A5D" w:rsidRPr="00050A5D" w:rsidRDefault="00C943C0" w:rsidP="00050A5D">
      <w:pPr>
        <w:pStyle w:val="NormalWeb"/>
        <w:spacing w:beforeLines="0" w:afterLines="0" w:line="480" w:lineRule="auto"/>
        <w:ind w:left="284" w:hanging="284"/>
        <w:jc w:val="both"/>
        <w:rPr>
          <w:rFonts w:ascii="Times Roman" w:hAnsi="Times Roman"/>
          <w:sz w:val="24"/>
        </w:rPr>
      </w:pPr>
      <w:proofErr w:type="spellStart"/>
      <w:r w:rsidRPr="00050A5D">
        <w:rPr>
          <w:rFonts w:ascii="Times Roman" w:hAnsi="Times Roman"/>
          <w:color w:val="000000"/>
          <w:sz w:val="24"/>
        </w:rPr>
        <w:t>Svenska</w:t>
      </w:r>
      <w:proofErr w:type="spellEnd"/>
      <w:r w:rsidRPr="00050A5D">
        <w:rPr>
          <w:rFonts w:ascii="Times Roman" w:hAnsi="Times Roman"/>
          <w:color w:val="000000"/>
          <w:sz w:val="24"/>
        </w:rPr>
        <w:t xml:space="preserve"> </w:t>
      </w:r>
      <w:proofErr w:type="spellStart"/>
      <w:r w:rsidRPr="00050A5D">
        <w:rPr>
          <w:rFonts w:ascii="Times Roman" w:hAnsi="Times Roman"/>
          <w:color w:val="000000"/>
          <w:sz w:val="24"/>
        </w:rPr>
        <w:t>Fågel</w:t>
      </w:r>
      <w:proofErr w:type="spellEnd"/>
      <w:r w:rsidRPr="00050A5D">
        <w:rPr>
          <w:rFonts w:ascii="Times Roman" w:hAnsi="Times Roman"/>
          <w:color w:val="000000"/>
          <w:sz w:val="24"/>
        </w:rPr>
        <w:t xml:space="preserve"> </w:t>
      </w:r>
      <w:proofErr w:type="spellStart"/>
      <w:r w:rsidRPr="00050A5D">
        <w:rPr>
          <w:rFonts w:ascii="Times Roman" w:hAnsi="Times Roman"/>
          <w:color w:val="000000"/>
          <w:sz w:val="24"/>
        </w:rPr>
        <w:t>Taxering</w:t>
      </w:r>
      <w:proofErr w:type="spellEnd"/>
      <w:r w:rsidRPr="00050A5D">
        <w:rPr>
          <w:rFonts w:ascii="Times Roman" w:hAnsi="Times Roman"/>
          <w:color w:val="000000"/>
          <w:sz w:val="24"/>
        </w:rPr>
        <w:t xml:space="preserve"> 2019:  </w:t>
      </w:r>
      <w:hyperlink r:id="rId8" w:history="1">
        <w:r w:rsidRPr="00050A5D">
          <w:rPr>
            <w:rStyle w:val="Hyperlink"/>
            <w:rFonts w:ascii="Times Roman" w:hAnsi="Times Roman"/>
            <w:color w:val="1A73E8"/>
            <w:sz w:val="24"/>
            <w:szCs w:val="21"/>
            <w:shd w:val="clear" w:color="auto" w:fill="FFFFFF"/>
          </w:rPr>
          <w:t>https://www.fageltaxering.lu.se/resultat/trender/trender-standardrutterna</w:t>
        </w:r>
      </w:hyperlink>
    </w:p>
    <w:p w:rsidR="00C943C0" w:rsidRPr="00050A5D" w:rsidRDefault="00C943C0" w:rsidP="00050A5D">
      <w:pPr>
        <w:pStyle w:val="NormalWeb"/>
        <w:spacing w:beforeLines="0" w:afterLines="0" w:line="480" w:lineRule="auto"/>
        <w:ind w:left="284" w:hanging="284"/>
        <w:jc w:val="both"/>
        <w:rPr>
          <w:rFonts w:ascii="Times Roman" w:hAnsi="Times Roman"/>
          <w:sz w:val="24"/>
        </w:rPr>
      </w:pPr>
      <w:proofErr w:type="spellStart"/>
      <w:r w:rsidRPr="00050A5D">
        <w:rPr>
          <w:rFonts w:ascii="Times Roman" w:hAnsi="Times Roman"/>
          <w:bCs/>
          <w:color w:val="000000"/>
          <w:sz w:val="24"/>
        </w:rPr>
        <w:t>Wilman</w:t>
      </w:r>
      <w:proofErr w:type="spellEnd"/>
      <w:r w:rsidRPr="00050A5D">
        <w:rPr>
          <w:rFonts w:ascii="Times Roman" w:hAnsi="Times Roman"/>
          <w:bCs/>
          <w:color w:val="000000"/>
          <w:sz w:val="24"/>
        </w:rPr>
        <w:t xml:space="preserve"> H, </w:t>
      </w:r>
      <w:proofErr w:type="spellStart"/>
      <w:r w:rsidRPr="00050A5D">
        <w:rPr>
          <w:rFonts w:ascii="Times Roman" w:hAnsi="Times Roman"/>
          <w:bCs/>
          <w:color w:val="000000"/>
          <w:sz w:val="24"/>
        </w:rPr>
        <w:t>Belmaker</w:t>
      </w:r>
      <w:proofErr w:type="spellEnd"/>
      <w:r w:rsidRPr="00050A5D">
        <w:rPr>
          <w:rFonts w:ascii="Times Roman" w:hAnsi="Times Roman"/>
          <w:bCs/>
          <w:color w:val="000000"/>
          <w:sz w:val="24"/>
        </w:rPr>
        <w:t xml:space="preserve"> J, Simpson J, la Rosa de C, </w:t>
      </w:r>
      <w:proofErr w:type="spellStart"/>
      <w:r w:rsidRPr="00050A5D">
        <w:rPr>
          <w:rFonts w:ascii="Times Roman" w:hAnsi="Times Roman"/>
          <w:bCs/>
          <w:color w:val="000000"/>
          <w:sz w:val="24"/>
        </w:rPr>
        <w:t>Rivadeneira</w:t>
      </w:r>
      <w:proofErr w:type="spellEnd"/>
      <w:r w:rsidRPr="00050A5D">
        <w:rPr>
          <w:rFonts w:ascii="Times Roman" w:hAnsi="Times Roman"/>
          <w:bCs/>
          <w:color w:val="000000"/>
          <w:sz w:val="24"/>
        </w:rPr>
        <w:t xml:space="preserve"> MM, </w:t>
      </w:r>
      <w:proofErr w:type="spellStart"/>
      <w:r w:rsidRPr="00050A5D">
        <w:rPr>
          <w:rFonts w:ascii="Times Roman" w:hAnsi="Times Roman"/>
          <w:bCs/>
          <w:color w:val="000000"/>
          <w:sz w:val="24"/>
        </w:rPr>
        <w:t>Jetz</w:t>
      </w:r>
      <w:proofErr w:type="spellEnd"/>
      <w:r w:rsidRPr="00050A5D">
        <w:rPr>
          <w:rFonts w:ascii="Times Roman" w:hAnsi="Times Roman"/>
          <w:bCs/>
          <w:color w:val="000000"/>
          <w:sz w:val="24"/>
        </w:rPr>
        <w:t xml:space="preserve"> W</w:t>
      </w:r>
      <w:r w:rsidRPr="00050A5D">
        <w:rPr>
          <w:rFonts w:ascii="Times Roman" w:hAnsi="Times Roman"/>
          <w:color w:val="000000"/>
          <w:sz w:val="24"/>
        </w:rPr>
        <w:t xml:space="preserve"> (2014) </w:t>
      </w:r>
      <w:proofErr w:type="spellStart"/>
      <w:r w:rsidRPr="00050A5D">
        <w:rPr>
          <w:rFonts w:ascii="Times Roman" w:hAnsi="Times Roman"/>
          <w:color w:val="000000"/>
          <w:sz w:val="24"/>
        </w:rPr>
        <w:t>EltonTraits</w:t>
      </w:r>
      <w:proofErr w:type="spellEnd"/>
      <w:r w:rsidRPr="00050A5D">
        <w:rPr>
          <w:rFonts w:ascii="Times Roman" w:hAnsi="Times Roman"/>
          <w:color w:val="000000"/>
          <w:sz w:val="24"/>
        </w:rPr>
        <w:t xml:space="preserve"> 1.0: species-level foraging attributes of the world’s birds and mammals. </w:t>
      </w:r>
      <w:r w:rsidRPr="00050A5D">
        <w:rPr>
          <w:rFonts w:ascii="Times Roman" w:hAnsi="Times Roman"/>
          <w:iCs/>
          <w:color w:val="000000"/>
          <w:sz w:val="24"/>
        </w:rPr>
        <w:t>Ecology 95:</w:t>
      </w:r>
      <w:r w:rsidRPr="00050A5D">
        <w:rPr>
          <w:rFonts w:ascii="Times Roman" w:hAnsi="Times Roman"/>
          <w:color w:val="000000"/>
          <w:sz w:val="24"/>
        </w:rPr>
        <w:t>2027. https://doi.org/10.1890/13-1917.1</w:t>
      </w:r>
    </w:p>
    <w:p w:rsidR="00C943C0" w:rsidRDefault="00C943C0" w:rsidP="00C943C0">
      <w:pPr>
        <w:pStyle w:val="NormalWeb"/>
        <w:spacing w:beforeLines="0" w:afterLines="0"/>
      </w:pPr>
    </w:p>
    <w:p w:rsidR="00C943C0" w:rsidRDefault="00C943C0" w:rsidP="00C943C0"/>
    <w:p w:rsidR="00C943C0" w:rsidRDefault="00C943C0" w:rsidP="00C943C0">
      <w:pPr>
        <w:pStyle w:val="NormalWeb"/>
        <w:spacing w:beforeLines="0" w:afterLines="0" w:line="48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Table S2.</w:t>
      </w:r>
      <w:r>
        <w:rPr>
          <w:rFonts w:ascii="Times New Roman" w:hAnsi="Times New Roman"/>
          <w:color w:val="000000"/>
          <w:sz w:val="24"/>
          <w:szCs w:val="24"/>
        </w:rPr>
        <w:t xml:space="preserve"> List of species and their traits included in the analyses. For migration strategy</w:t>
      </w:r>
      <w:r w:rsidR="00113D8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113D81">
        <w:rPr>
          <w:rFonts w:ascii="Times New Roman" w:hAnsi="Times New Roman"/>
          <w:color w:val="000000"/>
          <w:sz w:val="24"/>
          <w:szCs w:val="24"/>
        </w:rPr>
        <w:t>Migr</w:t>
      </w:r>
      <w:proofErr w:type="spellEnd"/>
      <w:r w:rsidR="00113D81">
        <w:rPr>
          <w:rFonts w:ascii="Times New Roman" w:hAnsi="Times New Roman"/>
          <w:color w:val="000000"/>
          <w:sz w:val="24"/>
          <w:szCs w:val="24"/>
        </w:rPr>
        <w:t>.)</w:t>
      </w:r>
      <w:r>
        <w:rPr>
          <w:rFonts w:ascii="Times New Roman" w:hAnsi="Times New Roman"/>
          <w:color w:val="000000"/>
          <w:sz w:val="24"/>
          <w:szCs w:val="24"/>
        </w:rPr>
        <w:t xml:space="preserve">, the levels are: 1 = resident, 2 = partial migrant (species from which a part of the population migrates), 3 = short distance migrant (wintering in the Baltic countries or Western Europe), and 4 = long distance migrant (wintering further than the Mediterranean area). For the habitat, the levels are: 1 = farmland-urban, 2 = forest, 3 = wetlands (rocky outcrops), and 4 =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montane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Finally, for the population tendency</w:t>
      </w:r>
      <w:r w:rsidR="00113D81">
        <w:rPr>
          <w:rFonts w:ascii="Times New Roman" w:hAnsi="Times New Roman"/>
          <w:color w:val="000000"/>
          <w:sz w:val="24"/>
          <w:szCs w:val="24"/>
        </w:rPr>
        <w:t xml:space="preserve"> (trend)</w:t>
      </w:r>
      <w:r>
        <w:rPr>
          <w:rFonts w:ascii="Times New Roman" w:hAnsi="Times New Roman"/>
          <w:color w:val="000000"/>
          <w:sz w:val="24"/>
          <w:szCs w:val="24"/>
        </w:rPr>
        <w:t>, the levels are: 1= decreasing, 2 = no trend, and 3= increasing population.</w:t>
      </w:r>
    </w:p>
    <w:tbl>
      <w:tblPr>
        <w:tblW w:w="10915" w:type="dxa"/>
        <w:tblInd w:w="-1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1"/>
        <w:gridCol w:w="990"/>
        <w:gridCol w:w="710"/>
        <w:gridCol w:w="709"/>
        <w:gridCol w:w="708"/>
        <w:gridCol w:w="851"/>
        <w:gridCol w:w="709"/>
        <w:gridCol w:w="708"/>
        <w:gridCol w:w="851"/>
        <w:gridCol w:w="709"/>
        <w:gridCol w:w="1275"/>
        <w:gridCol w:w="1134"/>
      </w:tblGrid>
      <w:tr w:rsidR="00113D81" w:rsidRPr="00050A5D" w:rsidTr="00113D81">
        <w:trPr>
          <w:trHeight w:val="575"/>
        </w:trPr>
        <w:tc>
          <w:tcPr>
            <w:tcW w:w="15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6"/>
              </w:rPr>
              <w:t>Species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6"/>
              </w:rPr>
              <w:t>English name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6"/>
              </w:rPr>
              <w:t>Body mass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6"/>
              </w:rPr>
              <w:t>Diet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sz w:val="18"/>
                <w:szCs w:val="16"/>
              </w:rPr>
              <w:t>Migr</w:t>
            </w:r>
            <w:proofErr w:type="spellEnd"/>
            <w:r>
              <w:rPr>
                <w:rFonts w:ascii="Arial" w:hAnsi="Arial"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6"/>
              </w:rPr>
              <w:t>Habitat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6"/>
              </w:rPr>
              <w:t>STI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 w:rsidP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6"/>
              </w:rPr>
              <w:t>Trend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6"/>
              </w:rPr>
              <w:t>Clutch size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6"/>
              </w:rPr>
              <w:t>Longevity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4"/>
              </w:rPr>
              <w:t>Order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bCs/>
                <w:color w:val="000000"/>
                <w:sz w:val="18"/>
                <w:szCs w:val="14"/>
              </w:rPr>
              <w:t>Family</w:t>
            </w:r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Acanthis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flammea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Common redpoll</w:t>
            </w:r>
          </w:p>
        </w:tc>
        <w:tc>
          <w:tcPr>
            <w:tcW w:w="710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1.089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8.19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12.2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Fringillidae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Actitis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hypoleucos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Common sandpiper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1.221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11.21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14.5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Scolopacidae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Anthus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pratensis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Meadow pipit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18.4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0.500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9.95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8.8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Motacillidae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Anthus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trivialis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Tree pipit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23.33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1.228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11.24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Motacillidae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apus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Swift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37.6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12.4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21.1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Caprimulgiformes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Apodidae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Bucephala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clangula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Goldeneye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918.56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0.940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8.47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18.4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Anseriformes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Anatidae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Buteo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lagopus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Rough-legged buzzard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949.76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0.639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5.23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18.8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Accipitriformes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Accipitridae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Calcarius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lapponicus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Lapland bunting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27.84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0.693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4.06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Calcariidae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Certhia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familiaris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Treecreeper</w:t>
            </w:r>
            <w:proofErr w:type="spellEnd"/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0.673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11.1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8.2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Certhiidae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Chloris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chloris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Greenfinch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12.60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13.6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Fringillidae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Chroicocephalus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ridibundus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Black-headed Gull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284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0.802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11.07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32.9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Laridae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Columba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palumbus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Common Wood Pigeon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490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1.089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12.22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17.7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Columbiformes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Columbidae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Corvus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corax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Raven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927.97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2.025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11.7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69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Corvidae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Corvus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cornix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Hooded crow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570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1.557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12.13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4.333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16.8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Corvidae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Corvus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corone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Carrion Crow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570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1.557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12.1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19.2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Corvidae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Corvus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monedula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Jackdaw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246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1.314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12.9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20.3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Corvidae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Cuculus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canorus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Common Cuckoo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111.36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0.325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12.1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12.9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Cuculiformes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Cuculidae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Cyanistes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caeruleus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Blue tit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13.3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1.221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12.7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14.6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Paridae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Cygnus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cygnus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Whooper swan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9349.99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6.2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7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26.5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Anseriformes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Anatidae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Delichon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urbicum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House martin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14.5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12.35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Hirundinidae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Dendrocopos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major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Great spotted woodpecker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74.94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1.168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12.1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12.7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Piciformes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Picidae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Dryocopus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martius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Black woodpecker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321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11.12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Piciformes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Picidae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Emberiza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citrinella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Yellowhammer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29.7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0.898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11.55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13.2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Emberizidae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Emberiza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schoeniclus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Reed bunting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18.4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11.27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Emberizidae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Erithacus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rubecula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Robin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17.7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1.609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12.00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19.3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Muscicapidae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Ficedula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hypoleuca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Pied flycatcher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13.79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10.4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Muscicapidae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Fringilla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coelebs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Chaffinch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23.81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0.950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12.30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29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Fringillidae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Fringilla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montifringilla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Brambling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23.19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1.055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7.03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14.8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Fringillidae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Gallinago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gallinago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Snipe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112.94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0.639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10.2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7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18.2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Scolopacidae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Garrulus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glandarius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Jay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159.46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1.280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12.47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17.9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Corvidae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Gavia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arctica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Black-throated diver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2251.1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0.802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6.83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28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Gaviiformes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Gaviidae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Grus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grus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Common Crane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5499.99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1.609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9.50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Gruiformes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Gruidae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Hirundo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rustica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Swallow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17.91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0.639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12.43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16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Hirundinidae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Lagopus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lagopus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Willow Ptarmigan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566.86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0.325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6.7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Galiiformes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Phasianidae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Lagopus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muta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Rock Ptarmigan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535.3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0.802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6.0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Galiiformes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Phasianidae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Larus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canus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Common Gull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412.53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1.194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8.57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33.7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Laridae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Lophophanes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cristatus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Crested tit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11.04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0.950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11.71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11.6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Paridae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Loxia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curvirostra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Crossbill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38.29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10.49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16.1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Fringillidae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Luscinia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svecica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Bluethroat</w:t>
            </w:r>
            <w:proofErr w:type="spellEnd"/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17.23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1.089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10.16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11.4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Muscicapidae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Lyrurus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tetrix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Black cock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1068.66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0.940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9.00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Galiiformes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Phasianidae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Motacilla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alba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Pied wagtail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23.93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11.9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13.7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Motacillidae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Motacilla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flava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Yellow wagtail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17.68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0.940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12.1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Motacillidae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Muscicapa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striata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Spotted flycatcher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15.9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0.500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12.1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11.8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Muscicapidae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Numenius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arquata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Curlew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802.99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1.089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10.0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31.8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Scolopacidae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Numenius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phaeopus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Whimbrel</w:t>
            </w:r>
            <w:proofErr w:type="spellEnd"/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364.57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1.089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5.89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24.2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Scolopacidae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Oenanthe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oenanthe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Wheatear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25.39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0.802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11.62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Muscicapidae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Parus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major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Great tit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16.25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1.471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12.34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15.4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Paridae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Periparus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ater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Coal tit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1.471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11.9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Paridae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Phoenicurus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phoenicurus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Redstart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14.59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0.500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11.31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10.2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Muscicapidae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Phylloscopus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collybita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Chiffchaff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0.639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11.9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Phylloscopidae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Phylloscopus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sibilatrix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Wood warbler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0.500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11.38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Phylloscopidae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Phylloscopus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trochilus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Willow warbler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0.639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10.46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Phylloscopidae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Pica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pica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Magpie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217.48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1.748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12.1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6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21.7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Corvidae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Pluvialis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apricaria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Golden plover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214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0.940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Poecile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montanus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Willow tit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0.950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10.20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11.3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Paridae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Prunella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modularis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Dunnock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20.24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0.693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10.9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20.8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Prunellidae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Regulus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regulus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Goldcrest</w:t>
            </w:r>
            <w:proofErr w:type="spellEnd"/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10.8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Regulidae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Saxicola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rubetra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Whinchat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16.6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0.802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Muscicapidae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Spinus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spinus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Siskin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13.24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1.314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10.24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13.5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Fringillidae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Stercorarius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longicaudus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Long-tailed Jaeger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287.9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0.898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3.57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Stercorariidae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Sturnus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vulgaris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Starling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77.14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1.696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11.80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22.9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Sturnidae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Sylvia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atricapilla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Blackcap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16.7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1.168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12.6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13.8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Sylviidae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Sylvia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borin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Garden warbler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18.2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0.943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11.3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4.5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24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Sylviidae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Sylvia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communis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Greater whitethroat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15.1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0.898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12.65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Sylviidae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Sylvia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curruca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Lesser whitethroat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11.44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1.089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11.64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Sylviidae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Tringa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glareola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Wood sandpiper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62.05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7.67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Scolopacidae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Tringa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nebularia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Greenshank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187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0.639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6.45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24.4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Scolopacidae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Tringa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ochropus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Green sandpiper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71.4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0.802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9.8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Scolopacidae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Tringa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totanus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Redshank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129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0.639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11.0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26.9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Scolopacidae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Troglodytes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troglodytes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Wren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9.74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1.228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12.2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Troglodytidae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iliacus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Redwing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61.2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1.280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8.25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18.8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Turdidae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merula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Blackbird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102.73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1.221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12.58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21.8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Turdidae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philomelos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Song thrush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67.74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1.089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11.40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17.7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Turdidae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pilaris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Fieldfare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0.611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10.0</w:t>
            </w:r>
            <w:r w:rsidR="00113D81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5.5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18.1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Turdidae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torquatus</w:t>
            </w:r>
            <w:proofErr w:type="spellEnd"/>
          </w:p>
        </w:tc>
        <w:tc>
          <w:tcPr>
            <w:tcW w:w="99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Ring ouzel</w:t>
            </w:r>
          </w:p>
        </w:tc>
        <w:tc>
          <w:tcPr>
            <w:tcW w:w="7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109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1.314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9.03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9.1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Turdidae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viscivorus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Mistle</w:t>
            </w:r>
            <w:proofErr w:type="spellEnd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 xml:space="preserve"> thrush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117.37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1.332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113D81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11.92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21.2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Passeriformes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Turdidae</w:t>
            </w:r>
            <w:proofErr w:type="spellEnd"/>
          </w:p>
        </w:tc>
      </w:tr>
      <w:tr w:rsidR="00113D81" w:rsidRPr="00050A5D" w:rsidTr="00113D81">
        <w:trPr>
          <w:trHeight w:val="575"/>
        </w:trPr>
        <w:tc>
          <w:tcPr>
            <w:tcW w:w="1561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Vanellus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18"/>
                <w:szCs w:val="14"/>
              </w:rPr>
              <w:t>vanellus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Lapwing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218.37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0.000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11.53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r w:rsidRPr="00050A5D">
              <w:rPr>
                <w:rFonts w:ascii="Arial" w:hAnsi="Arial"/>
                <w:color w:val="000000"/>
                <w:sz w:val="18"/>
                <w:szCs w:val="14"/>
              </w:rPr>
              <w:t>24.5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Charadriiformes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ind w:left="60"/>
              <w:jc w:val="center"/>
              <w:rPr>
                <w:sz w:val="18"/>
              </w:rPr>
            </w:pPr>
            <w:proofErr w:type="spellStart"/>
            <w:r w:rsidRPr="00050A5D">
              <w:rPr>
                <w:rFonts w:ascii="Arial" w:hAnsi="Arial"/>
                <w:color w:val="000000"/>
                <w:sz w:val="18"/>
                <w:szCs w:val="14"/>
              </w:rPr>
              <w:t>Charadriidae</w:t>
            </w:r>
            <w:proofErr w:type="spellEnd"/>
          </w:p>
        </w:tc>
      </w:tr>
    </w:tbl>
    <w:p w:rsidR="00C943C0" w:rsidRDefault="00C943C0" w:rsidP="00C943C0">
      <w:pPr>
        <w:spacing w:after="240"/>
      </w:pPr>
    </w:p>
    <w:p w:rsidR="00C943C0" w:rsidRDefault="00C943C0" w:rsidP="00C943C0">
      <w:pPr>
        <w:pStyle w:val="NormalWeb"/>
        <w:spacing w:beforeLines="0" w:afterLines="0" w:line="480" w:lineRule="auto"/>
        <w:jc w:val="center"/>
      </w:pPr>
      <w:r>
        <w:rPr>
          <w:rFonts w:ascii="Calibri" w:hAnsi="Calibri"/>
          <w:color w:val="000000"/>
          <w:sz w:val="16"/>
          <w:szCs w:val="16"/>
        </w:rPr>
        <w:t> </w:t>
      </w:r>
    </w:p>
    <w:p w:rsidR="00C943C0" w:rsidRDefault="00C943C0" w:rsidP="00C943C0">
      <w:pPr>
        <w:pStyle w:val="NormalWeb"/>
        <w:spacing w:beforeLines="0" w:afterLines="0" w:line="48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Table S3.</w:t>
      </w:r>
      <w:r>
        <w:rPr>
          <w:rFonts w:ascii="Times New Roman" w:hAnsi="Times New Roman"/>
          <w:color w:val="000000"/>
          <w:sz w:val="24"/>
          <w:szCs w:val="24"/>
        </w:rPr>
        <w:t xml:space="preserve"> Results of the sensitivity mixed model analyses for different combinations of the data selection criteria: the minimum altitudinal range within the grid cell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the minimum relative abundance of the included species per grid cell (Rag), and the minimum number of grid cells where the included species occur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Nbg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Each sensitivity model was structured as follows: Mean altitude ~ Period + Grid longitude + Altitudinal range grid + (1|Species) + (1|Country/Grid identity)</w:t>
      </w:r>
      <w:r w:rsidR="00050A5D">
        <w:rPr>
          <w:rFonts w:ascii="Times New Roman" w:hAnsi="Times New Roman"/>
          <w:color w:val="000000"/>
          <w:sz w:val="24"/>
          <w:szCs w:val="24"/>
        </w:rPr>
        <w:t xml:space="preserve"> (in a syntax of </w:t>
      </w:r>
      <w:proofErr w:type="spellStart"/>
      <w:r w:rsidR="00050A5D">
        <w:rPr>
          <w:rFonts w:ascii="Times New Roman" w:hAnsi="Times New Roman"/>
          <w:color w:val="000000"/>
          <w:sz w:val="24"/>
          <w:szCs w:val="24"/>
        </w:rPr>
        <w:t>lmer</w:t>
      </w:r>
      <w:proofErr w:type="spellEnd"/>
      <w:r w:rsidR="00050A5D">
        <w:rPr>
          <w:rFonts w:ascii="Times New Roman" w:hAnsi="Times New Roman"/>
          <w:color w:val="000000"/>
          <w:sz w:val="24"/>
          <w:szCs w:val="24"/>
        </w:rPr>
        <w:t xml:space="preserve"> –function in R)</w:t>
      </w:r>
      <w:r>
        <w:rPr>
          <w:rFonts w:ascii="Times New Roman" w:hAnsi="Times New Roman"/>
          <w:color w:val="000000"/>
          <w:sz w:val="24"/>
          <w:szCs w:val="24"/>
        </w:rPr>
        <w:t>. For each variable, the slope is reported. Asterisks (*) represents the significance of the respective slope (*** p &lt; 0.001; ** p &lt; 0.01; * p &lt; 0.05). </w:t>
      </w:r>
    </w:p>
    <w:tbl>
      <w:tblPr>
        <w:tblW w:w="9163" w:type="dxa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4"/>
        <w:gridCol w:w="972"/>
        <w:gridCol w:w="1039"/>
        <w:gridCol w:w="968"/>
        <w:gridCol w:w="934"/>
        <w:gridCol w:w="968"/>
        <w:gridCol w:w="968"/>
        <w:gridCol w:w="890"/>
        <w:gridCol w:w="890"/>
      </w:tblGrid>
      <w:tr w:rsidR="00C943C0" w:rsidRPr="00050A5D">
        <w:trPr>
          <w:trHeight w:val="621"/>
        </w:trPr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Combinations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Rag: 5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Ar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300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Nbg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1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Rag: 5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Ar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300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Nbg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Rag: 5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Ar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300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Nbg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Rag: 3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Ar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300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Nbg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Rag: 3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Ar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300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Nbg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Rag: 3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Ar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300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Nbg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Rag: 10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Ar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300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Nbg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Rag: 10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Ar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300</w:t>
            </w:r>
          </w:p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proofErr w:type="spellStart"/>
            <w:r w:rsidRPr="00050A5D">
              <w:rPr>
                <w:rFonts w:ascii="Arial" w:hAnsi="Arial"/>
                <w:b/>
                <w:bCs/>
                <w:color w:val="000000"/>
              </w:rPr>
              <w:t>Nbg</w:t>
            </w:r>
            <w:proofErr w:type="spellEnd"/>
            <w:r w:rsidRPr="00050A5D">
              <w:rPr>
                <w:rFonts w:ascii="Arial" w:hAnsi="Arial"/>
                <w:b/>
                <w:bCs/>
                <w:color w:val="000000"/>
              </w:rPr>
              <w:t>: 3</w:t>
            </w:r>
          </w:p>
        </w:tc>
      </w:tr>
      <w:tr w:rsidR="00C943C0" w:rsidRPr="00050A5D">
        <w:trPr>
          <w:trHeight w:val="411"/>
        </w:trPr>
        <w:tc>
          <w:tcPr>
            <w:tcW w:w="1534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Number of  species</w:t>
            </w:r>
          </w:p>
        </w:tc>
        <w:tc>
          <w:tcPr>
            <w:tcW w:w="972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99</w:t>
            </w:r>
          </w:p>
        </w:tc>
        <w:tc>
          <w:tcPr>
            <w:tcW w:w="103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55</w:t>
            </w:r>
          </w:p>
        </w:tc>
      </w:tr>
      <w:tr w:rsidR="00C943C0" w:rsidRPr="00050A5D">
        <w:trPr>
          <w:trHeight w:val="477"/>
        </w:trPr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Number of grids</w:t>
            </w: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36</w:t>
            </w:r>
          </w:p>
        </w:tc>
      </w:tr>
      <w:tr w:rsidR="00C943C0" w:rsidRPr="00050A5D">
        <w:trPr>
          <w:trHeight w:val="556"/>
        </w:trPr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Intercept</w:t>
            </w: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388.35**</w:t>
            </w:r>
          </w:p>
        </w:tc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390.66**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401.17**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374.71*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390.28**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385.63**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364.59*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363.89*</w:t>
            </w:r>
          </w:p>
        </w:tc>
      </w:tr>
      <w:tr w:rsidR="00C943C0" w:rsidRPr="00050A5D">
        <w:trPr>
          <w:trHeight w:val="479"/>
        </w:trPr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Study period </w:t>
            </w: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12.65***</w:t>
            </w:r>
          </w:p>
        </w:tc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12.29***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13.54***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12.67***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13.05***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13.75***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10.23**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10.28*</w:t>
            </w:r>
          </w:p>
        </w:tc>
      </w:tr>
      <w:tr w:rsidR="00C943C0" w:rsidRPr="00050A5D">
        <w:trPr>
          <w:trHeight w:val="621"/>
        </w:trPr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Mean longitude of the grid cell</w:t>
            </w: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-18.75**</w:t>
            </w:r>
          </w:p>
        </w:tc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-18.77 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-18.75**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-18.19*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-18.38*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-18.20*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-17.47*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-17.52*</w:t>
            </w:r>
          </w:p>
        </w:tc>
      </w:tr>
      <w:tr w:rsidR="00C943C0" w:rsidRPr="00050A5D">
        <w:trPr>
          <w:trHeight w:val="447"/>
        </w:trPr>
        <w:tc>
          <w:tcPr>
            <w:tcW w:w="15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</w:rPr>
            </w:pPr>
            <w:r w:rsidRPr="00050A5D">
              <w:rPr>
                <w:rFonts w:ascii="Arial" w:hAnsi="Arial"/>
                <w:b/>
                <w:bCs/>
                <w:color w:val="000000"/>
              </w:rPr>
              <w:t>Altitudinal range of the grid cell</w:t>
            </w:r>
          </w:p>
        </w:tc>
        <w:tc>
          <w:tcPr>
            <w:tcW w:w="9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0.81***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0.81***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0.81***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0.81***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0.80***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0.80***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0.83***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</w:rPr>
            </w:pPr>
            <w:r w:rsidRPr="00050A5D">
              <w:rPr>
                <w:rFonts w:ascii="Arial" w:hAnsi="Arial"/>
                <w:color w:val="000000"/>
              </w:rPr>
              <w:t>0.83*</w:t>
            </w:r>
          </w:p>
        </w:tc>
      </w:tr>
    </w:tbl>
    <w:p w:rsidR="00050A5D" w:rsidRDefault="00050A5D" w:rsidP="00C943C0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43C0" w:rsidRDefault="00050A5D" w:rsidP="00C943C0">
      <w:pPr>
        <w:pStyle w:val="NormalWeb"/>
        <w:spacing w:beforeLines="0" w:afterLines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C943C0">
        <w:rPr>
          <w:rFonts w:ascii="Times New Roman" w:hAnsi="Times New Roman"/>
          <w:b/>
          <w:bCs/>
          <w:color w:val="000000"/>
          <w:sz w:val="24"/>
          <w:szCs w:val="24"/>
        </w:rPr>
        <w:t>Table S4</w:t>
      </w:r>
      <w:r w:rsidR="00C943C0">
        <w:rPr>
          <w:rFonts w:ascii="Times New Roman" w:hAnsi="Times New Roman"/>
          <w:color w:val="000000"/>
          <w:sz w:val="24"/>
          <w:szCs w:val="24"/>
        </w:rPr>
        <w:t>. Species-specific estimates of altitudinal density shifts of 77 bird species in Norway and Sweden.</w:t>
      </w:r>
    </w:p>
    <w:p w:rsidR="00C943C0" w:rsidRDefault="00C943C0" w:rsidP="00C943C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55"/>
        <w:gridCol w:w="982"/>
        <w:gridCol w:w="1251"/>
      </w:tblGrid>
      <w:tr w:rsidR="00C943C0" w:rsidRPr="00050A5D">
        <w:trPr>
          <w:trHeight w:val="3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Longevity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∆ Mean shift</w:t>
            </w:r>
          </w:p>
        </w:tc>
      </w:tr>
      <w:tr w:rsidR="00C943C0" w:rsidRPr="00050A5D">
        <w:trPr>
          <w:trHeight w:val="370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Acanthis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flammea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12.2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62</w:t>
            </w:r>
            <w:r w:rsidR="00113D81">
              <w:rPr>
                <w:rFonts w:ascii="Arial" w:hAnsi="Arial"/>
                <w:color w:val="000000"/>
                <w:sz w:val="22"/>
                <w:szCs w:val="24"/>
              </w:rPr>
              <w:t>.0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Actitis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hypoleucos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14.5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-6.7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Anthus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pratensis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8.8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14.8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Anthus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trivialis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8.8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7.2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apus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21.1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27.3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Bucephala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clangula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-23.</w:t>
            </w:r>
            <w:r w:rsidR="00113D81">
              <w:rPr>
                <w:rFonts w:ascii="Arial" w:hAnsi="Arial"/>
                <w:color w:val="000000"/>
                <w:sz w:val="22"/>
                <w:szCs w:val="24"/>
              </w:rPr>
              <w:t>4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Buteo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lagopus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18.8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-66.5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Calcarius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lapponicus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-10.3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Certhia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familiaris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8.2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10.9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Chloris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chloris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13.6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-3.1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Chroicocephalus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ridibundus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32.9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-19.1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Columba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palumbus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17.7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13.9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Corvus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corax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69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-8.2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Corvus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cornix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16.8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-15.1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Corvus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corone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19.2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32.</w:t>
            </w:r>
            <w:r w:rsidR="00113D81">
              <w:rPr>
                <w:rFonts w:ascii="Arial" w:hAnsi="Arial"/>
                <w:color w:val="000000"/>
                <w:sz w:val="22"/>
                <w:szCs w:val="24"/>
              </w:rPr>
              <w:t>2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Corvus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monedula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20.3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-3.1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Cuculus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canorus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12.9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10.3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Cyanistes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caeruleus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14.6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16.5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Cygnus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cygnus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26.5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28.4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Delichon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urbicum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27.0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Dendrocopos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major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12.7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30.6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Dryocopus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martius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20.7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Emberiza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citrinella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13.2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-1.0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Emberiza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schoeniclus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12.2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21.1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Erithacus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rubecula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19.3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4.4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Ficedula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hypoleuca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6.9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Fringilla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coelebs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29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14.3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Fringilla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montifringilla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14.8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10.8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Gallinago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gallinago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18.2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44.3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Garrulus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glandarius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17.9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31.1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Gavia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arctica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28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-16.4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Grus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grus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-15.5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Hirundo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rustica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16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21.8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Lagopus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lagopus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36.6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Lagopus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muta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12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6.8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Larus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canus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33.7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8.3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Lophophanes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cristatus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11.6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31.2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Loxia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curvirostra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16.1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99.3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Luscinia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svecica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11.4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17.4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Lyrurus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tetrix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12.2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-24.0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Motacilla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alba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13.7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-36.3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Motacilla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flava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8.8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41.6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Muscicapa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striata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11.8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9.2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Numenius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arquata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31.8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-54.7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Numenius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phaeopus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24.2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Oenanthe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oenanthe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10.1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31.4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Parus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major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15.4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5.6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Periparus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9.5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12.7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Phoenicurus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phoenicurus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10.2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4.5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Phylloscopus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collybita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27.0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Phylloscopus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sibilatrix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10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-19.9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Phylloscopus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trochilus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11.8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11.7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Pica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pica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21.7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-4.8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Pluvialis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apricaria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12.8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11.3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Poecile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montanus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11.3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48.3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Prunella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modularis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20.8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7.4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Regulus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regulus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7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13.1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Saxicola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rubetra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6.9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20.8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Spinus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spinus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13.5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10.9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Stercorarius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longicaudus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25.2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Sturnus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vulgaris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22.9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-1.8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Sylvia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atricapilla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13.8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-3.5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Sylvia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borin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24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18.0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Sylvia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communis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8.9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49.9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Sylvia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curruca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9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32.1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Tringa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glareola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11.6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10.7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Tringa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nebularia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24.4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-1.7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Tringa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ochropus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11.5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15.9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Tringa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totanus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26.9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-26.5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Troglodytes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troglodytes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37.6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iliacus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18.8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6.6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merula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21.8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14.0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philomelos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17.7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9.5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pilaris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18.1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3.6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torquatus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9.1</w:t>
            </w:r>
          </w:p>
        </w:tc>
        <w:tc>
          <w:tcPr>
            <w:tcW w:w="0" w:type="auto"/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-2.1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Turdus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viscivorus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21.2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20.8</w:t>
            </w:r>
          </w:p>
        </w:tc>
      </w:tr>
      <w:tr w:rsidR="00C943C0" w:rsidRPr="00050A5D">
        <w:trPr>
          <w:trHeight w:val="35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rPr>
                <w:rFonts w:ascii="Arial" w:hAnsi="Arial"/>
                <w:sz w:val="22"/>
              </w:rPr>
            </w:pP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Vanellus</w:t>
            </w:r>
            <w:proofErr w:type="spellEnd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0A5D">
              <w:rPr>
                <w:rFonts w:ascii="Arial" w:hAnsi="Arial"/>
                <w:i/>
                <w:iCs/>
                <w:color w:val="000000"/>
                <w:sz w:val="22"/>
                <w:szCs w:val="24"/>
              </w:rPr>
              <w:t>vanellus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C943C0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 w:rsidRPr="00050A5D">
              <w:rPr>
                <w:rFonts w:ascii="Arial" w:hAnsi="Arial"/>
                <w:color w:val="000000"/>
                <w:sz w:val="22"/>
                <w:szCs w:val="24"/>
              </w:rPr>
              <w:t>24.5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C943C0" w:rsidRPr="00050A5D" w:rsidRDefault="00113D81">
            <w:pPr>
              <w:pStyle w:val="NormalWeb"/>
              <w:spacing w:beforeLines="0" w:afterLines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4.5</w:t>
            </w:r>
          </w:p>
        </w:tc>
      </w:tr>
    </w:tbl>
    <w:p w:rsidR="00C943C0" w:rsidRDefault="00C943C0" w:rsidP="00C943C0">
      <w:pPr>
        <w:spacing w:after="240"/>
      </w:pPr>
    </w:p>
    <w:p w:rsidR="00C943C0" w:rsidRPr="0069651C" w:rsidRDefault="00C943C0" w:rsidP="00C943C0">
      <w:pPr>
        <w:rPr>
          <w:vertAlign w:val="baseline"/>
        </w:rPr>
      </w:pPr>
    </w:p>
    <w:p w:rsidR="006E4AEA" w:rsidRDefault="00113D81"/>
    <w:sectPr w:rsidR="006E4AEA" w:rsidSect="006965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merican Typewriter">
    <w:altName w:val="Sitka Small"/>
    <w:panose1 w:val="02090604020004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4CD"/>
    <w:multiLevelType w:val="multilevel"/>
    <w:tmpl w:val="9EAA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B2BA6"/>
    <w:multiLevelType w:val="multilevel"/>
    <w:tmpl w:val="90187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C2753"/>
    <w:multiLevelType w:val="multilevel"/>
    <w:tmpl w:val="B9D6C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3C0"/>
    <w:rsid w:val="00050A5D"/>
    <w:rsid w:val="00113D81"/>
    <w:rsid w:val="009F6E23"/>
    <w:rsid w:val="00B9315A"/>
    <w:rsid w:val="00C943C0"/>
    <w:rsid w:val="00DD54E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C0"/>
    <w:rPr>
      <w:rFonts w:ascii="Times Roman" w:hAnsi="Times Roman"/>
      <w:color w:val="212121"/>
      <w:vertAlign w:val="superscri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943C0"/>
    <w:rPr>
      <w:color w:val="0000FF"/>
      <w:u w:val="single"/>
    </w:rPr>
  </w:style>
  <w:style w:type="paragraph" w:styleId="NormalWeb">
    <w:name w:val="Normal (Web)"/>
    <w:basedOn w:val="Normal"/>
    <w:uiPriority w:val="99"/>
    <w:rsid w:val="00C943C0"/>
    <w:pPr>
      <w:spacing w:beforeLines="1" w:afterLines="1"/>
    </w:pPr>
    <w:rPr>
      <w:rFonts w:ascii="Times" w:hAnsi="Times" w:cs="Times New Roman"/>
      <w:color w:val="auto"/>
      <w:sz w:val="20"/>
      <w:szCs w:val="20"/>
      <w:vertAlign w:val="baseline"/>
      <w:lang w:val="en-GB"/>
    </w:rPr>
  </w:style>
  <w:style w:type="character" w:styleId="FollowedHyperlink">
    <w:name w:val="FollowedHyperlink"/>
    <w:basedOn w:val="DefaultParagraphFont"/>
    <w:uiPriority w:val="99"/>
    <w:rsid w:val="00C943C0"/>
    <w:rPr>
      <w:color w:val="0000FF"/>
      <w:u w:val="single"/>
    </w:rPr>
  </w:style>
  <w:style w:type="character" w:styleId="CommentReference">
    <w:name w:val="annotation reference"/>
    <w:basedOn w:val="DefaultParagraphFont"/>
    <w:rsid w:val="00C943C0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43C0"/>
  </w:style>
  <w:style w:type="character" w:customStyle="1" w:styleId="CommentTextChar">
    <w:name w:val="Comment Text Char"/>
    <w:basedOn w:val="DefaultParagraphFont"/>
    <w:link w:val="CommentText"/>
    <w:rsid w:val="00C943C0"/>
    <w:rPr>
      <w:rFonts w:ascii="Times Roman" w:hAnsi="Times Roman"/>
      <w:color w:val="212121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C943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943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943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3C0"/>
    <w:rPr>
      <w:rFonts w:ascii="Lucida Grande" w:hAnsi="Lucida Grande"/>
      <w:color w:val="212121"/>
      <w:sz w:val="18"/>
      <w:szCs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cran.r-project.org/package=vegan" TargetMode="External"/><Relationship Id="rId8" Type="http://schemas.openxmlformats.org/officeDocument/2006/relationships/hyperlink" Target="https://www.fageltaxering.lu.se/resultat/trender/trender-standardruttern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2321</Words>
  <Characters>13232</Characters>
  <Application>Microsoft Macintosh Word</Application>
  <DocSecurity>0</DocSecurity>
  <Lines>110</Lines>
  <Paragraphs>26</Paragraphs>
  <ScaleCrop>false</ScaleCrop>
  <Company>Novia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Lehikoinen</dc:creator>
  <cp:keywords/>
  <cp:lastModifiedBy>Aleksi Lehikoinen</cp:lastModifiedBy>
  <cp:revision>3</cp:revision>
  <dcterms:created xsi:type="dcterms:W3CDTF">2021-04-02T10:56:00Z</dcterms:created>
  <dcterms:modified xsi:type="dcterms:W3CDTF">2021-04-02T11:10:00Z</dcterms:modified>
</cp:coreProperties>
</file>