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C60" w:rsidRDefault="00410522">
      <w:pPr>
        <w:rPr>
          <w:b/>
          <w:bCs/>
          <w:lang w:val="es-ES"/>
        </w:rPr>
      </w:pPr>
      <w:r>
        <w:rPr>
          <w:b/>
          <w:bCs/>
          <w:lang w:val="es-ES"/>
        </w:rPr>
        <w:t xml:space="preserve">PROPUESTA DE </w:t>
      </w:r>
      <w:r w:rsidR="006A3B15" w:rsidRPr="00AF12FE">
        <w:rPr>
          <w:b/>
          <w:bCs/>
          <w:lang w:val="es-ES"/>
        </w:rPr>
        <w:t>PROTOCOLO DE MONITORIZACIÓN DEL INTERVALO QT EN PACIENTES CON TRATAMIENTO PARA COVID-19</w:t>
      </w:r>
    </w:p>
    <w:p w:rsidR="00410522" w:rsidRDefault="00410522">
      <w:pPr>
        <w:rPr>
          <w:b/>
          <w:bCs/>
          <w:lang w:val="es-ES"/>
        </w:rPr>
      </w:pPr>
    </w:p>
    <w:p w:rsidR="00FF0DCF" w:rsidRDefault="00FF0DCF">
      <w:pPr>
        <w:rPr>
          <w:b/>
          <w:bCs/>
          <w:lang w:val="es-ES"/>
        </w:rPr>
      </w:pPr>
      <w:r>
        <w:rPr>
          <w:b/>
          <w:bCs/>
          <w:lang w:val="es-ES"/>
        </w:rPr>
        <w:t>Complejo Asistencial Universitario de León (CAULE)</w:t>
      </w:r>
    </w:p>
    <w:p w:rsidR="00FF0DCF" w:rsidRDefault="00FF0DCF">
      <w:pPr>
        <w:rPr>
          <w:b/>
          <w:bCs/>
          <w:lang w:val="es-ES"/>
        </w:rPr>
      </w:pPr>
    </w:p>
    <w:p w:rsidR="00410522" w:rsidRDefault="00410522" w:rsidP="009A69A6">
      <w:pPr>
        <w:spacing w:line="276" w:lineRule="auto"/>
        <w:rPr>
          <w:lang w:val="es-ES"/>
        </w:rPr>
      </w:pPr>
      <w:r w:rsidRPr="00410522">
        <w:rPr>
          <w:lang w:val="es-ES"/>
        </w:rPr>
        <w:t xml:space="preserve">Autor: Carlos Minguito Carazo. R4 Cardiología. </w:t>
      </w:r>
    </w:p>
    <w:p w:rsidR="006A3B15" w:rsidRDefault="006A3B15">
      <w:pPr>
        <w:rPr>
          <w:lang w:val="es-ES"/>
        </w:rPr>
      </w:pPr>
    </w:p>
    <w:p w:rsidR="006A3B15" w:rsidRDefault="006A3B15" w:rsidP="006A3B15">
      <w:pPr>
        <w:rPr>
          <w:lang w:val="es-ES"/>
        </w:rPr>
      </w:pPr>
    </w:p>
    <w:p w:rsidR="006A3B15" w:rsidRPr="00C54A4E" w:rsidRDefault="00C54A4E" w:rsidP="00C54A4E">
      <w:pPr>
        <w:rPr>
          <w:b/>
          <w:bCs/>
          <w:u w:val="single"/>
          <w:lang w:val="es-ES"/>
        </w:rPr>
      </w:pPr>
      <w:r>
        <w:rPr>
          <w:b/>
          <w:bCs/>
          <w:u w:val="single"/>
          <w:lang w:val="es-ES"/>
        </w:rPr>
        <w:t>1.</w:t>
      </w:r>
      <w:r w:rsidR="009D68AE">
        <w:rPr>
          <w:b/>
          <w:bCs/>
          <w:u w:val="single"/>
          <w:lang w:val="es-ES"/>
        </w:rPr>
        <w:t xml:space="preserve"> </w:t>
      </w:r>
      <w:r w:rsidR="006A3B15" w:rsidRPr="00C54A4E">
        <w:rPr>
          <w:b/>
          <w:bCs/>
          <w:u w:val="single"/>
          <w:lang w:val="es-ES"/>
        </w:rPr>
        <w:t xml:space="preserve">Introducción: Justificación del protocolo. </w:t>
      </w:r>
    </w:p>
    <w:p w:rsidR="0010789E" w:rsidRDefault="0010789E" w:rsidP="006A3B15">
      <w:pPr>
        <w:rPr>
          <w:lang w:val="es-ES"/>
        </w:rPr>
      </w:pPr>
    </w:p>
    <w:p w:rsidR="0010789E" w:rsidRDefault="0010789E" w:rsidP="00410522">
      <w:pPr>
        <w:spacing w:line="276" w:lineRule="auto"/>
        <w:jc w:val="both"/>
        <w:rPr>
          <w:lang w:val="es-ES"/>
        </w:rPr>
      </w:pPr>
      <w:r>
        <w:rPr>
          <w:lang w:val="es-ES"/>
        </w:rPr>
        <w:t xml:space="preserve">A pesar de no existir ninguna terapia farmacológica aprobada </w:t>
      </w:r>
      <w:r w:rsidR="0090132A">
        <w:rPr>
          <w:lang w:val="es-ES"/>
        </w:rPr>
        <w:t xml:space="preserve">por la FDA </w:t>
      </w:r>
      <w:r>
        <w:rPr>
          <w:lang w:val="es-ES"/>
        </w:rPr>
        <w:t xml:space="preserve">para el tratamiento del COVID-19, </w:t>
      </w:r>
      <w:r w:rsidR="0090132A">
        <w:rPr>
          <w:lang w:val="es-ES"/>
        </w:rPr>
        <w:t xml:space="preserve">algunos agentes parece que inhiben el crecimiento del SARS-CoV-2 in vitro. A la espera de ensayos clínicos randomizados que justifiquen el uso de estas terapias, </w:t>
      </w:r>
      <w:r w:rsidR="00AF12FE">
        <w:rPr>
          <w:lang w:val="es-ES"/>
        </w:rPr>
        <w:t>la comunidad médica</w:t>
      </w:r>
      <w:r w:rsidR="0090132A">
        <w:rPr>
          <w:lang w:val="es-ES"/>
        </w:rPr>
        <w:t xml:space="preserve"> que se enfrenta día a día a la pandemia global por COVID 19 ha comenzado a utilizarlas. Dentro de estas prometedoras terapias se encuentran fármacos antivirales como el </w:t>
      </w:r>
      <w:proofErr w:type="spellStart"/>
      <w:r w:rsidR="0090132A">
        <w:rPr>
          <w:lang w:val="es-ES"/>
        </w:rPr>
        <w:t>Ritonavir</w:t>
      </w:r>
      <w:proofErr w:type="spellEnd"/>
      <w:r w:rsidR="0090132A">
        <w:rPr>
          <w:lang w:val="es-ES"/>
        </w:rPr>
        <w:t>/</w:t>
      </w:r>
      <w:proofErr w:type="spellStart"/>
      <w:r w:rsidR="0090132A">
        <w:rPr>
          <w:lang w:val="es-ES"/>
        </w:rPr>
        <w:t>Lopinavir</w:t>
      </w:r>
      <w:proofErr w:type="spellEnd"/>
      <w:r w:rsidR="0090132A">
        <w:rPr>
          <w:lang w:val="es-ES"/>
        </w:rPr>
        <w:t xml:space="preserve"> (</w:t>
      </w:r>
      <w:proofErr w:type="spellStart"/>
      <w:r w:rsidR="0090132A">
        <w:rPr>
          <w:lang w:val="es-ES"/>
        </w:rPr>
        <w:t>Kaletra</w:t>
      </w:r>
      <w:proofErr w:type="spellEnd"/>
      <w:r w:rsidR="0090132A">
        <w:rPr>
          <w:lang w:val="es-ES"/>
        </w:rPr>
        <w:t xml:space="preserve">) o el </w:t>
      </w:r>
      <w:proofErr w:type="spellStart"/>
      <w:r w:rsidR="0090132A">
        <w:rPr>
          <w:lang w:val="es-ES"/>
        </w:rPr>
        <w:t>Remedesivir</w:t>
      </w:r>
      <w:proofErr w:type="spellEnd"/>
      <w:r w:rsidR="0090132A">
        <w:rPr>
          <w:lang w:val="es-ES"/>
        </w:rPr>
        <w:t xml:space="preserve">, antipalúdicos como la </w:t>
      </w:r>
      <w:proofErr w:type="spellStart"/>
      <w:r w:rsidR="0090132A">
        <w:rPr>
          <w:lang w:val="es-ES"/>
        </w:rPr>
        <w:t>cloroquina</w:t>
      </w:r>
      <w:proofErr w:type="spellEnd"/>
      <w:r w:rsidR="0090132A">
        <w:rPr>
          <w:lang w:val="es-ES"/>
        </w:rPr>
        <w:t xml:space="preserve"> o la </w:t>
      </w:r>
      <w:proofErr w:type="spellStart"/>
      <w:r w:rsidR="0090132A">
        <w:rPr>
          <w:lang w:val="es-ES"/>
        </w:rPr>
        <w:t>hidroxicloroquina</w:t>
      </w:r>
      <w:proofErr w:type="spellEnd"/>
      <w:r w:rsidR="0090132A">
        <w:rPr>
          <w:lang w:val="es-ES"/>
        </w:rPr>
        <w:t xml:space="preserve"> o antibióticos como la </w:t>
      </w:r>
      <w:proofErr w:type="spellStart"/>
      <w:r w:rsidR="0090132A">
        <w:rPr>
          <w:lang w:val="es-ES"/>
        </w:rPr>
        <w:t>Azitromicina</w:t>
      </w:r>
      <w:proofErr w:type="spellEnd"/>
      <w:r w:rsidR="0090132A">
        <w:rPr>
          <w:lang w:val="es-ES"/>
        </w:rPr>
        <w:t>. Todos estos fármacos tienen una cosa en común</w:t>
      </w:r>
      <w:r w:rsidR="002751A2">
        <w:rPr>
          <w:lang w:val="es-ES"/>
        </w:rPr>
        <w:t>, que es la prolongación del intervalo QT corregido por la frecuencia cardiaca (</w:t>
      </w:r>
      <w:proofErr w:type="spellStart"/>
      <w:r w:rsidR="002751A2">
        <w:rPr>
          <w:lang w:val="es-ES"/>
        </w:rPr>
        <w:t>QTc</w:t>
      </w:r>
      <w:proofErr w:type="spellEnd"/>
      <w:r w:rsidR="002751A2">
        <w:rPr>
          <w:lang w:val="es-ES"/>
        </w:rPr>
        <w:t>)</w:t>
      </w:r>
      <w:r w:rsidR="008F2A7A">
        <w:rPr>
          <w:lang w:val="es-ES"/>
        </w:rPr>
        <w:t xml:space="preserve"> debido a una inhibición de los canales de K</w:t>
      </w:r>
      <w:r w:rsidR="008F2A7A">
        <w:rPr>
          <w:vertAlign w:val="superscript"/>
          <w:lang w:val="es-ES"/>
        </w:rPr>
        <w:t>+</w:t>
      </w:r>
      <w:r w:rsidR="002751A2">
        <w:rPr>
          <w:lang w:val="es-ES"/>
        </w:rPr>
        <w:t xml:space="preserve"> y por tanto el aumento del riesgo de muerte súbita cardiaca secundaria a arritmias tipo </w:t>
      </w:r>
      <w:proofErr w:type="spellStart"/>
      <w:r w:rsidR="002751A2" w:rsidRPr="002751A2">
        <w:rPr>
          <w:i/>
          <w:iCs/>
          <w:lang w:val="es-ES"/>
        </w:rPr>
        <w:t>Torsade</w:t>
      </w:r>
      <w:proofErr w:type="spellEnd"/>
      <w:r w:rsidR="002751A2" w:rsidRPr="002751A2">
        <w:rPr>
          <w:i/>
          <w:iCs/>
          <w:lang w:val="es-ES"/>
        </w:rPr>
        <w:t xml:space="preserve"> de </w:t>
      </w:r>
      <w:proofErr w:type="spellStart"/>
      <w:r w:rsidR="002751A2" w:rsidRPr="002751A2">
        <w:rPr>
          <w:i/>
          <w:iCs/>
          <w:lang w:val="es-ES"/>
        </w:rPr>
        <w:t>Points</w:t>
      </w:r>
      <w:proofErr w:type="spellEnd"/>
      <w:r w:rsidR="0013679C">
        <w:rPr>
          <w:i/>
          <w:iCs/>
          <w:lang w:val="es-ES"/>
        </w:rPr>
        <w:t xml:space="preserve"> (</w:t>
      </w:r>
      <w:proofErr w:type="spellStart"/>
      <w:r w:rsidR="0013679C">
        <w:rPr>
          <w:i/>
          <w:iCs/>
          <w:lang w:val="es-ES"/>
        </w:rPr>
        <w:t>TdP</w:t>
      </w:r>
      <w:proofErr w:type="spellEnd"/>
      <w:r w:rsidR="0013679C">
        <w:rPr>
          <w:i/>
          <w:iCs/>
          <w:lang w:val="es-ES"/>
        </w:rPr>
        <w:t>)</w:t>
      </w:r>
      <w:r w:rsidR="002751A2">
        <w:rPr>
          <w:lang w:val="es-ES"/>
        </w:rPr>
        <w:t xml:space="preserve">, sobre todo si se utilizan en combinación. El objetivo de este protocolo es intentar unificar una estrategia conjunta en la valoración del riesgo por muerte súbita y en la necesidad </w:t>
      </w:r>
      <w:proofErr w:type="spellStart"/>
      <w:r w:rsidR="002751A2">
        <w:rPr>
          <w:lang w:val="es-ES"/>
        </w:rPr>
        <w:t>de</w:t>
      </w:r>
      <w:proofErr w:type="spellEnd"/>
      <w:r w:rsidR="002751A2">
        <w:rPr>
          <w:lang w:val="es-ES"/>
        </w:rPr>
        <w:t xml:space="preserve"> monitorización del intervalo </w:t>
      </w:r>
      <w:proofErr w:type="spellStart"/>
      <w:r w:rsidR="002751A2">
        <w:rPr>
          <w:lang w:val="es-ES"/>
        </w:rPr>
        <w:t>QTc</w:t>
      </w:r>
      <w:proofErr w:type="spellEnd"/>
      <w:r w:rsidR="002751A2">
        <w:rPr>
          <w:lang w:val="es-ES"/>
        </w:rPr>
        <w:t xml:space="preserve"> de pacientes que reciben estas terapias </w:t>
      </w:r>
      <w:r w:rsidR="008F2A7A">
        <w:rPr>
          <w:lang w:val="es-ES"/>
        </w:rPr>
        <w:t xml:space="preserve">por infección por COVID 19 o por sospecha de </w:t>
      </w:r>
      <w:proofErr w:type="gramStart"/>
      <w:r w:rsidR="008F2A7A">
        <w:rPr>
          <w:lang w:val="es-ES"/>
        </w:rPr>
        <w:t>la misma</w:t>
      </w:r>
      <w:proofErr w:type="gramEnd"/>
      <w:r w:rsidR="008F2A7A">
        <w:rPr>
          <w:lang w:val="es-ES"/>
        </w:rPr>
        <w:t xml:space="preserve"> </w:t>
      </w:r>
      <w:r w:rsidR="002751A2">
        <w:rPr>
          <w:lang w:val="es-ES"/>
        </w:rPr>
        <w:t xml:space="preserve">en nuestro centro hospitalario. </w:t>
      </w:r>
      <w:r w:rsidR="00410522">
        <w:rPr>
          <w:lang w:val="es-ES"/>
        </w:rPr>
        <w:t xml:space="preserve">Hay que tener en cuenta que la evidencia en relación con el COVID 19 es limitada y que este protocolo puede estar sujeto a modificación futura. </w:t>
      </w:r>
    </w:p>
    <w:p w:rsidR="00AF12FE" w:rsidRDefault="00AF12FE" w:rsidP="00410522">
      <w:pPr>
        <w:spacing w:line="276" w:lineRule="auto"/>
        <w:jc w:val="both"/>
        <w:rPr>
          <w:lang w:val="es-ES"/>
        </w:rPr>
      </w:pPr>
    </w:p>
    <w:p w:rsidR="00AF12FE" w:rsidRDefault="00AF12FE" w:rsidP="00410522">
      <w:pPr>
        <w:spacing w:line="276" w:lineRule="auto"/>
        <w:jc w:val="both"/>
        <w:rPr>
          <w:lang w:val="es-ES"/>
        </w:rPr>
      </w:pPr>
      <w:r>
        <w:rPr>
          <w:lang w:val="es-ES"/>
        </w:rPr>
        <w:t xml:space="preserve">Este protocolo se ha realizado en base a los siguientes supuestos: </w:t>
      </w:r>
    </w:p>
    <w:p w:rsidR="00AF12FE" w:rsidRDefault="00AF12FE" w:rsidP="00410522">
      <w:pPr>
        <w:pStyle w:val="Prrafodelista"/>
        <w:numPr>
          <w:ilvl w:val="0"/>
          <w:numId w:val="8"/>
        </w:numPr>
        <w:spacing w:line="276" w:lineRule="auto"/>
        <w:jc w:val="both"/>
        <w:rPr>
          <w:lang w:val="es-ES"/>
        </w:rPr>
      </w:pPr>
      <w:r>
        <w:rPr>
          <w:lang w:val="es-ES"/>
        </w:rPr>
        <w:t>La muerte súbita debida a un</w:t>
      </w:r>
      <w:r w:rsidR="0013679C">
        <w:rPr>
          <w:lang w:val="es-ES"/>
        </w:rPr>
        <w:t xml:space="preserve">a </w:t>
      </w:r>
      <w:proofErr w:type="spellStart"/>
      <w:r w:rsidR="0013679C">
        <w:rPr>
          <w:lang w:val="es-ES"/>
        </w:rPr>
        <w:t>TdP</w:t>
      </w:r>
      <w:proofErr w:type="spellEnd"/>
      <w:r w:rsidR="0013679C">
        <w:rPr>
          <w:lang w:val="es-ES"/>
        </w:rPr>
        <w:t xml:space="preserve"> por</w:t>
      </w:r>
      <w:r>
        <w:rPr>
          <w:lang w:val="es-ES"/>
        </w:rPr>
        <w:t xml:space="preserve"> QT prolongado es muy baja en la población general.</w:t>
      </w:r>
    </w:p>
    <w:p w:rsidR="00AF12FE" w:rsidRDefault="00AF12FE" w:rsidP="00410522">
      <w:pPr>
        <w:pStyle w:val="Prrafodelista"/>
        <w:numPr>
          <w:ilvl w:val="0"/>
          <w:numId w:val="8"/>
        </w:numPr>
        <w:spacing w:line="276" w:lineRule="auto"/>
        <w:jc w:val="both"/>
        <w:rPr>
          <w:lang w:val="es-ES"/>
        </w:rPr>
      </w:pPr>
      <w:r>
        <w:rPr>
          <w:lang w:val="es-ES"/>
        </w:rPr>
        <w:t xml:space="preserve">Este riesgo aumenta con el </w:t>
      </w:r>
      <w:r w:rsidR="008F2A7A">
        <w:rPr>
          <w:lang w:val="es-ES"/>
        </w:rPr>
        <w:t>alargamiento</w:t>
      </w:r>
      <w:r>
        <w:rPr>
          <w:lang w:val="es-ES"/>
        </w:rPr>
        <w:t xml:space="preserve"> del </w:t>
      </w:r>
      <w:proofErr w:type="spellStart"/>
      <w:r>
        <w:rPr>
          <w:lang w:val="es-ES"/>
        </w:rPr>
        <w:t>QTc</w:t>
      </w:r>
      <w:proofErr w:type="spellEnd"/>
      <w:r>
        <w:rPr>
          <w:lang w:val="es-ES"/>
        </w:rPr>
        <w:t xml:space="preserve"> secundario a la administración de varias terapias combinadas</w:t>
      </w:r>
      <w:r w:rsidR="0013679C">
        <w:rPr>
          <w:lang w:val="es-ES"/>
        </w:rPr>
        <w:t>, sin embargo, este riesgo puede ser muy pequeño en comparación con el beneficio de aplicar dicho tratamiento.</w:t>
      </w:r>
      <w:r>
        <w:rPr>
          <w:lang w:val="es-ES"/>
        </w:rPr>
        <w:t xml:space="preserve"> </w:t>
      </w:r>
    </w:p>
    <w:p w:rsidR="0013679C" w:rsidRDefault="0013679C" w:rsidP="00410522">
      <w:pPr>
        <w:pStyle w:val="Prrafodelista"/>
        <w:numPr>
          <w:ilvl w:val="0"/>
          <w:numId w:val="8"/>
        </w:numPr>
        <w:spacing w:line="276" w:lineRule="auto"/>
        <w:jc w:val="both"/>
        <w:rPr>
          <w:lang w:val="es-ES"/>
        </w:rPr>
      </w:pPr>
      <w:r>
        <w:rPr>
          <w:lang w:val="es-ES"/>
        </w:rPr>
        <w:t>La duración del tratamiento para el COVID 19 es la mayor parte de las veces, corta.</w:t>
      </w:r>
    </w:p>
    <w:p w:rsidR="00AF12FE" w:rsidRDefault="00AF12FE" w:rsidP="00410522">
      <w:pPr>
        <w:pStyle w:val="Prrafodelista"/>
        <w:numPr>
          <w:ilvl w:val="0"/>
          <w:numId w:val="8"/>
        </w:numPr>
        <w:spacing w:line="276" w:lineRule="auto"/>
        <w:jc w:val="both"/>
        <w:rPr>
          <w:lang w:val="es-ES"/>
        </w:rPr>
      </w:pPr>
      <w:r w:rsidRPr="00AF12FE">
        <w:rPr>
          <w:b/>
          <w:bCs/>
          <w:lang w:val="es-ES"/>
        </w:rPr>
        <w:t>No existe ningún fármaco</w:t>
      </w:r>
      <w:r>
        <w:rPr>
          <w:lang w:val="es-ES"/>
        </w:rPr>
        <w:t xml:space="preserve"> testado con un ensayo clínico randomizado que haya demostrado disminuir la mortalidad por COVID 19, de hecho, algunos fármacos utilizados</w:t>
      </w:r>
      <w:r w:rsidR="0013679C">
        <w:rPr>
          <w:lang w:val="es-ES"/>
        </w:rPr>
        <w:t xml:space="preserve"> de manera rutinaria</w:t>
      </w:r>
      <w:r>
        <w:rPr>
          <w:lang w:val="es-ES"/>
        </w:rPr>
        <w:t xml:space="preserve"> no han demostrado su eficacia</w:t>
      </w:r>
      <w:r w:rsidR="008F2A7A">
        <w:rPr>
          <w:lang w:val="es-ES"/>
        </w:rPr>
        <w:t xml:space="preserve"> (</w:t>
      </w:r>
      <w:proofErr w:type="spellStart"/>
      <w:r w:rsidR="008F2A7A">
        <w:rPr>
          <w:lang w:val="es-ES"/>
        </w:rPr>
        <w:t>Lopinavir</w:t>
      </w:r>
      <w:proofErr w:type="spellEnd"/>
      <w:r w:rsidR="008F2A7A">
        <w:rPr>
          <w:lang w:val="es-ES"/>
        </w:rPr>
        <w:t>/</w:t>
      </w:r>
      <w:proofErr w:type="spellStart"/>
      <w:r w:rsidR="008F2A7A">
        <w:rPr>
          <w:lang w:val="es-ES"/>
        </w:rPr>
        <w:t>Ritonavir</w:t>
      </w:r>
      <w:proofErr w:type="spellEnd"/>
      <w:r w:rsidR="008F2A7A">
        <w:rPr>
          <w:lang w:val="es-ES"/>
        </w:rPr>
        <w:t>).</w:t>
      </w:r>
      <w:r>
        <w:rPr>
          <w:lang w:val="es-ES"/>
        </w:rPr>
        <w:t xml:space="preserve"> </w:t>
      </w:r>
    </w:p>
    <w:p w:rsidR="00AF12FE" w:rsidRDefault="00AF12FE" w:rsidP="00410522">
      <w:pPr>
        <w:pStyle w:val="Prrafodelista"/>
        <w:numPr>
          <w:ilvl w:val="0"/>
          <w:numId w:val="8"/>
        </w:numPr>
        <w:spacing w:line="276" w:lineRule="auto"/>
        <w:jc w:val="both"/>
        <w:rPr>
          <w:lang w:val="es-ES"/>
        </w:rPr>
      </w:pPr>
      <w:r w:rsidRPr="00AF12FE">
        <w:rPr>
          <w:lang w:val="es-ES"/>
        </w:rPr>
        <w:lastRenderedPageBreak/>
        <w:t>Rea</w:t>
      </w:r>
      <w:r>
        <w:rPr>
          <w:lang w:val="es-ES"/>
        </w:rPr>
        <w:t xml:space="preserve">lizar electrocardiogramas (ECG) seriados diarios a todos los pacientes supone un aumento del riesgo de exposición del personal sanitario, así como un consumo de recursos. </w:t>
      </w:r>
    </w:p>
    <w:p w:rsidR="00AF12FE" w:rsidRDefault="00AF12FE" w:rsidP="00410522">
      <w:pPr>
        <w:pStyle w:val="Prrafodelista"/>
        <w:numPr>
          <w:ilvl w:val="0"/>
          <w:numId w:val="8"/>
        </w:numPr>
        <w:spacing w:line="276" w:lineRule="auto"/>
        <w:jc w:val="both"/>
        <w:rPr>
          <w:lang w:val="es-ES"/>
        </w:rPr>
      </w:pPr>
      <w:r>
        <w:rPr>
          <w:lang w:val="es-ES"/>
        </w:rPr>
        <w:t>La medición del intervalo QT esta sujeta a errores de medida</w:t>
      </w:r>
      <w:r w:rsidR="008E4F37">
        <w:rPr>
          <w:lang w:val="es-ES"/>
        </w:rPr>
        <w:t xml:space="preserve">, habiendo arbitrariedad en la manera de medirlo, por lo que es necesario realizarlo de manera estandarizada por todo el personal médico. </w:t>
      </w:r>
    </w:p>
    <w:p w:rsidR="00AF12FE" w:rsidRDefault="00AF12FE" w:rsidP="00410522">
      <w:pPr>
        <w:pStyle w:val="Prrafodelista"/>
        <w:numPr>
          <w:ilvl w:val="0"/>
          <w:numId w:val="8"/>
        </w:numPr>
        <w:spacing w:line="276" w:lineRule="auto"/>
        <w:jc w:val="both"/>
        <w:rPr>
          <w:lang w:val="es-ES"/>
        </w:rPr>
      </w:pPr>
      <w:r>
        <w:rPr>
          <w:lang w:val="es-ES"/>
        </w:rPr>
        <w:t xml:space="preserve">Es clave identificar a pacientes en riesgo de forma basal y a aquellos pacientes con mayor susceptibilidad de alargar el </w:t>
      </w:r>
      <w:proofErr w:type="spellStart"/>
      <w:r>
        <w:rPr>
          <w:lang w:val="es-ES"/>
        </w:rPr>
        <w:t>QT</w:t>
      </w:r>
      <w:r w:rsidR="00410522">
        <w:rPr>
          <w:lang w:val="es-ES"/>
        </w:rPr>
        <w:t>c</w:t>
      </w:r>
      <w:proofErr w:type="spellEnd"/>
      <w:r>
        <w:rPr>
          <w:lang w:val="es-ES"/>
        </w:rPr>
        <w:t xml:space="preserve"> con el tratamiento</w:t>
      </w:r>
      <w:r w:rsidR="008F2A7A">
        <w:rPr>
          <w:lang w:val="es-ES"/>
        </w:rPr>
        <w:t xml:space="preserve">, para minimizar el riesgo de </w:t>
      </w:r>
      <w:proofErr w:type="spellStart"/>
      <w:r w:rsidR="008F2A7A">
        <w:rPr>
          <w:lang w:val="es-ES"/>
        </w:rPr>
        <w:t>TdP</w:t>
      </w:r>
      <w:proofErr w:type="spellEnd"/>
      <w:r w:rsidR="008F2A7A">
        <w:rPr>
          <w:lang w:val="es-ES"/>
        </w:rPr>
        <w:t>/muerte súbita.</w:t>
      </w:r>
    </w:p>
    <w:p w:rsidR="0013679C" w:rsidRPr="00AF12FE" w:rsidRDefault="0013679C" w:rsidP="00410522">
      <w:pPr>
        <w:pStyle w:val="Prrafodelista"/>
        <w:numPr>
          <w:ilvl w:val="0"/>
          <w:numId w:val="8"/>
        </w:numPr>
        <w:spacing w:line="276" w:lineRule="auto"/>
        <w:jc w:val="both"/>
        <w:rPr>
          <w:lang w:val="es-ES"/>
        </w:rPr>
      </w:pPr>
      <w:r>
        <w:rPr>
          <w:lang w:val="es-ES"/>
        </w:rPr>
        <w:t xml:space="preserve">El objetivo de este protocolo, por tanto, </w:t>
      </w:r>
      <w:r w:rsidRPr="0013679C">
        <w:rPr>
          <w:b/>
          <w:bCs/>
          <w:lang w:val="es-ES"/>
        </w:rPr>
        <w:t>no es identificar pacientes que no pueden recibir el tratamiento, sino a aquellos en riesgo de muerte súbita para tomar medidas preventivas</w:t>
      </w:r>
      <w:r>
        <w:rPr>
          <w:lang w:val="es-ES"/>
        </w:rPr>
        <w:t xml:space="preserve"> y realizar una monitorización más estrecha.</w:t>
      </w:r>
    </w:p>
    <w:p w:rsidR="006A3B15" w:rsidRDefault="006A3B15" w:rsidP="0090132A">
      <w:pPr>
        <w:jc w:val="both"/>
        <w:rPr>
          <w:lang w:val="es-ES"/>
        </w:rPr>
      </w:pPr>
    </w:p>
    <w:p w:rsidR="00C54A4E" w:rsidRDefault="00C54A4E" w:rsidP="0090132A">
      <w:pPr>
        <w:jc w:val="both"/>
        <w:rPr>
          <w:lang w:val="es-ES"/>
        </w:rPr>
      </w:pPr>
    </w:p>
    <w:p w:rsidR="00C54A4E" w:rsidRDefault="00C54A4E" w:rsidP="0090132A">
      <w:pPr>
        <w:jc w:val="both"/>
        <w:rPr>
          <w:lang w:val="es-ES"/>
        </w:rPr>
      </w:pPr>
    </w:p>
    <w:p w:rsidR="00C54A4E" w:rsidRDefault="00C54A4E" w:rsidP="0090132A">
      <w:pPr>
        <w:jc w:val="both"/>
        <w:rPr>
          <w:lang w:val="es-ES"/>
        </w:rPr>
      </w:pPr>
    </w:p>
    <w:p w:rsidR="002751A2" w:rsidRPr="009D68AE" w:rsidRDefault="00C54A4E" w:rsidP="0090132A">
      <w:pPr>
        <w:jc w:val="both"/>
        <w:rPr>
          <w:b/>
          <w:bCs/>
          <w:u w:val="single"/>
          <w:lang w:val="es-ES"/>
        </w:rPr>
      </w:pPr>
      <w:r w:rsidRPr="009D68AE">
        <w:rPr>
          <w:b/>
          <w:bCs/>
          <w:u w:val="single"/>
          <w:lang w:val="es-ES"/>
        </w:rPr>
        <w:t xml:space="preserve">2. </w:t>
      </w:r>
      <w:r w:rsidR="00A72F9F" w:rsidRPr="009D68AE">
        <w:rPr>
          <w:b/>
          <w:bCs/>
          <w:u w:val="single"/>
          <w:lang w:val="es-ES"/>
        </w:rPr>
        <w:t xml:space="preserve">Factores de riesgo asociados a </w:t>
      </w:r>
      <w:proofErr w:type="spellStart"/>
      <w:r w:rsidR="00A72F9F" w:rsidRPr="009D68AE">
        <w:rPr>
          <w:b/>
          <w:bCs/>
          <w:u w:val="single"/>
          <w:lang w:val="es-ES"/>
        </w:rPr>
        <w:t>QTc</w:t>
      </w:r>
      <w:proofErr w:type="spellEnd"/>
      <w:r w:rsidR="00A72F9F" w:rsidRPr="009D68AE">
        <w:rPr>
          <w:b/>
          <w:bCs/>
          <w:u w:val="single"/>
          <w:lang w:val="es-ES"/>
        </w:rPr>
        <w:t xml:space="preserve"> largo:</w:t>
      </w:r>
    </w:p>
    <w:p w:rsidR="00C54A4E" w:rsidRDefault="00C54A4E" w:rsidP="0090132A">
      <w:pPr>
        <w:jc w:val="both"/>
        <w:rPr>
          <w:lang w:val="es-ES"/>
        </w:rPr>
      </w:pPr>
    </w:p>
    <w:tbl>
      <w:tblPr>
        <w:tblStyle w:val="Tablaconcuadrcula4-nfasis1"/>
        <w:tblW w:w="8628" w:type="dxa"/>
        <w:tblLook w:val="04A0" w:firstRow="1" w:lastRow="0" w:firstColumn="1" w:lastColumn="0" w:noHBand="0" w:noVBand="1"/>
      </w:tblPr>
      <w:tblGrid>
        <w:gridCol w:w="4314"/>
        <w:gridCol w:w="4314"/>
      </w:tblGrid>
      <w:tr w:rsidR="00C54A4E" w:rsidTr="007D18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4" w:type="dxa"/>
          </w:tcPr>
          <w:p w:rsidR="00C54A4E" w:rsidRDefault="00C54A4E" w:rsidP="0090132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Modificables</w:t>
            </w:r>
          </w:p>
        </w:tc>
        <w:tc>
          <w:tcPr>
            <w:tcW w:w="4314" w:type="dxa"/>
          </w:tcPr>
          <w:p w:rsidR="00C54A4E" w:rsidRDefault="00C54A4E" w:rsidP="0090132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No modificables</w:t>
            </w:r>
          </w:p>
        </w:tc>
      </w:tr>
      <w:tr w:rsidR="00C54A4E" w:rsidTr="007D1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4" w:type="dxa"/>
          </w:tcPr>
          <w:p w:rsidR="00C54A4E" w:rsidRPr="007D18B3" w:rsidRDefault="00C54A4E" w:rsidP="0090132A">
            <w:pPr>
              <w:jc w:val="both"/>
              <w:rPr>
                <w:b w:val="0"/>
                <w:bCs w:val="0"/>
                <w:lang w:val="es-ES"/>
              </w:rPr>
            </w:pPr>
            <w:r w:rsidRPr="007D18B3">
              <w:rPr>
                <w:b w:val="0"/>
                <w:bCs w:val="0"/>
                <w:lang w:val="es-ES"/>
              </w:rPr>
              <w:t>Hipocalcemia</w:t>
            </w:r>
          </w:p>
        </w:tc>
        <w:tc>
          <w:tcPr>
            <w:tcW w:w="4314" w:type="dxa"/>
          </w:tcPr>
          <w:p w:rsidR="00C54A4E" w:rsidRPr="007D18B3" w:rsidRDefault="00C54A4E" w:rsidP="009013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7D18B3">
              <w:rPr>
                <w:lang w:val="es-ES"/>
              </w:rPr>
              <w:t>Síndrome coronario agudo</w:t>
            </w:r>
          </w:p>
        </w:tc>
      </w:tr>
      <w:tr w:rsidR="00C54A4E" w:rsidTr="007D18B3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4" w:type="dxa"/>
          </w:tcPr>
          <w:p w:rsidR="00C54A4E" w:rsidRPr="007D18B3" w:rsidRDefault="00C54A4E" w:rsidP="0090132A">
            <w:pPr>
              <w:jc w:val="both"/>
              <w:rPr>
                <w:b w:val="0"/>
                <w:bCs w:val="0"/>
                <w:lang w:val="es-ES"/>
              </w:rPr>
            </w:pPr>
            <w:proofErr w:type="spellStart"/>
            <w:r w:rsidRPr="007D18B3">
              <w:rPr>
                <w:b w:val="0"/>
                <w:bCs w:val="0"/>
                <w:lang w:val="es-ES"/>
              </w:rPr>
              <w:t>Hipopotasemia</w:t>
            </w:r>
            <w:proofErr w:type="spellEnd"/>
          </w:p>
        </w:tc>
        <w:tc>
          <w:tcPr>
            <w:tcW w:w="4314" w:type="dxa"/>
          </w:tcPr>
          <w:p w:rsidR="00C54A4E" w:rsidRPr="007D18B3" w:rsidRDefault="00C54A4E" w:rsidP="009013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7D18B3">
              <w:rPr>
                <w:lang w:val="es-ES"/>
              </w:rPr>
              <w:t>Anorexia nerviosa</w:t>
            </w:r>
          </w:p>
        </w:tc>
      </w:tr>
      <w:tr w:rsidR="00C54A4E" w:rsidTr="007D1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4" w:type="dxa"/>
          </w:tcPr>
          <w:p w:rsidR="00C54A4E" w:rsidRPr="007D18B3" w:rsidRDefault="00C54A4E" w:rsidP="0090132A">
            <w:pPr>
              <w:jc w:val="both"/>
              <w:rPr>
                <w:b w:val="0"/>
                <w:bCs w:val="0"/>
                <w:lang w:val="es-ES"/>
              </w:rPr>
            </w:pPr>
            <w:proofErr w:type="spellStart"/>
            <w:r w:rsidRPr="007D18B3">
              <w:rPr>
                <w:b w:val="0"/>
                <w:bCs w:val="0"/>
                <w:lang w:val="es-ES"/>
              </w:rPr>
              <w:t>Hipomagnesemia</w:t>
            </w:r>
            <w:proofErr w:type="spellEnd"/>
          </w:p>
        </w:tc>
        <w:tc>
          <w:tcPr>
            <w:tcW w:w="4314" w:type="dxa"/>
          </w:tcPr>
          <w:p w:rsidR="00C54A4E" w:rsidRPr="007D18B3" w:rsidRDefault="00C54A4E" w:rsidP="009013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 w:rsidRPr="007D18B3">
              <w:rPr>
                <w:lang w:val="es-ES"/>
              </w:rPr>
              <w:t>Bradiarritmias</w:t>
            </w:r>
            <w:proofErr w:type="spellEnd"/>
            <w:r w:rsidRPr="007D18B3">
              <w:rPr>
                <w:lang w:val="es-ES"/>
              </w:rPr>
              <w:t xml:space="preserve"> (&lt;45 </w:t>
            </w:r>
            <w:proofErr w:type="spellStart"/>
            <w:r w:rsidRPr="007D18B3">
              <w:rPr>
                <w:lang w:val="es-ES"/>
              </w:rPr>
              <w:t>lpm</w:t>
            </w:r>
            <w:proofErr w:type="spellEnd"/>
            <w:r w:rsidRPr="007D18B3">
              <w:rPr>
                <w:lang w:val="es-ES"/>
              </w:rPr>
              <w:t>)</w:t>
            </w:r>
          </w:p>
        </w:tc>
      </w:tr>
      <w:tr w:rsidR="00C54A4E" w:rsidTr="007D18B3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4" w:type="dxa"/>
          </w:tcPr>
          <w:p w:rsidR="00C54A4E" w:rsidRPr="007D18B3" w:rsidRDefault="00C54A4E" w:rsidP="0090132A">
            <w:pPr>
              <w:jc w:val="both"/>
              <w:rPr>
                <w:b w:val="0"/>
                <w:bCs w:val="0"/>
                <w:lang w:val="es-ES"/>
              </w:rPr>
            </w:pPr>
            <w:r w:rsidRPr="007D18B3">
              <w:rPr>
                <w:b w:val="0"/>
                <w:bCs w:val="0"/>
                <w:lang w:val="es-ES"/>
              </w:rPr>
              <w:t xml:space="preserve">Uso de </w:t>
            </w:r>
            <m:oMath>
              <m:r>
                <w:rPr>
                  <w:rFonts w:ascii="Cambria Math" w:hAnsi="Cambria Math"/>
                  <w:lang w:val="es-ES"/>
                </w:rPr>
                <m:t>≥</m:t>
              </m:r>
            </m:oMath>
            <w:r w:rsidRPr="007D18B3">
              <w:rPr>
                <w:rFonts w:eastAsiaTheme="minorEastAsia"/>
                <w:b w:val="0"/>
                <w:bCs w:val="0"/>
                <w:lang w:val="es-ES"/>
              </w:rPr>
              <w:t xml:space="preserve"> 1 medi</w:t>
            </w:r>
            <w:proofErr w:type="spellStart"/>
            <w:r w:rsidRPr="007D18B3">
              <w:rPr>
                <w:rFonts w:eastAsiaTheme="minorEastAsia"/>
                <w:b w:val="0"/>
                <w:bCs w:val="0"/>
                <w:lang w:val="es-ES"/>
              </w:rPr>
              <w:t>cación</w:t>
            </w:r>
            <w:proofErr w:type="spellEnd"/>
            <w:r w:rsidRPr="007D18B3">
              <w:rPr>
                <w:rFonts w:eastAsiaTheme="minorEastAsia"/>
                <w:b w:val="0"/>
                <w:bCs w:val="0"/>
                <w:lang w:val="es-ES"/>
              </w:rPr>
              <w:t xml:space="preserve"> que alargue QT</w:t>
            </w:r>
          </w:p>
        </w:tc>
        <w:tc>
          <w:tcPr>
            <w:tcW w:w="4314" w:type="dxa"/>
          </w:tcPr>
          <w:p w:rsidR="00C54A4E" w:rsidRPr="007D18B3" w:rsidRDefault="00C54A4E" w:rsidP="009013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7D18B3">
              <w:rPr>
                <w:lang w:val="es-ES"/>
              </w:rPr>
              <w:t>Insuficiencia cardiaca (FEVI &lt; 40%)</w:t>
            </w:r>
          </w:p>
        </w:tc>
      </w:tr>
      <w:tr w:rsidR="00C54A4E" w:rsidTr="007D1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4" w:type="dxa"/>
          </w:tcPr>
          <w:p w:rsidR="00C54A4E" w:rsidRPr="007D18B3" w:rsidRDefault="00C54A4E" w:rsidP="0090132A">
            <w:pPr>
              <w:jc w:val="both"/>
              <w:rPr>
                <w:b w:val="0"/>
                <w:bCs w:val="0"/>
                <w:lang w:val="es-ES"/>
              </w:rPr>
            </w:pPr>
          </w:p>
        </w:tc>
        <w:tc>
          <w:tcPr>
            <w:tcW w:w="4314" w:type="dxa"/>
          </w:tcPr>
          <w:p w:rsidR="00C54A4E" w:rsidRPr="007D18B3" w:rsidRDefault="00C54A4E" w:rsidP="009013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7D18B3">
              <w:rPr>
                <w:lang w:val="es-ES"/>
              </w:rPr>
              <w:t>QT largo congénito</w:t>
            </w:r>
          </w:p>
        </w:tc>
      </w:tr>
      <w:tr w:rsidR="00C54A4E" w:rsidTr="007D18B3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4" w:type="dxa"/>
          </w:tcPr>
          <w:p w:rsidR="00C54A4E" w:rsidRPr="007D18B3" w:rsidRDefault="00C54A4E" w:rsidP="0090132A">
            <w:pPr>
              <w:jc w:val="both"/>
              <w:rPr>
                <w:b w:val="0"/>
                <w:bCs w:val="0"/>
                <w:lang w:val="es-ES"/>
              </w:rPr>
            </w:pPr>
          </w:p>
        </w:tc>
        <w:tc>
          <w:tcPr>
            <w:tcW w:w="4314" w:type="dxa"/>
          </w:tcPr>
          <w:p w:rsidR="00C54A4E" w:rsidRPr="007D18B3" w:rsidRDefault="00C54A4E" w:rsidP="009013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7D18B3">
              <w:rPr>
                <w:lang w:val="es-ES"/>
              </w:rPr>
              <w:t>Insuficiencia renal (diálisis)</w:t>
            </w:r>
          </w:p>
        </w:tc>
      </w:tr>
      <w:tr w:rsidR="00C54A4E" w:rsidTr="007D1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4" w:type="dxa"/>
          </w:tcPr>
          <w:p w:rsidR="00C54A4E" w:rsidRPr="007D18B3" w:rsidRDefault="00C54A4E" w:rsidP="0090132A">
            <w:pPr>
              <w:jc w:val="both"/>
              <w:rPr>
                <w:b w:val="0"/>
                <w:bCs w:val="0"/>
                <w:lang w:val="es-ES"/>
              </w:rPr>
            </w:pPr>
          </w:p>
        </w:tc>
        <w:tc>
          <w:tcPr>
            <w:tcW w:w="4314" w:type="dxa"/>
          </w:tcPr>
          <w:p w:rsidR="00C54A4E" w:rsidRPr="007D18B3" w:rsidRDefault="00C54A4E" w:rsidP="009013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7D18B3">
              <w:rPr>
                <w:lang w:val="es-ES"/>
              </w:rPr>
              <w:t>Diabetes Mellitus</w:t>
            </w:r>
          </w:p>
        </w:tc>
      </w:tr>
      <w:tr w:rsidR="00C54A4E" w:rsidTr="007D18B3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4" w:type="dxa"/>
          </w:tcPr>
          <w:p w:rsidR="00C54A4E" w:rsidRPr="007D18B3" w:rsidRDefault="00C54A4E" w:rsidP="008371DC">
            <w:pPr>
              <w:jc w:val="both"/>
              <w:rPr>
                <w:b w:val="0"/>
                <w:bCs w:val="0"/>
                <w:lang w:val="es-ES"/>
              </w:rPr>
            </w:pPr>
          </w:p>
        </w:tc>
        <w:tc>
          <w:tcPr>
            <w:tcW w:w="4314" w:type="dxa"/>
          </w:tcPr>
          <w:p w:rsidR="00C54A4E" w:rsidRPr="007D18B3" w:rsidRDefault="00C54A4E" w:rsidP="00837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7D18B3">
              <w:rPr>
                <w:lang w:val="es-ES"/>
              </w:rPr>
              <w:t>Miocardiopatía hipertrófica</w:t>
            </w:r>
          </w:p>
        </w:tc>
      </w:tr>
      <w:tr w:rsidR="00C54A4E" w:rsidTr="007D1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4" w:type="dxa"/>
          </w:tcPr>
          <w:p w:rsidR="00C54A4E" w:rsidRPr="007D18B3" w:rsidRDefault="00C54A4E" w:rsidP="008371DC">
            <w:pPr>
              <w:jc w:val="both"/>
              <w:rPr>
                <w:b w:val="0"/>
                <w:bCs w:val="0"/>
                <w:lang w:val="es-ES"/>
              </w:rPr>
            </w:pPr>
          </w:p>
        </w:tc>
        <w:tc>
          <w:tcPr>
            <w:tcW w:w="4314" w:type="dxa"/>
          </w:tcPr>
          <w:p w:rsidR="00C54A4E" w:rsidRPr="007D18B3" w:rsidRDefault="00C54A4E" w:rsidP="008371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7D18B3">
              <w:rPr>
                <w:lang w:val="es-ES"/>
              </w:rPr>
              <w:t>Hipoglucemia</w:t>
            </w:r>
          </w:p>
        </w:tc>
      </w:tr>
      <w:tr w:rsidR="00C54A4E" w:rsidTr="007D18B3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4" w:type="dxa"/>
          </w:tcPr>
          <w:p w:rsidR="00C54A4E" w:rsidRPr="007D18B3" w:rsidRDefault="00C54A4E" w:rsidP="008371DC">
            <w:pPr>
              <w:jc w:val="both"/>
              <w:rPr>
                <w:b w:val="0"/>
                <w:bCs w:val="0"/>
                <w:lang w:val="es-ES"/>
              </w:rPr>
            </w:pPr>
          </w:p>
        </w:tc>
        <w:tc>
          <w:tcPr>
            <w:tcW w:w="4314" w:type="dxa"/>
          </w:tcPr>
          <w:p w:rsidR="00C54A4E" w:rsidRPr="007D18B3" w:rsidRDefault="00C54A4E" w:rsidP="00837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7D18B3">
              <w:rPr>
                <w:lang w:val="es-ES"/>
              </w:rPr>
              <w:t>Feocromocitoma</w:t>
            </w:r>
          </w:p>
        </w:tc>
      </w:tr>
      <w:tr w:rsidR="00C54A4E" w:rsidTr="007D1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4" w:type="dxa"/>
          </w:tcPr>
          <w:p w:rsidR="00C54A4E" w:rsidRPr="007D18B3" w:rsidRDefault="00C54A4E" w:rsidP="008371DC">
            <w:pPr>
              <w:jc w:val="both"/>
              <w:rPr>
                <w:b w:val="0"/>
                <w:bCs w:val="0"/>
                <w:lang w:val="es-ES"/>
              </w:rPr>
            </w:pPr>
          </w:p>
        </w:tc>
        <w:tc>
          <w:tcPr>
            <w:tcW w:w="4314" w:type="dxa"/>
          </w:tcPr>
          <w:p w:rsidR="00C54A4E" w:rsidRPr="007D18B3" w:rsidRDefault="00C54A4E" w:rsidP="008371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7D18B3">
              <w:rPr>
                <w:lang w:val="es-ES"/>
              </w:rPr>
              <w:t xml:space="preserve">Periodo </w:t>
            </w:r>
            <w:proofErr w:type="spellStart"/>
            <w:r w:rsidRPr="007D18B3">
              <w:rPr>
                <w:lang w:val="es-ES"/>
              </w:rPr>
              <w:t>postparada</w:t>
            </w:r>
            <w:proofErr w:type="spellEnd"/>
            <w:r w:rsidRPr="007D18B3">
              <w:rPr>
                <w:lang w:val="es-ES"/>
              </w:rPr>
              <w:t xml:space="preserve"> cardiaca</w:t>
            </w:r>
          </w:p>
        </w:tc>
      </w:tr>
      <w:tr w:rsidR="00C54A4E" w:rsidTr="007D18B3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4" w:type="dxa"/>
          </w:tcPr>
          <w:p w:rsidR="00C54A4E" w:rsidRPr="007D18B3" w:rsidRDefault="00C54A4E" w:rsidP="008371DC">
            <w:pPr>
              <w:jc w:val="both"/>
              <w:rPr>
                <w:b w:val="0"/>
                <w:bCs w:val="0"/>
                <w:lang w:val="es-ES"/>
              </w:rPr>
            </w:pPr>
          </w:p>
        </w:tc>
        <w:tc>
          <w:tcPr>
            <w:tcW w:w="4314" w:type="dxa"/>
          </w:tcPr>
          <w:p w:rsidR="00C54A4E" w:rsidRPr="007D18B3" w:rsidRDefault="00C54A4E" w:rsidP="00837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7D18B3">
              <w:rPr>
                <w:lang w:val="es-ES"/>
              </w:rPr>
              <w:t>Ictus o hemorragia intracraneal</w:t>
            </w:r>
          </w:p>
        </w:tc>
      </w:tr>
      <w:tr w:rsidR="00C54A4E" w:rsidTr="007D1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4" w:type="dxa"/>
          </w:tcPr>
          <w:p w:rsidR="00C54A4E" w:rsidRPr="007D18B3" w:rsidRDefault="00C54A4E" w:rsidP="0090132A">
            <w:pPr>
              <w:jc w:val="both"/>
              <w:rPr>
                <w:b w:val="0"/>
                <w:bCs w:val="0"/>
                <w:lang w:val="es-ES"/>
              </w:rPr>
            </w:pPr>
          </w:p>
        </w:tc>
        <w:tc>
          <w:tcPr>
            <w:tcW w:w="4314" w:type="dxa"/>
          </w:tcPr>
          <w:p w:rsidR="00C54A4E" w:rsidRPr="007D18B3" w:rsidRDefault="00C54A4E" w:rsidP="009013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7D18B3">
              <w:rPr>
                <w:lang w:val="es-ES"/>
              </w:rPr>
              <w:t>Historia de prolongación de QT</w:t>
            </w:r>
          </w:p>
        </w:tc>
      </w:tr>
      <w:tr w:rsidR="00C54A4E" w:rsidTr="007D18B3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4" w:type="dxa"/>
          </w:tcPr>
          <w:p w:rsidR="00C54A4E" w:rsidRPr="007D18B3" w:rsidRDefault="00C54A4E" w:rsidP="008371DC">
            <w:pPr>
              <w:jc w:val="both"/>
              <w:rPr>
                <w:b w:val="0"/>
                <w:bCs w:val="0"/>
                <w:lang w:val="es-ES"/>
              </w:rPr>
            </w:pPr>
          </w:p>
        </w:tc>
        <w:tc>
          <w:tcPr>
            <w:tcW w:w="4314" w:type="dxa"/>
          </w:tcPr>
          <w:p w:rsidR="00C54A4E" w:rsidRPr="007D18B3" w:rsidRDefault="00C54A4E" w:rsidP="00837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7D18B3">
              <w:rPr>
                <w:lang w:val="es-ES"/>
              </w:rPr>
              <w:t>Edad &gt; 65 años</w:t>
            </w:r>
          </w:p>
        </w:tc>
      </w:tr>
      <w:tr w:rsidR="00C54A4E" w:rsidTr="007D1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4" w:type="dxa"/>
          </w:tcPr>
          <w:p w:rsidR="00C54A4E" w:rsidRPr="007D18B3" w:rsidRDefault="00C54A4E" w:rsidP="0090132A">
            <w:pPr>
              <w:jc w:val="both"/>
              <w:rPr>
                <w:b w:val="0"/>
                <w:bCs w:val="0"/>
                <w:lang w:val="es-ES"/>
              </w:rPr>
            </w:pPr>
          </w:p>
        </w:tc>
        <w:tc>
          <w:tcPr>
            <w:tcW w:w="4314" w:type="dxa"/>
          </w:tcPr>
          <w:p w:rsidR="00C54A4E" w:rsidRPr="007D18B3" w:rsidRDefault="00C54A4E" w:rsidP="009013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7D18B3">
              <w:rPr>
                <w:lang w:val="es-ES"/>
              </w:rPr>
              <w:t>Sexo femenino</w:t>
            </w:r>
          </w:p>
        </w:tc>
      </w:tr>
    </w:tbl>
    <w:p w:rsidR="002751A2" w:rsidRPr="003F48E4" w:rsidRDefault="00C54A4E" w:rsidP="0090132A">
      <w:pPr>
        <w:jc w:val="both"/>
        <w:rPr>
          <w:b/>
          <w:bCs/>
          <w:u w:val="single"/>
          <w:lang w:val="es-ES"/>
        </w:rPr>
      </w:pPr>
      <w:r>
        <w:rPr>
          <w:b/>
          <w:bCs/>
          <w:u w:val="single"/>
          <w:lang w:val="es-ES"/>
        </w:rPr>
        <w:lastRenderedPageBreak/>
        <w:t xml:space="preserve">3. </w:t>
      </w:r>
      <w:r w:rsidR="00194EF7" w:rsidRPr="003F48E4">
        <w:rPr>
          <w:b/>
          <w:bCs/>
          <w:u w:val="single"/>
          <w:lang w:val="es-ES"/>
        </w:rPr>
        <w:t xml:space="preserve">Medición estandarizada del </w:t>
      </w:r>
      <w:r w:rsidR="00B525B3">
        <w:rPr>
          <w:b/>
          <w:bCs/>
          <w:u w:val="single"/>
          <w:lang w:val="es-ES"/>
        </w:rPr>
        <w:t xml:space="preserve">intervalo </w:t>
      </w:r>
      <w:proofErr w:type="spellStart"/>
      <w:r w:rsidR="00194EF7" w:rsidRPr="003F48E4">
        <w:rPr>
          <w:b/>
          <w:bCs/>
          <w:u w:val="single"/>
          <w:lang w:val="es-ES"/>
        </w:rPr>
        <w:t>QTc</w:t>
      </w:r>
      <w:proofErr w:type="spellEnd"/>
      <w:r w:rsidR="00E56987" w:rsidRPr="003F48E4">
        <w:rPr>
          <w:b/>
          <w:bCs/>
          <w:u w:val="single"/>
          <w:lang w:val="es-ES"/>
        </w:rPr>
        <w:t xml:space="preserve">: </w:t>
      </w:r>
    </w:p>
    <w:p w:rsidR="00E56987" w:rsidRDefault="00E56987" w:rsidP="0090132A">
      <w:pPr>
        <w:jc w:val="both"/>
        <w:rPr>
          <w:lang w:val="es-ES"/>
        </w:rPr>
      </w:pPr>
    </w:p>
    <w:p w:rsidR="00E56987" w:rsidRDefault="00E56987" w:rsidP="00410522">
      <w:pPr>
        <w:spacing w:line="276" w:lineRule="auto"/>
        <w:jc w:val="both"/>
        <w:rPr>
          <w:lang w:val="es-ES"/>
        </w:rPr>
      </w:pPr>
      <w:r>
        <w:rPr>
          <w:lang w:val="es-ES"/>
        </w:rPr>
        <w:t xml:space="preserve">Para una medición uniforme del intervalo </w:t>
      </w:r>
      <w:proofErr w:type="spellStart"/>
      <w:r>
        <w:rPr>
          <w:lang w:val="es-ES"/>
        </w:rPr>
        <w:t>QTc</w:t>
      </w:r>
      <w:proofErr w:type="spellEnd"/>
      <w:r>
        <w:rPr>
          <w:lang w:val="es-ES"/>
        </w:rPr>
        <w:t xml:space="preserve"> por todos los profesionales se proponen los siguientes pasos</w:t>
      </w:r>
      <w:r w:rsidR="00B525B3">
        <w:rPr>
          <w:lang w:val="es-ES"/>
        </w:rPr>
        <w:t>:</w:t>
      </w:r>
      <w:r>
        <w:rPr>
          <w:lang w:val="es-ES"/>
        </w:rPr>
        <w:t xml:space="preserve"> </w:t>
      </w:r>
    </w:p>
    <w:p w:rsidR="00E56987" w:rsidRDefault="00E56987" w:rsidP="00410522">
      <w:pPr>
        <w:spacing w:line="276" w:lineRule="auto"/>
        <w:jc w:val="both"/>
        <w:rPr>
          <w:lang w:val="es-ES"/>
        </w:rPr>
      </w:pPr>
    </w:p>
    <w:p w:rsidR="00E56987" w:rsidRDefault="00E56987" w:rsidP="00410522">
      <w:pPr>
        <w:pStyle w:val="Prrafodelista"/>
        <w:numPr>
          <w:ilvl w:val="0"/>
          <w:numId w:val="7"/>
        </w:numPr>
        <w:spacing w:line="276" w:lineRule="auto"/>
        <w:jc w:val="both"/>
        <w:rPr>
          <w:lang w:val="es-ES"/>
        </w:rPr>
      </w:pPr>
      <w:r w:rsidRPr="003F48E4">
        <w:rPr>
          <w:u w:val="single"/>
          <w:lang w:val="es-ES"/>
        </w:rPr>
        <w:t>Elegir derivación de medida</w:t>
      </w:r>
      <w:r>
        <w:rPr>
          <w:lang w:val="es-ES"/>
        </w:rPr>
        <w:t xml:space="preserve">: derivación II (miembros) o V5 (derivaciones precordiales). Se elegirá en función de en que derivación se observe mejor la terminación de la onda T. </w:t>
      </w:r>
    </w:p>
    <w:p w:rsidR="00A55C86" w:rsidRDefault="00E56987" w:rsidP="00410522">
      <w:pPr>
        <w:pStyle w:val="Prrafodelista"/>
        <w:numPr>
          <w:ilvl w:val="0"/>
          <w:numId w:val="7"/>
        </w:numPr>
        <w:spacing w:line="276" w:lineRule="auto"/>
        <w:jc w:val="both"/>
        <w:rPr>
          <w:lang w:val="es-ES"/>
        </w:rPr>
      </w:pPr>
      <w:r w:rsidRPr="003F48E4">
        <w:rPr>
          <w:u w:val="single"/>
          <w:lang w:val="es-ES"/>
        </w:rPr>
        <w:t>Medición del intervalo QT</w:t>
      </w:r>
      <w:r>
        <w:rPr>
          <w:lang w:val="es-ES"/>
        </w:rPr>
        <w:t xml:space="preserve">: </w:t>
      </w:r>
      <w:r w:rsidR="00A55C86">
        <w:rPr>
          <w:lang w:val="es-ES"/>
        </w:rPr>
        <w:t xml:space="preserve">El intervalo QT se medirá desde el </w:t>
      </w:r>
      <w:proofErr w:type="spellStart"/>
      <w:r w:rsidR="00A55C86">
        <w:rPr>
          <w:lang w:val="es-ES"/>
        </w:rPr>
        <w:t>incio</w:t>
      </w:r>
      <w:proofErr w:type="spellEnd"/>
      <w:r w:rsidR="00A55C86">
        <w:rPr>
          <w:lang w:val="es-ES"/>
        </w:rPr>
        <w:t xml:space="preserve"> del complejo QRS hasta el final de la onda T. Se debe medir en milisegundos (ms). </w:t>
      </w:r>
      <w:r w:rsidR="00E239B8">
        <w:rPr>
          <w:lang w:val="es-ES"/>
        </w:rPr>
        <w:t>Procurar no incluir onda U</w:t>
      </w:r>
      <w:r w:rsidR="008E4F37">
        <w:rPr>
          <w:lang w:val="es-ES"/>
        </w:rPr>
        <w:t xml:space="preserve"> (siempre más visible en V2-V3).</w:t>
      </w:r>
    </w:p>
    <w:p w:rsidR="008E4F37" w:rsidRDefault="008E4F37" w:rsidP="00410522">
      <w:pPr>
        <w:pStyle w:val="Prrafodelista"/>
        <w:spacing w:line="276" w:lineRule="auto"/>
        <w:jc w:val="both"/>
        <w:rPr>
          <w:lang w:val="es-ES"/>
        </w:rPr>
      </w:pPr>
    </w:p>
    <w:p w:rsidR="006B5CB8" w:rsidRPr="006B5CB8" w:rsidRDefault="006B5CB8" w:rsidP="00410522">
      <w:pPr>
        <w:pStyle w:val="Prrafodelista"/>
        <w:spacing w:line="276" w:lineRule="auto"/>
        <w:jc w:val="center"/>
        <w:rPr>
          <w:lang w:val="es-ES"/>
        </w:rPr>
      </w:pPr>
      <w:r w:rsidRPr="006B5CB8">
        <w:rPr>
          <w:noProof/>
          <w:lang w:val="es-ES"/>
        </w:rPr>
        <w:drawing>
          <wp:inline distT="0" distB="0" distL="0" distR="0">
            <wp:extent cx="3475622" cy="1169233"/>
            <wp:effectExtent l="0" t="0" r="4445" b="0"/>
            <wp:docPr id="1" name="Imagen 1" descr="Imagen que contiene texto, mapa, reloj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81"/>
                    <a:stretch/>
                  </pic:blipFill>
                  <pic:spPr bwMode="auto">
                    <a:xfrm>
                      <a:off x="0" y="0"/>
                      <a:ext cx="3558698" cy="1197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5C86" w:rsidRDefault="00A55C86" w:rsidP="00410522">
      <w:pPr>
        <w:spacing w:line="276" w:lineRule="auto"/>
        <w:jc w:val="both"/>
        <w:rPr>
          <w:lang w:val="es-ES"/>
        </w:rPr>
      </w:pPr>
    </w:p>
    <w:p w:rsidR="00A55C86" w:rsidRPr="00A55C86" w:rsidRDefault="00E239B8" w:rsidP="00410522">
      <w:pPr>
        <w:spacing w:line="276" w:lineRule="auto"/>
        <w:jc w:val="both"/>
        <w:rPr>
          <w:lang w:val="es-ES"/>
        </w:rPr>
      </w:pPr>
      <m:oMathPara>
        <m:oMath>
          <m:r>
            <w:rPr>
              <w:rFonts w:ascii="Cambria Math" w:hAnsi="Cambria Math"/>
              <w:lang w:val="es-ES"/>
            </w:rPr>
            <m:t xml:space="preserve">Intervalo QT </m:t>
          </m:r>
          <m:d>
            <m:dPr>
              <m:ctrlPr>
                <w:rPr>
                  <w:rFonts w:ascii="Cambria Math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hAnsi="Cambria Math"/>
                  <w:lang w:val="es-ES"/>
                </w:rPr>
                <m:t>milisegundos</m:t>
              </m:r>
            </m:e>
          </m:d>
          <m:r>
            <w:rPr>
              <w:rFonts w:ascii="Cambria Math" w:hAnsi="Cambria Math"/>
              <w:lang w:val="es-ES"/>
            </w:rPr>
            <m:t xml:space="preserve">=Intervalo QT </m:t>
          </m:r>
          <m:d>
            <m:dPr>
              <m:ctrlPr>
                <w:rPr>
                  <w:rFonts w:ascii="Cambria Math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hAnsi="Cambria Math"/>
                  <w:lang w:val="es-ES"/>
                </w:rPr>
                <m:t>cuadraditos</m:t>
              </m:r>
            </m:e>
          </m:d>
          <m:r>
            <w:rPr>
              <w:rFonts w:ascii="Cambria Math" w:hAnsi="Cambria Math"/>
              <w:lang w:val="es-ES"/>
            </w:rPr>
            <m:t>×0.04</m:t>
          </m:r>
        </m:oMath>
      </m:oMathPara>
    </w:p>
    <w:p w:rsidR="00A55C86" w:rsidRPr="00A55C86" w:rsidRDefault="00A55C86" w:rsidP="00410522">
      <w:pPr>
        <w:spacing w:line="276" w:lineRule="auto"/>
        <w:jc w:val="both"/>
        <w:rPr>
          <w:lang w:val="es-ES"/>
        </w:rPr>
      </w:pPr>
    </w:p>
    <w:p w:rsidR="00E56987" w:rsidRDefault="00A55C86" w:rsidP="00410522">
      <w:pPr>
        <w:pStyle w:val="Prrafodelista"/>
        <w:numPr>
          <w:ilvl w:val="0"/>
          <w:numId w:val="7"/>
        </w:numPr>
        <w:spacing w:line="276" w:lineRule="auto"/>
        <w:jc w:val="both"/>
        <w:rPr>
          <w:lang w:val="es-ES"/>
        </w:rPr>
      </w:pPr>
      <w:r>
        <w:rPr>
          <w:u w:val="single"/>
          <w:lang w:val="es-ES"/>
        </w:rPr>
        <w:t xml:space="preserve">Cálculo del </w:t>
      </w:r>
      <w:proofErr w:type="spellStart"/>
      <w:r>
        <w:rPr>
          <w:u w:val="single"/>
          <w:lang w:val="es-ES"/>
        </w:rPr>
        <w:t>QTc</w:t>
      </w:r>
      <w:proofErr w:type="spellEnd"/>
      <w:r>
        <w:rPr>
          <w:u w:val="single"/>
          <w:lang w:val="es-ES"/>
        </w:rPr>
        <w:t xml:space="preserve">: </w:t>
      </w:r>
      <w:r>
        <w:rPr>
          <w:lang w:val="es-ES"/>
        </w:rPr>
        <w:t>P</w:t>
      </w:r>
      <w:r w:rsidR="00E56987">
        <w:rPr>
          <w:lang w:val="es-ES"/>
        </w:rPr>
        <w:t xml:space="preserve">ara ello se usará la fórmula de </w:t>
      </w:r>
      <w:proofErr w:type="spellStart"/>
      <w:r w:rsidR="00E56987">
        <w:rPr>
          <w:lang w:val="es-ES"/>
        </w:rPr>
        <w:t>Bazzet</w:t>
      </w:r>
      <w:proofErr w:type="spellEnd"/>
      <w:r w:rsidR="00E56987">
        <w:rPr>
          <w:lang w:val="es-ES"/>
        </w:rPr>
        <w:t xml:space="preserve"> (disponible en la mayoría de las aplicaciones móviles de uso sanitario; </w:t>
      </w:r>
      <w:proofErr w:type="spellStart"/>
      <w:r w:rsidR="00E56987">
        <w:rPr>
          <w:lang w:val="es-ES"/>
        </w:rPr>
        <w:t>iDoctus</w:t>
      </w:r>
      <w:proofErr w:type="spellEnd"/>
      <w:r w:rsidR="00E56987">
        <w:rPr>
          <w:lang w:val="es-ES"/>
        </w:rPr>
        <w:t xml:space="preserve">, </w:t>
      </w:r>
      <w:proofErr w:type="spellStart"/>
      <w:r w:rsidR="00E56987">
        <w:rPr>
          <w:lang w:val="es-ES"/>
        </w:rPr>
        <w:t>Qxcalculate</w:t>
      </w:r>
      <w:proofErr w:type="spellEnd"/>
      <w:r w:rsidR="00E56987">
        <w:rPr>
          <w:lang w:val="es-ES"/>
        </w:rPr>
        <w:t xml:space="preserve">…). </w:t>
      </w:r>
      <w:r w:rsidR="00E22FBB">
        <w:rPr>
          <w:lang w:val="es-ES"/>
        </w:rPr>
        <w:t xml:space="preserve">Tener en cuenta que esta fórmula puede sobrestimar a frecuencias altas e </w:t>
      </w:r>
      <w:proofErr w:type="spellStart"/>
      <w:r w:rsidR="00E22FBB">
        <w:rPr>
          <w:lang w:val="es-ES"/>
        </w:rPr>
        <w:t>infraestimar</w:t>
      </w:r>
      <w:proofErr w:type="spellEnd"/>
      <w:r w:rsidR="00E22FBB">
        <w:rPr>
          <w:lang w:val="es-ES"/>
        </w:rPr>
        <w:t xml:space="preserve"> a frecuencias bajas. </w:t>
      </w:r>
    </w:p>
    <w:p w:rsidR="003F48E4" w:rsidRDefault="003F48E4" w:rsidP="00410522">
      <w:pPr>
        <w:spacing w:line="276" w:lineRule="auto"/>
        <w:jc w:val="both"/>
        <w:rPr>
          <w:lang w:val="es-ES"/>
        </w:rPr>
      </w:pPr>
    </w:p>
    <w:p w:rsidR="003F48E4" w:rsidRPr="003F48E4" w:rsidRDefault="003F48E4" w:rsidP="00410522">
      <w:pPr>
        <w:spacing w:line="276" w:lineRule="auto"/>
        <w:jc w:val="both"/>
        <w:rPr>
          <w:rFonts w:eastAsiaTheme="minorEastAsia"/>
          <w:lang w:val="es-ES"/>
        </w:rPr>
      </w:pPr>
      <m:oMathPara>
        <m:oMath>
          <m:r>
            <w:rPr>
              <w:rFonts w:ascii="Cambria Math" w:hAnsi="Cambria Math"/>
              <w:lang w:val="es-ES"/>
            </w:rPr>
            <m:t xml:space="preserve">QTc </m:t>
          </m:r>
          <m:d>
            <m:dPr>
              <m:ctrlPr>
                <w:rPr>
                  <w:rFonts w:ascii="Cambria Math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hAnsi="Cambria Math"/>
                  <w:lang w:val="es-ES"/>
                </w:rPr>
                <m:t>Bazzet</m:t>
              </m:r>
            </m:e>
          </m:d>
          <m:r>
            <w:rPr>
              <w:rFonts w:ascii="Cambria Math" w:hAnsi="Cambria Math"/>
              <w:lang w:val="es-ES"/>
            </w:rPr>
            <m:t>=QTmedido/</m:t>
          </m:r>
          <m:rad>
            <m:radPr>
              <m:degHide m:val="1"/>
              <m:ctrlPr>
                <w:rPr>
                  <w:rFonts w:ascii="Cambria Math" w:hAnsi="Cambria Math"/>
                  <w:i/>
                  <w:lang w:val="es-ES"/>
                </w:rPr>
              </m:ctrlPr>
            </m:radPr>
            <m:deg/>
            <m:e>
              <m:r>
                <w:rPr>
                  <w:rFonts w:ascii="Cambria Math" w:hAnsi="Cambria Math"/>
                  <w:lang w:val="es-ES"/>
                </w:rPr>
                <m:t>Intervalo</m:t>
              </m:r>
            </m:e>
          </m:rad>
          <m:r>
            <w:rPr>
              <w:rFonts w:ascii="Cambria Math" w:hAnsi="Cambria Math"/>
              <w:lang w:val="es-ES"/>
            </w:rPr>
            <m:t xml:space="preserve"> RR</m:t>
          </m:r>
        </m:oMath>
      </m:oMathPara>
    </w:p>
    <w:p w:rsidR="003F48E4" w:rsidRPr="003F48E4" w:rsidRDefault="003F48E4" w:rsidP="00410522">
      <w:pPr>
        <w:spacing w:line="276" w:lineRule="auto"/>
        <w:jc w:val="both"/>
        <w:rPr>
          <w:lang w:val="es-ES"/>
        </w:rPr>
      </w:pPr>
    </w:p>
    <w:p w:rsidR="00E56987" w:rsidRDefault="00E56987" w:rsidP="00410522">
      <w:pPr>
        <w:pStyle w:val="Prrafodelista"/>
        <w:numPr>
          <w:ilvl w:val="0"/>
          <w:numId w:val="7"/>
        </w:numPr>
        <w:spacing w:line="276" w:lineRule="auto"/>
        <w:jc w:val="both"/>
        <w:rPr>
          <w:lang w:val="es-ES"/>
        </w:rPr>
      </w:pPr>
      <w:r w:rsidRPr="003F48E4">
        <w:rPr>
          <w:u w:val="single"/>
          <w:lang w:val="es-ES"/>
        </w:rPr>
        <w:t>Valoración del QRS</w:t>
      </w:r>
      <w:r>
        <w:rPr>
          <w:lang w:val="es-ES"/>
        </w:rPr>
        <w:t xml:space="preserve">. En caso de QRS ancho (&gt;120 ms) usar la siguiente fórmula. </w:t>
      </w:r>
    </w:p>
    <w:p w:rsidR="00E56987" w:rsidRDefault="00E56987" w:rsidP="00410522">
      <w:pPr>
        <w:pStyle w:val="Prrafodelista"/>
        <w:spacing w:line="276" w:lineRule="auto"/>
        <w:jc w:val="both"/>
        <w:rPr>
          <w:lang w:val="es-ES"/>
        </w:rPr>
      </w:pPr>
    </w:p>
    <w:p w:rsidR="00E56987" w:rsidRPr="003F48E4" w:rsidRDefault="003F48E4" w:rsidP="00410522">
      <w:pPr>
        <w:pStyle w:val="Prrafodelista"/>
        <w:spacing w:line="276" w:lineRule="auto"/>
        <w:jc w:val="both"/>
        <w:rPr>
          <w:rFonts w:eastAsiaTheme="minorEastAsia"/>
          <w:lang w:val="es-ES"/>
        </w:rPr>
      </w:pPr>
      <m:oMathPara>
        <m:oMath>
          <m:r>
            <w:rPr>
              <w:rFonts w:ascii="Cambria Math" w:hAnsi="Cambria Math"/>
              <w:lang w:val="es-ES"/>
            </w:rPr>
            <m:t xml:space="preserve">QTc </m:t>
          </m:r>
          <m:d>
            <m:dPr>
              <m:ctrlPr>
                <w:rPr>
                  <w:rFonts w:ascii="Cambria Math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hAnsi="Cambria Math"/>
                  <w:lang w:val="es-ES"/>
                </w:rPr>
                <m:t>QRS ancho</m:t>
              </m:r>
            </m:e>
          </m:d>
          <m:r>
            <w:rPr>
              <w:rFonts w:ascii="Cambria Math" w:hAnsi="Cambria Math"/>
              <w:lang w:val="es-ES"/>
            </w:rPr>
            <m:t xml:space="preserve">=QTc </m:t>
          </m:r>
          <m:d>
            <m:dPr>
              <m:ctrlPr>
                <w:rPr>
                  <w:rFonts w:ascii="Cambria Math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hAnsi="Cambria Math"/>
                  <w:lang w:val="es-ES"/>
                </w:rPr>
                <m:t>Bazzet</m:t>
              </m:r>
            </m:e>
          </m:d>
          <m:r>
            <w:rPr>
              <w:rFonts w:ascii="Cambria Math" w:hAnsi="Cambria Math"/>
              <w:lang w:val="es-ES"/>
            </w:rPr>
            <m:t>-[QRSms-100 ms]</m:t>
          </m:r>
        </m:oMath>
      </m:oMathPara>
    </w:p>
    <w:p w:rsidR="003F48E4" w:rsidRDefault="003F48E4" w:rsidP="00410522">
      <w:pPr>
        <w:pStyle w:val="Prrafodelista"/>
        <w:spacing w:line="276" w:lineRule="auto"/>
        <w:jc w:val="both"/>
        <w:rPr>
          <w:lang w:val="es-ES"/>
        </w:rPr>
      </w:pPr>
    </w:p>
    <w:p w:rsidR="00E56987" w:rsidRDefault="00E56987" w:rsidP="00410522">
      <w:pPr>
        <w:pStyle w:val="Prrafodelista"/>
        <w:numPr>
          <w:ilvl w:val="0"/>
          <w:numId w:val="7"/>
        </w:numPr>
        <w:spacing w:line="276" w:lineRule="auto"/>
        <w:jc w:val="both"/>
        <w:rPr>
          <w:lang w:val="es-ES"/>
        </w:rPr>
      </w:pPr>
      <w:r w:rsidRPr="003F48E4">
        <w:rPr>
          <w:u w:val="single"/>
          <w:lang w:val="es-ES"/>
        </w:rPr>
        <w:t xml:space="preserve">Anotación del intervalo </w:t>
      </w:r>
      <w:proofErr w:type="spellStart"/>
      <w:r w:rsidRPr="003F48E4">
        <w:rPr>
          <w:u w:val="single"/>
          <w:lang w:val="es-ES"/>
        </w:rPr>
        <w:t>QTc</w:t>
      </w:r>
      <w:proofErr w:type="spellEnd"/>
      <w:r w:rsidR="003F48E4">
        <w:rPr>
          <w:u w:val="single"/>
          <w:lang w:val="es-ES"/>
        </w:rPr>
        <w:t>:</w:t>
      </w:r>
      <w:r>
        <w:rPr>
          <w:lang w:val="es-ES"/>
        </w:rPr>
        <w:t xml:space="preserve"> en historia clínica electrónica (JIMENA) junto con la derivación en la que se ha medido. Apuntar además de forma manual en ECG basal.  </w:t>
      </w:r>
      <w:r w:rsidR="003B46CC">
        <w:rPr>
          <w:lang w:val="es-ES"/>
        </w:rPr>
        <w:t xml:space="preserve">Esto servirá para monitorizar en misma derivación en futuros ECG. </w:t>
      </w:r>
    </w:p>
    <w:p w:rsidR="00410522" w:rsidRPr="00E56987" w:rsidRDefault="00410522" w:rsidP="00410522">
      <w:pPr>
        <w:pStyle w:val="Prrafodelista"/>
        <w:spacing w:line="276" w:lineRule="auto"/>
        <w:jc w:val="both"/>
        <w:rPr>
          <w:lang w:val="es-ES"/>
        </w:rPr>
      </w:pPr>
    </w:p>
    <w:p w:rsidR="00410522" w:rsidRDefault="00410522" w:rsidP="0090132A">
      <w:pPr>
        <w:jc w:val="both"/>
        <w:rPr>
          <w:lang w:val="es-ES"/>
        </w:rPr>
      </w:pPr>
    </w:p>
    <w:p w:rsidR="00410522" w:rsidRDefault="00410522" w:rsidP="0090132A">
      <w:pPr>
        <w:jc w:val="both"/>
        <w:rPr>
          <w:lang w:val="es-ES"/>
        </w:rPr>
      </w:pPr>
    </w:p>
    <w:p w:rsidR="00C54A4E" w:rsidRDefault="00C54A4E" w:rsidP="0090132A">
      <w:pPr>
        <w:jc w:val="both"/>
        <w:rPr>
          <w:b/>
          <w:bCs/>
          <w:u w:val="single"/>
          <w:lang w:val="es-ES"/>
        </w:rPr>
      </w:pPr>
    </w:p>
    <w:p w:rsidR="00C54A4E" w:rsidRDefault="00C54A4E" w:rsidP="0090132A">
      <w:pPr>
        <w:jc w:val="both"/>
        <w:rPr>
          <w:b/>
          <w:bCs/>
          <w:u w:val="single"/>
          <w:lang w:val="es-ES"/>
        </w:rPr>
      </w:pPr>
    </w:p>
    <w:p w:rsidR="00C54A4E" w:rsidRDefault="00C54A4E" w:rsidP="0090132A">
      <w:pPr>
        <w:jc w:val="both"/>
        <w:rPr>
          <w:b/>
          <w:bCs/>
          <w:u w:val="single"/>
          <w:lang w:val="es-ES"/>
        </w:rPr>
      </w:pPr>
    </w:p>
    <w:p w:rsidR="00C54A4E" w:rsidRDefault="00C54A4E" w:rsidP="0090132A">
      <w:pPr>
        <w:jc w:val="both"/>
        <w:rPr>
          <w:b/>
          <w:bCs/>
          <w:u w:val="single"/>
          <w:lang w:val="es-ES"/>
        </w:rPr>
      </w:pPr>
    </w:p>
    <w:p w:rsidR="00C54A4E" w:rsidRDefault="00C54A4E" w:rsidP="0090132A">
      <w:pPr>
        <w:jc w:val="both"/>
        <w:rPr>
          <w:b/>
          <w:bCs/>
          <w:u w:val="single"/>
          <w:lang w:val="es-ES"/>
        </w:rPr>
      </w:pPr>
    </w:p>
    <w:p w:rsidR="00194EF7" w:rsidRPr="00B525B3" w:rsidRDefault="00C54A4E" w:rsidP="0090132A">
      <w:pPr>
        <w:jc w:val="both"/>
        <w:rPr>
          <w:b/>
          <w:bCs/>
          <w:u w:val="single"/>
          <w:lang w:val="es-ES"/>
        </w:rPr>
      </w:pPr>
      <w:r>
        <w:rPr>
          <w:b/>
          <w:bCs/>
          <w:u w:val="single"/>
          <w:lang w:val="es-ES"/>
        </w:rPr>
        <w:lastRenderedPageBreak/>
        <w:t xml:space="preserve">4. </w:t>
      </w:r>
      <w:r w:rsidR="00194EF7" w:rsidRPr="00B525B3">
        <w:rPr>
          <w:b/>
          <w:bCs/>
          <w:u w:val="single"/>
          <w:lang w:val="es-ES"/>
        </w:rPr>
        <w:t>Identificación de pacientes de riesgo</w:t>
      </w:r>
    </w:p>
    <w:p w:rsidR="0013679C" w:rsidRDefault="0013679C" w:rsidP="0090132A">
      <w:pPr>
        <w:jc w:val="both"/>
        <w:rPr>
          <w:lang w:val="es-ES"/>
        </w:rPr>
      </w:pPr>
    </w:p>
    <w:p w:rsidR="00B525B3" w:rsidRDefault="00A67966" w:rsidP="00B525B3">
      <w:pPr>
        <w:spacing w:line="276" w:lineRule="auto"/>
        <w:jc w:val="both"/>
        <w:rPr>
          <w:lang w:val="es-ES"/>
        </w:rPr>
      </w:pPr>
      <w:r>
        <w:rPr>
          <w:lang w:val="es-ES"/>
        </w:rPr>
        <w:t xml:space="preserve">En diferentes estudios se ha visto que en pacientes con QT largo congénito la presencia de un </w:t>
      </w:r>
      <w:proofErr w:type="spellStart"/>
      <w:r>
        <w:rPr>
          <w:lang w:val="es-ES"/>
        </w:rPr>
        <w:t>QTc</w:t>
      </w:r>
      <w:proofErr w:type="spellEnd"/>
      <w:r>
        <w:rPr>
          <w:lang w:val="es-ES"/>
        </w:rPr>
        <w:t xml:space="preserve"> &gt;500 ms aumentaba de manera significativa el riesgo de muerte súbita. </w:t>
      </w:r>
      <w:r>
        <w:rPr>
          <w:lang w:val="es-ES"/>
        </w:rPr>
        <w:t xml:space="preserve">Es por ello </w:t>
      </w:r>
      <w:proofErr w:type="gramStart"/>
      <w:r>
        <w:rPr>
          <w:lang w:val="es-ES"/>
        </w:rPr>
        <w:t>que</w:t>
      </w:r>
      <w:proofErr w:type="gramEnd"/>
      <w:r>
        <w:rPr>
          <w:lang w:val="es-ES"/>
        </w:rPr>
        <w:t xml:space="preserve"> la medida del </w:t>
      </w:r>
      <w:proofErr w:type="spellStart"/>
      <w:r>
        <w:rPr>
          <w:lang w:val="es-ES"/>
        </w:rPr>
        <w:t>QTc</w:t>
      </w:r>
      <w:proofErr w:type="spellEnd"/>
      <w:r>
        <w:rPr>
          <w:lang w:val="es-ES"/>
        </w:rPr>
        <w:t xml:space="preserve"> basal puede ser una opción viable para identificar a pacientes de riesgo. </w:t>
      </w:r>
      <w:r w:rsidR="00B525B3">
        <w:rPr>
          <w:lang w:val="es-ES"/>
        </w:rPr>
        <w:t xml:space="preserve">Para ello se realizará la </w:t>
      </w:r>
      <w:r w:rsidR="00B525B3" w:rsidRPr="00FF0DCF">
        <w:rPr>
          <w:b/>
          <w:bCs/>
          <w:lang w:val="es-ES"/>
        </w:rPr>
        <w:t xml:space="preserve">medida del </w:t>
      </w:r>
      <w:proofErr w:type="spellStart"/>
      <w:r w:rsidR="00B525B3" w:rsidRPr="00FF0DCF">
        <w:rPr>
          <w:b/>
          <w:bCs/>
          <w:lang w:val="es-ES"/>
        </w:rPr>
        <w:t>QTc</w:t>
      </w:r>
      <w:proofErr w:type="spellEnd"/>
      <w:r w:rsidR="00B525B3" w:rsidRPr="00FF0DCF">
        <w:rPr>
          <w:b/>
          <w:bCs/>
          <w:lang w:val="es-ES"/>
        </w:rPr>
        <w:t xml:space="preserve"> basal</w:t>
      </w:r>
      <w:r w:rsidR="00B525B3">
        <w:rPr>
          <w:lang w:val="es-ES"/>
        </w:rPr>
        <w:t xml:space="preserve">, que será valida si se realiza tal como se expone en el anterior apartado y si corresponde a un paciente sin medicación u otra condición que pudiera alargar el intervalo </w:t>
      </w:r>
      <w:proofErr w:type="spellStart"/>
      <w:r w:rsidR="00B525B3">
        <w:rPr>
          <w:lang w:val="es-ES"/>
        </w:rPr>
        <w:t>QTc</w:t>
      </w:r>
      <w:proofErr w:type="spellEnd"/>
      <w:r w:rsidR="00B525B3">
        <w:rPr>
          <w:lang w:val="es-ES"/>
        </w:rPr>
        <w:t xml:space="preserve"> potencialmente corregible. En pacientes que en el momento del ingreso estén tomando medicación que alargue el QT o presentan alguna otra condición predisponente se tomará como </w:t>
      </w:r>
      <w:proofErr w:type="spellStart"/>
      <w:r w:rsidR="00B525B3">
        <w:rPr>
          <w:lang w:val="es-ES"/>
        </w:rPr>
        <w:t>QTc</w:t>
      </w:r>
      <w:proofErr w:type="spellEnd"/>
      <w:r w:rsidR="00B525B3">
        <w:rPr>
          <w:lang w:val="es-ES"/>
        </w:rPr>
        <w:t xml:space="preserve"> basal el obtenido en el ingreso teniendo en cuenta esta limitación (posible sobrestimación del riesgo). </w:t>
      </w:r>
    </w:p>
    <w:p w:rsidR="00B525B3" w:rsidRDefault="00B525B3" w:rsidP="00B525B3">
      <w:pPr>
        <w:spacing w:line="276" w:lineRule="auto"/>
        <w:jc w:val="both"/>
        <w:rPr>
          <w:lang w:val="es-ES"/>
        </w:rPr>
      </w:pPr>
    </w:p>
    <w:tbl>
      <w:tblPr>
        <w:tblStyle w:val="Tablacontema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2552"/>
        <w:gridCol w:w="2539"/>
      </w:tblGrid>
      <w:tr w:rsidR="00B525B3" w:rsidTr="001229ED">
        <w:tc>
          <w:tcPr>
            <w:tcW w:w="1413" w:type="dxa"/>
          </w:tcPr>
          <w:p w:rsidR="00B525B3" w:rsidRDefault="00B525B3" w:rsidP="001229ED"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w="1984" w:type="dxa"/>
            <w:shd w:val="clear" w:color="auto" w:fill="C5E0B3" w:themeFill="accent6" w:themeFillTint="66"/>
          </w:tcPr>
          <w:p w:rsidR="00B525B3" w:rsidRPr="001229ED" w:rsidRDefault="00B525B3" w:rsidP="001229ED">
            <w:pPr>
              <w:spacing w:line="276" w:lineRule="auto"/>
              <w:jc w:val="center"/>
              <w:rPr>
                <w:b/>
                <w:bCs/>
                <w:lang w:val="es-ES"/>
              </w:rPr>
            </w:pPr>
            <w:r w:rsidRPr="001229ED">
              <w:rPr>
                <w:b/>
                <w:bCs/>
                <w:lang w:val="es-ES"/>
              </w:rPr>
              <w:t>Riesgo bajo (90%)</w:t>
            </w:r>
          </w:p>
        </w:tc>
        <w:tc>
          <w:tcPr>
            <w:tcW w:w="2552" w:type="dxa"/>
            <w:shd w:val="clear" w:color="auto" w:fill="FFE599" w:themeFill="accent4" w:themeFillTint="66"/>
          </w:tcPr>
          <w:p w:rsidR="00B525B3" w:rsidRPr="001229ED" w:rsidRDefault="00B525B3" w:rsidP="001229ED">
            <w:pPr>
              <w:spacing w:line="276" w:lineRule="auto"/>
              <w:jc w:val="center"/>
              <w:rPr>
                <w:b/>
                <w:bCs/>
                <w:lang w:val="es-ES"/>
              </w:rPr>
            </w:pPr>
            <w:r w:rsidRPr="001229ED">
              <w:rPr>
                <w:b/>
                <w:bCs/>
                <w:lang w:val="es-ES"/>
              </w:rPr>
              <w:t>Riesgo intermedio (9%)</w:t>
            </w:r>
          </w:p>
        </w:tc>
        <w:tc>
          <w:tcPr>
            <w:tcW w:w="2539" w:type="dxa"/>
            <w:shd w:val="clear" w:color="auto" w:fill="F7CAAC" w:themeFill="accent2" w:themeFillTint="66"/>
          </w:tcPr>
          <w:p w:rsidR="00B525B3" w:rsidRPr="001229ED" w:rsidRDefault="00B525B3" w:rsidP="001229ED">
            <w:pPr>
              <w:spacing w:line="276" w:lineRule="auto"/>
              <w:jc w:val="center"/>
              <w:rPr>
                <w:b/>
                <w:bCs/>
                <w:lang w:val="es-ES"/>
              </w:rPr>
            </w:pPr>
            <w:r w:rsidRPr="001229ED">
              <w:rPr>
                <w:b/>
                <w:bCs/>
                <w:lang w:val="es-ES"/>
              </w:rPr>
              <w:t>Riesgo alto (1%)</w:t>
            </w:r>
          </w:p>
        </w:tc>
      </w:tr>
      <w:tr w:rsidR="00B525B3" w:rsidTr="001229ED">
        <w:tc>
          <w:tcPr>
            <w:tcW w:w="1413" w:type="dxa"/>
          </w:tcPr>
          <w:p w:rsidR="00B525B3" w:rsidRPr="001229ED" w:rsidRDefault="00B525B3" w:rsidP="001229ED">
            <w:pPr>
              <w:spacing w:line="276" w:lineRule="auto"/>
              <w:jc w:val="center"/>
              <w:rPr>
                <w:b/>
                <w:bCs/>
                <w:lang w:val="es-ES"/>
              </w:rPr>
            </w:pPr>
            <w:r w:rsidRPr="001229ED">
              <w:rPr>
                <w:b/>
                <w:bCs/>
                <w:lang w:val="es-ES"/>
              </w:rPr>
              <w:t>Hombres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:rsidR="00B525B3" w:rsidRDefault="001229ED" w:rsidP="001229ED">
            <w:pPr>
              <w:spacing w:line="276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&lt; 470 ms</w:t>
            </w:r>
          </w:p>
        </w:tc>
        <w:tc>
          <w:tcPr>
            <w:tcW w:w="2552" w:type="dxa"/>
            <w:shd w:val="clear" w:color="auto" w:fill="FFE599" w:themeFill="accent4" w:themeFillTint="66"/>
          </w:tcPr>
          <w:p w:rsidR="00B525B3" w:rsidRDefault="001229ED" w:rsidP="001229ED">
            <w:pPr>
              <w:spacing w:line="276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470 - 500</w:t>
            </w:r>
          </w:p>
        </w:tc>
        <w:tc>
          <w:tcPr>
            <w:tcW w:w="2539" w:type="dxa"/>
            <w:shd w:val="clear" w:color="auto" w:fill="F7CAAC" w:themeFill="accent2" w:themeFillTint="66"/>
          </w:tcPr>
          <w:p w:rsidR="00B525B3" w:rsidRDefault="001229ED" w:rsidP="001229ED">
            <w:pPr>
              <w:spacing w:line="276" w:lineRule="auto"/>
              <w:jc w:val="center"/>
              <w:rPr>
                <w:lang w:val="es-ES"/>
              </w:rPr>
            </w:pPr>
            <m:oMath>
              <m:r>
                <w:rPr>
                  <w:rFonts w:ascii="Cambria Math" w:hAnsi="Cambria Math"/>
                  <w:lang w:val="es-ES"/>
                </w:rPr>
                <m:t xml:space="preserve">≥ </m:t>
              </m:r>
            </m:oMath>
            <w:r>
              <w:rPr>
                <w:lang w:val="es-ES"/>
              </w:rPr>
              <w:t>500</w:t>
            </w:r>
          </w:p>
        </w:tc>
      </w:tr>
      <w:tr w:rsidR="00B525B3" w:rsidTr="001229ED">
        <w:tc>
          <w:tcPr>
            <w:tcW w:w="1413" w:type="dxa"/>
          </w:tcPr>
          <w:p w:rsidR="00B525B3" w:rsidRPr="001229ED" w:rsidRDefault="00B525B3" w:rsidP="001229ED">
            <w:pPr>
              <w:spacing w:line="276" w:lineRule="auto"/>
              <w:jc w:val="center"/>
              <w:rPr>
                <w:b/>
                <w:bCs/>
                <w:lang w:val="es-ES"/>
              </w:rPr>
            </w:pPr>
            <w:r w:rsidRPr="001229ED">
              <w:rPr>
                <w:b/>
                <w:bCs/>
                <w:lang w:val="es-ES"/>
              </w:rPr>
              <w:t>Mujeres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:rsidR="00B525B3" w:rsidRDefault="001229ED" w:rsidP="001229ED">
            <w:pPr>
              <w:spacing w:line="276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&lt; 480 ms</w:t>
            </w:r>
          </w:p>
        </w:tc>
        <w:tc>
          <w:tcPr>
            <w:tcW w:w="2552" w:type="dxa"/>
            <w:shd w:val="clear" w:color="auto" w:fill="FFE599" w:themeFill="accent4" w:themeFillTint="66"/>
          </w:tcPr>
          <w:p w:rsidR="00B525B3" w:rsidRDefault="001229ED" w:rsidP="001229ED">
            <w:pPr>
              <w:spacing w:line="276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480 - 500</w:t>
            </w:r>
          </w:p>
        </w:tc>
        <w:tc>
          <w:tcPr>
            <w:tcW w:w="2539" w:type="dxa"/>
            <w:shd w:val="clear" w:color="auto" w:fill="F7CAAC" w:themeFill="accent2" w:themeFillTint="66"/>
          </w:tcPr>
          <w:p w:rsidR="00B525B3" w:rsidRDefault="001229ED" w:rsidP="001229ED">
            <w:pPr>
              <w:spacing w:line="276" w:lineRule="auto"/>
              <w:jc w:val="center"/>
              <w:rPr>
                <w:lang w:val="es-ES"/>
              </w:rPr>
            </w:pPr>
            <m:oMath>
              <m:r>
                <w:rPr>
                  <w:rFonts w:ascii="Cambria Math" w:hAnsi="Cambria Math"/>
                  <w:lang w:val="es-ES"/>
                </w:rPr>
                <m:t xml:space="preserve">≥ </m:t>
              </m:r>
            </m:oMath>
            <w:r>
              <w:rPr>
                <w:lang w:val="es-ES"/>
              </w:rPr>
              <w:t>500</w:t>
            </w:r>
          </w:p>
        </w:tc>
      </w:tr>
    </w:tbl>
    <w:p w:rsidR="0013679C" w:rsidRDefault="0013679C" w:rsidP="00B525B3">
      <w:pPr>
        <w:spacing w:line="276" w:lineRule="auto"/>
        <w:jc w:val="both"/>
        <w:rPr>
          <w:lang w:val="es-ES"/>
        </w:rPr>
      </w:pPr>
    </w:p>
    <w:p w:rsidR="00646B6A" w:rsidRDefault="001229ED" w:rsidP="00646B6A">
      <w:pPr>
        <w:spacing w:line="276" w:lineRule="auto"/>
        <w:jc w:val="both"/>
        <w:rPr>
          <w:lang w:val="es-ES"/>
        </w:rPr>
      </w:pPr>
      <w:r>
        <w:rPr>
          <w:lang w:val="es-ES"/>
        </w:rPr>
        <w:t xml:space="preserve">Existe otra escala propuesta por </w:t>
      </w:r>
      <w:proofErr w:type="spellStart"/>
      <w:r>
        <w:rPr>
          <w:lang w:val="es-ES"/>
        </w:rPr>
        <w:t>Tindale</w:t>
      </w:r>
      <w:proofErr w:type="spellEnd"/>
      <w:r>
        <w:rPr>
          <w:lang w:val="es-ES"/>
        </w:rPr>
        <w:t xml:space="preserve"> y colaboradores que </w:t>
      </w:r>
      <w:r w:rsidRPr="009A69A6">
        <w:rPr>
          <w:b/>
          <w:bCs/>
          <w:lang w:val="es-ES"/>
        </w:rPr>
        <w:t>sólo deberán ser utilizadas en caso de imposibilidad de medición del intervalo QT</w:t>
      </w:r>
      <w:r>
        <w:rPr>
          <w:lang w:val="es-ES"/>
        </w:rPr>
        <w:t xml:space="preserve"> o dudas sobre el manejo (casos intermedios)</w:t>
      </w:r>
      <w:r w:rsidR="009A69A6">
        <w:rPr>
          <w:lang w:val="es-ES"/>
        </w:rPr>
        <w:t xml:space="preserve">, debido a que consume tiempo </w:t>
      </w:r>
      <w:r w:rsidR="00A72F9F">
        <w:rPr>
          <w:lang w:val="es-ES"/>
        </w:rPr>
        <w:t xml:space="preserve">y </w:t>
      </w:r>
      <w:r w:rsidR="009A69A6">
        <w:rPr>
          <w:lang w:val="es-ES"/>
        </w:rPr>
        <w:t xml:space="preserve">recursos. Se expone </w:t>
      </w:r>
      <w:r w:rsidR="00646B6A">
        <w:rPr>
          <w:lang w:val="es-ES"/>
        </w:rPr>
        <w:t xml:space="preserve">en </w:t>
      </w:r>
      <w:r w:rsidR="00A72F9F">
        <w:rPr>
          <w:lang w:val="es-ES"/>
        </w:rPr>
        <w:t>A</w:t>
      </w:r>
      <w:r w:rsidR="00646B6A">
        <w:rPr>
          <w:lang w:val="es-ES"/>
        </w:rPr>
        <w:t xml:space="preserve">nexo 1. </w:t>
      </w:r>
    </w:p>
    <w:p w:rsidR="00B525B3" w:rsidRDefault="00B525B3" w:rsidP="00646B6A">
      <w:pPr>
        <w:spacing w:line="276" w:lineRule="auto"/>
        <w:jc w:val="both"/>
        <w:rPr>
          <w:lang w:val="es-ES"/>
        </w:rPr>
      </w:pPr>
    </w:p>
    <w:p w:rsidR="00194EF7" w:rsidRDefault="00194EF7" w:rsidP="00646B6A">
      <w:pPr>
        <w:spacing w:line="276" w:lineRule="auto"/>
        <w:jc w:val="both"/>
        <w:rPr>
          <w:lang w:val="es-ES"/>
        </w:rPr>
      </w:pPr>
    </w:p>
    <w:p w:rsidR="00194EF7" w:rsidRPr="00C54A4E" w:rsidRDefault="00C54A4E" w:rsidP="00C54A4E">
      <w:pPr>
        <w:spacing w:line="276" w:lineRule="auto"/>
        <w:jc w:val="both"/>
        <w:rPr>
          <w:b/>
          <w:bCs/>
          <w:u w:val="single"/>
          <w:lang w:val="es-ES"/>
        </w:rPr>
      </w:pPr>
      <w:r>
        <w:rPr>
          <w:b/>
          <w:bCs/>
          <w:u w:val="single"/>
          <w:lang w:val="es-ES"/>
        </w:rPr>
        <w:t>5.</w:t>
      </w:r>
      <w:r w:rsidR="009D68AE">
        <w:rPr>
          <w:b/>
          <w:bCs/>
          <w:u w:val="single"/>
          <w:lang w:val="es-ES"/>
        </w:rPr>
        <w:t xml:space="preserve"> </w:t>
      </w:r>
      <w:r w:rsidR="00194EF7" w:rsidRPr="00C54A4E">
        <w:rPr>
          <w:b/>
          <w:bCs/>
          <w:u w:val="single"/>
          <w:lang w:val="es-ES"/>
        </w:rPr>
        <w:t xml:space="preserve">Identificación de pacientes con susceptibilidad de alargamiento del </w:t>
      </w:r>
      <w:proofErr w:type="spellStart"/>
      <w:r w:rsidR="00194EF7" w:rsidRPr="00C54A4E">
        <w:rPr>
          <w:b/>
          <w:bCs/>
          <w:u w:val="single"/>
          <w:lang w:val="es-ES"/>
        </w:rPr>
        <w:t>QTc</w:t>
      </w:r>
      <w:proofErr w:type="spellEnd"/>
      <w:r w:rsidR="00A72F9F" w:rsidRPr="00C54A4E">
        <w:rPr>
          <w:b/>
          <w:bCs/>
          <w:u w:val="single"/>
          <w:lang w:val="es-ES"/>
        </w:rPr>
        <w:t>:</w:t>
      </w:r>
    </w:p>
    <w:p w:rsidR="002751A2" w:rsidRDefault="002751A2" w:rsidP="00646B6A">
      <w:pPr>
        <w:spacing w:line="276" w:lineRule="auto"/>
        <w:jc w:val="both"/>
        <w:rPr>
          <w:lang w:val="es-ES"/>
        </w:rPr>
      </w:pPr>
    </w:p>
    <w:p w:rsidR="00FF0DCF" w:rsidRDefault="00FF0DCF" w:rsidP="00646B6A">
      <w:pPr>
        <w:spacing w:line="276" w:lineRule="auto"/>
        <w:jc w:val="both"/>
        <w:rPr>
          <w:rFonts w:eastAsiaTheme="minorEastAsia"/>
          <w:lang w:val="es-ES"/>
        </w:rPr>
      </w:pPr>
      <w:r>
        <w:rPr>
          <w:lang w:val="es-ES"/>
        </w:rPr>
        <w:t xml:space="preserve">Se definirá como aquellos pacientes con un aumento del intervalo </w:t>
      </w:r>
      <w:proofErr w:type="spellStart"/>
      <w:r>
        <w:rPr>
          <w:lang w:val="es-ES"/>
        </w:rPr>
        <w:t>QTc</w:t>
      </w:r>
      <w:proofErr w:type="spellEnd"/>
      <w:r>
        <w:rPr>
          <w:lang w:val="es-ES"/>
        </w:rPr>
        <w:t xml:space="preserve"> </w:t>
      </w:r>
      <m:oMath>
        <m:r>
          <w:rPr>
            <w:rFonts w:ascii="Cambria Math" w:hAnsi="Cambria Math"/>
            <w:lang w:val="es-ES"/>
          </w:rPr>
          <m:t>≥</m:t>
        </m:r>
      </m:oMath>
      <w:r>
        <w:rPr>
          <w:rFonts w:eastAsiaTheme="minorEastAsia"/>
          <w:lang w:val="es-ES"/>
        </w:rPr>
        <w:t xml:space="preserve"> 60 ms </w:t>
      </w:r>
      <w:r>
        <w:rPr>
          <w:rFonts w:eastAsiaTheme="minorEastAsia"/>
          <w:lang w:val="es-ES"/>
        </w:rPr>
        <w:t xml:space="preserve">o aquellos que desarrollen un </w:t>
      </w:r>
      <w:proofErr w:type="spellStart"/>
      <w:r>
        <w:rPr>
          <w:rFonts w:eastAsiaTheme="minorEastAsia"/>
          <w:lang w:val="es-ES"/>
        </w:rPr>
        <w:t>QTc</w:t>
      </w:r>
      <w:proofErr w:type="spellEnd"/>
      <w:r>
        <w:rPr>
          <w:rFonts w:eastAsiaTheme="minorEastAsia"/>
          <w:lang w:val="es-ES"/>
        </w:rPr>
        <w:t xml:space="preserve"> </w:t>
      </w:r>
      <m:oMath>
        <m:r>
          <w:rPr>
            <w:rFonts w:ascii="Cambria Math" w:hAnsi="Cambria Math"/>
            <w:lang w:val="es-ES"/>
          </w:rPr>
          <m:t>≥</m:t>
        </m:r>
      </m:oMath>
      <w:r>
        <w:rPr>
          <w:rFonts w:eastAsiaTheme="minorEastAsia"/>
          <w:lang w:val="es-ES"/>
        </w:rPr>
        <w:t xml:space="preserve"> 500 ms </w:t>
      </w:r>
      <w:r>
        <w:rPr>
          <w:rFonts w:eastAsiaTheme="minorEastAsia"/>
          <w:lang w:val="es-ES"/>
        </w:rPr>
        <w:t>tras el inicio de la terapia farmacológica</w:t>
      </w:r>
      <w:r w:rsidR="00C54A4E">
        <w:rPr>
          <w:rFonts w:eastAsiaTheme="minorEastAsia"/>
          <w:lang w:val="es-ES"/>
        </w:rPr>
        <w:t xml:space="preserve">. Estos pacientes se identificarán como de alto riesgo con independencia del grupo inicial de riesgo. </w:t>
      </w:r>
    </w:p>
    <w:p w:rsidR="00FF0DCF" w:rsidRDefault="00FF0DCF" w:rsidP="00646B6A">
      <w:pPr>
        <w:spacing w:line="276" w:lineRule="auto"/>
        <w:jc w:val="both"/>
        <w:rPr>
          <w:rFonts w:eastAsiaTheme="minorEastAsia"/>
          <w:lang w:val="es-ES"/>
        </w:rPr>
      </w:pPr>
    </w:p>
    <w:p w:rsidR="00C54A4E" w:rsidRDefault="00C54A4E" w:rsidP="00646B6A">
      <w:pPr>
        <w:spacing w:line="276" w:lineRule="auto"/>
        <w:jc w:val="both"/>
        <w:rPr>
          <w:rFonts w:eastAsiaTheme="minorEastAsia"/>
          <w:b/>
          <w:bCs/>
          <w:u w:val="single"/>
          <w:lang w:val="es-ES"/>
        </w:rPr>
      </w:pPr>
    </w:p>
    <w:p w:rsidR="00C54A4E" w:rsidRDefault="00C54A4E" w:rsidP="00646B6A">
      <w:pPr>
        <w:spacing w:line="276" w:lineRule="auto"/>
        <w:jc w:val="both"/>
        <w:rPr>
          <w:rFonts w:eastAsiaTheme="minorEastAsia"/>
          <w:b/>
          <w:bCs/>
          <w:u w:val="single"/>
          <w:lang w:val="es-ES"/>
        </w:rPr>
      </w:pPr>
    </w:p>
    <w:p w:rsidR="00C54A4E" w:rsidRDefault="00C54A4E" w:rsidP="00646B6A">
      <w:pPr>
        <w:spacing w:line="276" w:lineRule="auto"/>
        <w:jc w:val="both"/>
        <w:rPr>
          <w:rFonts w:eastAsiaTheme="minorEastAsia"/>
          <w:b/>
          <w:bCs/>
          <w:u w:val="single"/>
          <w:lang w:val="es-ES"/>
        </w:rPr>
      </w:pPr>
    </w:p>
    <w:p w:rsidR="00C54A4E" w:rsidRDefault="00C54A4E" w:rsidP="00646B6A">
      <w:pPr>
        <w:spacing w:line="276" w:lineRule="auto"/>
        <w:jc w:val="both"/>
        <w:rPr>
          <w:rFonts w:eastAsiaTheme="minorEastAsia"/>
          <w:b/>
          <w:bCs/>
          <w:u w:val="single"/>
          <w:lang w:val="es-ES"/>
        </w:rPr>
      </w:pPr>
    </w:p>
    <w:p w:rsidR="00C54A4E" w:rsidRDefault="00C54A4E" w:rsidP="00646B6A">
      <w:pPr>
        <w:spacing w:line="276" w:lineRule="auto"/>
        <w:jc w:val="both"/>
        <w:rPr>
          <w:rFonts w:eastAsiaTheme="minorEastAsia"/>
          <w:b/>
          <w:bCs/>
          <w:u w:val="single"/>
          <w:lang w:val="es-ES"/>
        </w:rPr>
      </w:pPr>
    </w:p>
    <w:p w:rsidR="00C54A4E" w:rsidRDefault="00C54A4E" w:rsidP="00646B6A">
      <w:pPr>
        <w:spacing w:line="276" w:lineRule="auto"/>
        <w:jc w:val="both"/>
        <w:rPr>
          <w:rFonts w:eastAsiaTheme="minorEastAsia"/>
          <w:b/>
          <w:bCs/>
          <w:u w:val="single"/>
          <w:lang w:val="es-ES"/>
        </w:rPr>
      </w:pPr>
    </w:p>
    <w:p w:rsidR="00C54A4E" w:rsidRDefault="00C54A4E" w:rsidP="00646B6A">
      <w:pPr>
        <w:spacing w:line="276" w:lineRule="auto"/>
        <w:jc w:val="both"/>
        <w:rPr>
          <w:rFonts w:eastAsiaTheme="minorEastAsia"/>
          <w:b/>
          <w:bCs/>
          <w:u w:val="single"/>
          <w:lang w:val="es-ES"/>
        </w:rPr>
      </w:pPr>
    </w:p>
    <w:p w:rsidR="00C54A4E" w:rsidRDefault="00C54A4E" w:rsidP="00646B6A">
      <w:pPr>
        <w:spacing w:line="276" w:lineRule="auto"/>
        <w:jc w:val="both"/>
        <w:rPr>
          <w:rFonts w:eastAsiaTheme="minorEastAsia"/>
          <w:b/>
          <w:bCs/>
          <w:u w:val="single"/>
          <w:lang w:val="es-ES"/>
        </w:rPr>
      </w:pPr>
    </w:p>
    <w:p w:rsidR="00C54A4E" w:rsidRDefault="00C54A4E" w:rsidP="00646B6A">
      <w:pPr>
        <w:spacing w:line="276" w:lineRule="auto"/>
        <w:jc w:val="both"/>
        <w:rPr>
          <w:rFonts w:eastAsiaTheme="minorEastAsia"/>
          <w:b/>
          <w:bCs/>
          <w:u w:val="single"/>
          <w:lang w:val="es-ES"/>
        </w:rPr>
      </w:pPr>
    </w:p>
    <w:p w:rsidR="00C54A4E" w:rsidRDefault="00C54A4E" w:rsidP="00646B6A">
      <w:pPr>
        <w:spacing w:line="276" w:lineRule="auto"/>
        <w:jc w:val="both"/>
        <w:rPr>
          <w:rFonts w:eastAsiaTheme="minorEastAsia"/>
          <w:b/>
          <w:bCs/>
          <w:u w:val="single"/>
          <w:lang w:val="es-ES"/>
        </w:rPr>
      </w:pPr>
    </w:p>
    <w:p w:rsidR="00C54A4E" w:rsidRDefault="00C54A4E" w:rsidP="00646B6A">
      <w:pPr>
        <w:spacing w:line="276" w:lineRule="auto"/>
        <w:jc w:val="both"/>
        <w:rPr>
          <w:rFonts w:eastAsiaTheme="minorEastAsia"/>
          <w:b/>
          <w:bCs/>
          <w:u w:val="single"/>
          <w:lang w:val="es-ES"/>
        </w:rPr>
      </w:pPr>
    </w:p>
    <w:p w:rsidR="00C54A4E" w:rsidRDefault="00C54A4E" w:rsidP="00646B6A">
      <w:pPr>
        <w:spacing w:line="276" w:lineRule="auto"/>
        <w:jc w:val="both"/>
        <w:rPr>
          <w:rFonts w:eastAsiaTheme="minorEastAsia"/>
          <w:b/>
          <w:bCs/>
          <w:u w:val="single"/>
          <w:lang w:val="es-ES"/>
        </w:rPr>
      </w:pPr>
    </w:p>
    <w:p w:rsidR="00FF0DCF" w:rsidRPr="00A72F9F" w:rsidRDefault="00C54A4E" w:rsidP="00646B6A">
      <w:pPr>
        <w:spacing w:line="276" w:lineRule="auto"/>
        <w:jc w:val="both"/>
        <w:rPr>
          <w:rFonts w:eastAsiaTheme="minorEastAsia"/>
          <w:b/>
          <w:bCs/>
          <w:u w:val="single"/>
          <w:lang w:val="es-ES"/>
        </w:rPr>
      </w:pPr>
      <w:r>
        <w:rPr>
          <w:rFonts w:eastAsiaTheme="minorEastAsia"/>
          <w:b/>
          <w:bCs/>
          <w:u w:val="single"/>
          <w:lang w:val="es-ES"/>
        </w:rPr>
        <w:lastRenderedPageBreak/>
        <w:t>6.</w:t>
      </w:r>
      <w:r w:rsidR="009D68AE">
        <w:rPr>
          <w:rFonts w:eastAsiaTheme="minorEastAsia"/>
          <w:b/>
          <w:bCs/>
          <w:u w:val="single"/>
          <w:lang w:val="es-ES"/>
        </w:rPr>
        <w:t xml:space="preserve"> </w:t>
      </w:r>
      <w:r w:rsidR="00FF0DCF" w:rsidRPr="00A72F9F">
        <w:rPr>
          <w:rFonts w:eastAsiaTheme="minorEastAsia"/>
          <w:b/>
          <w:bCs/>
          <w:u w:val="single"/>
          <w:lang w:val="es-ES"/>
        </w:rPr>
        <w:t>Monitorización del ECG</w:t>
      </w:r>
      <w:r w:rsidR="006C3E82" w:rsidRPr="00A72F9F">
        <w:rPr>
          <w:rFonts w:eastAsiaTheme="minorEastAsia"/>
          <w:b/>
          <w:bCs/>
          <w:u w:val="single"/>
          <w:lang w:val="es-ES"/>
        </w:rPr>
        <w:t xml:space="preserve"> y manejo terapéutico:</w:t>
      </w:r>
    </w:p>
    <w:p w:rsidR="00FF0DCF" w:rsidRDefault="006C3E82" w:rsidP="006C3E82">
      <w:pPr>
        <w:pStyle w:val="Prrafodelista"/>
        <w:numPr>
          <w:ilvl w:val="0"/>
          <w:numId w:val="11"/>
        </w:numPr>
        <w:spacing w:line="276" w:lineRule="auto"/>
        <w:jc w:val="both"/>
        <w:rPr>
          <w:rFonts w:eastAsiaTheme="minorEastAsia"/>
          <w:lang w:val="es-ES"/>
        </w:rPr>
      </w:pPr>
      <w:r w:rsidRPr="00493F57">
        <w:rPr>
          <w:rFonts w:eastAsiaTheme="minorEastAsia"/>
          <w:b/>
          <w:bCs/>
          <w:lang w:val="es-ES"/>
        </w:rPr>
        <w:t>Bajo riesgo</w:t>
      </w:r>
      <w:r>
        <w:rPr>
          <w:rFonts w:eastAsiaTheme="minorEastAsia"/>
          <w:lang w:val="es-ES"/>
        </w:rPr>
        <w:t xml:space="preserve">: realización de ECG a las </w:t>
      </w:r>
      <w:r w:rsidR="00A72F9F">
        <w:rPr>
          <w:rFonts w:eastAsiaTheme="minorEastAsia"/>
          <w:lang w:val="es-ES"/>
        </w:rPr>
        <w:t xml:space="preserve">48 horas. Con un único ECG seria suficiente. Si existen factores de riesgo para desarrollo de </w:t>
      </w:r>
      <w:proofErr w:type="spellStart"/>
      <w:r w:rsidR="00A72F9F">
        <w:rPr>
          <w:rFonts w:eastAsiaTheme="minorEastAsia"/>
          <w:lang w:val="es-ES"/>
        </w:rPr>
        <w:t>QTc</w:t>
      </w:r>
      <w:proofErr w:type="spellEnd"/>
      <w:r w:rsidR="00A72F9F">
        <w:rPr>
          <w:rFonts w:eastAsiaTheme="minorEastAsia"/>
          <w:lang w:val="es-ES"/>
        </w:rPr>
        <w:t xml:space="preserve"> largo, o en tratamientos largos (&gt; 5 días), sería recomendable realizar otro ECG a las 96 horas. </w:t>
      </w:r>
    </w:p>
    <w:p w:rsidR="00A72F9F" w:rsidRDefault="00A72F9F" w:rsidP="006C3E82">
      <w:pPr>
        <w:pStyle w:val="Prrafodelista"/>
        <w:numPr>
          <w:ilvl w:val="0"/>
          <w:numId w:val="11"/>
        </w:numPr>
        <w:spacing w:line="276" w:lineRule="auto"/>
        <w:jc w:val="both"/>
        <w:rPr>
          <w:rFonts w:eastAsiaTheme="minorEastAsia"/>
          <w:lang w:val="es-ES"/>
        </w:rPr>
      </w:pPr>
      <w:r w:rsidRPr="00493F57">
        <w:rPr>
          <w:rFonts w:eastAsiaTheme="minorEastAsia"/>
          <w:b/>
          <w:bCs/>
          <w:lang w:val="es-ES"/>
        </w:rPr>
        <w:t>Riesgo intermedio</w:t>
      </w:r>
      <w:r>
        <w:rPr>
          <w:rFonts w:eastAsiaTheme="minorEastAsia"/>
          <w:lang w:val="es-ES"/>
        </w:rPr>
        <w:t xml:space="preserve">: Realización de ECG a las 48 y a las 96 horas. </w:t>
      </w:r>
    </w:p>
    <w:p w:rsidR="00A72F9F" w:rsidRDefault="00A72F9F" w:rsidP="00A72F9F">
      <w:pPr>
        <w:pStyle w:val="Prrafodelista"/>
        <w:numPr>
          <w:ilvl w:val="0"/>
          <w:numId w:val="11"/>
        </w:numPr>
        <w:spacing w:line="276" w:lineRule="auto"/>
        <w:jc w:val="both"/>
        <w:rPr>
          <w:rFonts w:eastAsiaTheme="minorEastAsia"/>
          <w:lang w:val="es-ES"/>
        </w:rPr>
      </w:pPr>
      <w:r w:rsidRPr="00493F57">
        <w:rPr>
          <w:rFonts w:eastAsiaTheme="minorEastAsia"/>
          <w:b/>
          <w:bCs/>
          <w:lang w:val="es-ES"/>
        </w:rPr>
        <w:t>Riesgo alto</w:t>
      </w:r>
      <w:r>
        <w:rPr>
          <w:rFonts w:eastAsiaTheme="minorEastAsia"/>
          <w:lang w:val="es-ES"/>
        </w:rPr>
        <w:t xml:space="preserve">: valoración individual del riesgo de muerte súbita frente al riesgo de desarrollo de Síndrome de </w:t>
      </w:r>
      <w:proofErr w:type="spellStart"/>
      <w:r>
        <w:rPr>
          <w:rFonts w:eastAsiaTheme="minorEastAsia"/>
          <w:lang w:val="es-ES"/>
        </w:rPr>
        <w:t>distress</w:t>
      </w:r>
      <w:proofErr w:type="spellEnd"/>
      <w:r>
        <w:rPr>
          <w:rFonts w:eastAsiaTheme="minorEastAsia"/>
          <w:lang w:val="es-ES"/>
        </w:rPr>
        <w:t xml:space="preserve"> respiratorio del adulto (SDRA) o del riesgo de mortalidad por neumonía por COVID 19. Este riesgo se valorará en función de la edad, las comorbilidades (sobre todo por la presencia de enfermedad cardiovascular, diabetes e hipertensión arterial) y biomarcadores (Dímero D, </w:t>
      </w:r>
      <w:proofErr w:type="spellStart"/>
      <w:r>
        <w:rPr>
          <w:rFonts w:eastAsiaTheme="minorEastAsia"/>
          <w:lang w:val="es-ES"/>
        </w:rPr>
        <w:t>Troponina</w:t>
      </w:r>
      <w:proofErr w:type="spellEnd"/>
      <w:r>
        <w:rPr>
          <w:rFonts w:eastAsiaTheme="minorEastAsia"/>
          <w:lang w:val="es-ES"/>
        </w:rPr>
        <w:t xml:space="preserve">). </w:t>
      </w:r>
      <w:r w:rsidR="004C3034">
        <w:rPr>
          <w:rFonts w:eastAsiaTheme="minorEastAsia"/>
          <w:lang w:val="es-ES"/>
        </w:rPr>
        <w:t xml:space="preserve">También se recomienda al ingreso iniciar </w:t>
      </w:r>
      <w:proofErr w:type="spellStart"/>
      <w:r w:rsidR="004C3034">
        <w:rPr>
          <w:rFonts w:eastAsiaTheme="minorEastAsia"/>
          <w:lang w:val="es-ES"/>
        </w:rPr>
        <w:t>Hidroxicloroquina</w:t>
      </w:r>
      <w:proofErr w:type="spellEnd"/>
      <w:r w:rsidR="004C3034">
        <w:rPr>
          <w:rFonts w:eastAsiaTheme="minorEastAsia"/>
          <w:lang w:val="es-ES"/>
        </w:rPr>
        <w:t xml:space="preserve"> en primer lugar, monitorizar QT a las </w:t>
      </w:r>
      <w:r w:rsidR="00493F57">
        <w:rPr>
          <w:rFonts w:eastAsiaTheme="minorEastAsia"/>
          <w:lang w:val="es-ES"/>
        </w:rPr>
        <w:t>4</w:t>
      </w:r>
      <w:r w:rsidR="004C3034">
        <w:rPr>
          <w:rFonts w:eastAsiaTheme="minorEastAsia"/>
          <w:lang w:val="es-ES"/>
        </w:rPr>
        <w:t xml:space="preserve"> horas y asociar </w:t>
      </w:r>
      <w:proofErr w:type="spellStart"/>
      <w:r w:rsidR="004C3034">
        <w:rPr>
          <w:rFonts w:eastAsiaTheme="minorEastAsia"/>
          <w:lang w:val="es-ES"/>
        </w:rPr>
        <w:t>Azitromicina</w:t>
      </w:r>
      <w:proofErr w:type="spellEnd"/>
      <w:r w:rsidR="004C3034">
        <w:rPr>
          <w:rFonts w:eastAsiaTheme="minorEastAsia"/>
          <w:lang w:val="es-ES"/>
        </w:rPr>
        <w:t xml:space="preserve"> si no se producen cambios, así como evitar el uso de </w:t>
      </w:r>
      <w:proofErr w:type="spellStart"/>
      <w:r w:rsidR="004C3034">
        <w:rPr>
          <w:rFonts w:eastAsiaTheme="minorEastAsia"/>
          <w:lang w:val="es-ES"/>
        </w:rPr>
        <w:t>Lopinavir</w:t>
      </w:r>
      <w:proofErr w:type="spellEnd"/>
      <w:r w:rsidR="004C3034">
        <w:rPr>
          <w:rFonts w:eastAsiaTheme="minorEastAsia"/>
          <w:lang w:val="es-ES"/>
        </w:rPr>
        <w:t>/</w:t>
      </w:r>
      <w:proofErr w:type="spellStart"/>
      <w:r w:rsidR="004C3034">
        <w:rPr>
          <w:rFonts w:eastAsiaTheme="minorEastAsia"/>
          <w:lang w:val="es-ES"/>
        </w:rPr>
        <w:t>Ritonavir</w:t>
      </w:r>
      <w:proofErr w:type="spellEnd"/>
      <w:r w:rsidR="004C3034">
        <w:rPr>
          <w:rFonts w:eastAsiaTheme="minorEastAsia"/>
          <w:lang w:val="es-ES"/>
        </w:rPr>
        <w:t xml:space="preserve">. </w:t>
      </w:r>
      <w:r>
        <w:rPr>
          <w:rFonts w:eastAsiaTheme="minorEastAsia"/>
          <w:lang w:val="es-ES"/>
        </w:rPr>
        <w:t xml:space="preserve">En función de esto: </w:t>
      </w:r>
    </w:p>
    <w:p w:rsidR="00A72F9F" w:rsidRDefault="00A72F9F" w:rsidP="00A72F9F">
      <w:pPr>
        <w:pStyle w:val="Prrafodelista"/>
        <w:numPr>
          <w:ilvl w:val="1"/>
          <w:numId w:val="11"/>
        </w:numPr>
        <w:spacing w:line="276" w:lineRule="auto"/>
        <w:jc w:val="both"/>
        <w:rPr>
          <w:rFonts w:eastAsiaTheme="minorEastAsia"/>
          <w:lang w:val="es-ES"/>
        </w:rPr>
      </w:pPr>
      <w:r w:rsidRPr="004C3034">
        <w:rPr>
          <w:rFonts w:eastAsiaTheme="minorEastAsia"/>
          <w:b/>
          <w:bCs/>
          <w:lang w:val="es-ES"/>
        </w:rPr>
        <w:t>El riesgo de mortalidad por COVID 19</w:t>
      </w:r>
      <w:r w:rsidR="00A67966">
        <w:rPr>
          <w:rFonts w:eastAsiaTheme="minorEastAsia"/>
          <w:b/>
          <w:bCs/>
          <w:lang w:val="es-ES"/>
        </w:rPr>
        <w:t>/SDRA</w:t>
      </w:r>
      <w:r w:rsidRPr="004C3034">
        <w:rPr>
          <w:rFonts w:eastAsiaTheme="minorEastAsia"/>
          <w:b/>
          <w:bCs/>
          <w:lang w:val="es-ES"/>
        </w:rPr>
        <w:t xml:space="preserve"> es bajo</w:t>
      </w:r>
      <w:r w:rsidR="004C3034">
        <w:rPr>
          <w:rFonts w:eastAsiaTheme="minorEastAsia"/>
          <w:lang w:val="es-ES"/>
        </w:rPr>
        <w:t xml:space="preserve"> </w:t>
      </w:r>
      <w:r w:rsidR="004C3034" w:rsidRPr="004C3034">
        <w:rPr>
          <w:rFonts w:eastAsiaTheme="minorEastAsia"/>
          <w:i/>
          <w:iCs/>
          <w:lang w:val="es-ES"/>
        </w:rPr>
        <w:t>(¿para qué correr el riesgo?)</w:t>
      </w:r>
      <w:r w:rsidR="004C3034">
        <w:rPr>
          <w:rFonts w:eastAsiaTheme="minorEastAsia"/>
          <w:lang w:val="es-ES"/>
        </w:rPr>
        <w:t>:</w:t>
      </w:r>
      <w:r>
        <w:rPr>
          <w:rFonts w:eastAsiaTheme="minorEastAsia"/>
          <w:lang w:val="es-ES"/>
        </w:rPr>
        <w:t xml:space="preserve"> se recomienda suspender en primer lugar </w:t>
      </w:r>
      <w:proofErr w:type="spellStart"/>
      <w:r>
        <w:rPr>
          <w:rFonts w:eastAsiaTheme="minorEastAsia"/>
          <w:lang w:val="es-ES"/>
        </w:rPr>
        <w:t>Lopinavir</w:t>
      </w:r>
      <w:proofErr w:type="spellEnd"/>
      <w:r>
        <w:rPr>
          <w:rFonts w:eastAsiaTheme="minorEastAsia"/>
          <w:lang w:val="es-ES"/>
        </w:rPr>
        <w:t>/</w:t>
      </w:r>
      <w:proofErr w:type="spellStart"/>
      <w:r>
        <w:rPr>
          <w:rFonts w:eastAsiaTheme="minorEastAsia"/>
          <w:lang w:val="es-ES"/>
        </w:rPr>
        <w:t>Ritonavir</w:t>
      </w:r>
      <w:proofErr w:type="spellEnd"/>
      <w:r>
        <w:rPr>
          <w:rFonts w:eastAsiaTheme="minorEastAsia"/>
          <w:lang w:val="es-ES"/>
        </w:rPr>
        <w:t xml:space="preserve"> (</w:t>
      </w:r>
      <w:proofErr w:type="spellStart"/>
      <w:r>
        <w:rPr>
          <w:rFonts w:eastAsiaTheme="minorEastAsia"/>
          <w:lang w:val="es-ES"/>
        </w:rPr>
        <w:t>Kaletra</w:t>
      </w:r>
      <w:proofErr w:type="spellEnd"/>
      <w:r>
        <w:rPr>
          <w:rFonts w:eastAsiaTheme="minorEastAsia"/>
          <w:lang w:val="es-ES"/>
        </w:rPr>
        <w:t xml:space="preserve">) (no evidencia de beneficio en ensayo clínico randomizado), en segundo </w:t>
      </w:r>
      <w:r w:rsidR="004C3034">
        <w:rPr>
          <w:rFonts w:eastAsiaTheme="minorEastAsia"/>
          <w:lang w:val="es-ES"/>
        </w:rPr>
        <w:t xml:space="preserve">lugar, suspender/reducir dosis de </w:t>
      </w:r>
      <w:proofErr w:type="spellStart"/>
      <w:r>
        <w:rPr>
          <w:rFonts w:eastAsiaTheme="minorEastAsia"/>
          <w:lang w:val="es-ES"/>
        </w:rPr>
        <w:t>Azitromi</w:t>
      </w:r>
      <w:r w:rsidR="004C3034">
        <w:rPr>
          <w:rFonts w:eastAsiaTheme="minorEastAsia"/>
          <w:lang w:val="es-ES"/>
        </w:rPr>
        <w:t>cina</w:t>
      </w:r>
      <w:proofErr w:type="spellEnd"/>
      <w:r w:rsidR="004C3034">
        <w:rPr>
          <w:rFonts w:eastAsiaTheme="minorEastAsia"/>
          <w:lang w:val="es-ES"/>
        </w:rPr>
        <w:t xml:space="preserve"> y por último suspender/reducir dosis de </w:t>
      </w:r>
      <w:proofErr w:type="spellStart"/>
      <w:r w:rsidR="004C3034">
        <w:rPr>
          <w:rFonts w:eastAsiaTheme="minorEastAsia"/>
          <w:lang w:val="es-ES"/>
        </w:rPr>
        <w:t>Hidroxicloroquina</w:t>
      </w:r>
      <w:proofErr w:type="spellEnd"/>
      <w:r w:rsidR="004C3034">
        <w:rPr>
          <w:rFonts w:eastAsiaTheme="minorEastAsia"/>
          <w:lang w:val="es-ES"/>
        </w:rPr>
        <w:t>/</w:t>
      </w:r>
      <w:proofErr w:type="spellStart"/>
      <w:r w:rsidR="004C3034">
        <w:rPr>
          <w:rFonts w:eastAsiaTheme="minorEastAsia"/>
          <w:lang w:val="es-ES"/>
        </w:rPr>
        <w:t>Cloroquina</w:t>
      </w:r>
      <w:proofErr w:type="spellEnd"/>
      <w:r w:rsidR="00A67966">
        <w:rPr>
          <w:rFonts w:eastAsiaTheme="minorEastAsia"/>
          <w:lang w:val="es-ES"/>
        </w:rPr>
        <w:t xml:space="preserve"> con monitorización estrecha del </w:t>
      </w:r>
      <w:proofErr w:type="spellStart"/>
      <w:r w:rsidR="00A67966">
        <w:rPr>
          <w:rFonts w:eastAsiaTheme="minorEastAsia"/>
          <w:lang w:val="es-ES"/>
        </w:rPr>
        <w:t>QTc</w:t>
      </w:r>
      <w:proofErr w:type="spellEnd"/>
      <w:r w:rsidR="00A67966">
        <w:rPr>
          <w:rFonts w:eastAsiaTheme="minorEastAsia"/>
          <w:lang w:val="es-ES"/>
        </w:rPr>
        <w:t xml:space="preserve"> cada 24 h. </w:t>
      </w:r>
    </w:p>
    <w:p w:rsidR="004C3034" w:rsidRPr="00A72F9F" w:rsidRDefault="004C3034" w:rsidP="00A72F9F">
      <w:pPr>
        <w:pStyle w:val="Prrafodelista"/>
        <w:numPr>
          <w:ilvl w:val="1"/>
          <w:numId w:val="11"/>
        </w:numPr>
        <w:spacing w:line="276" w:lineRule="auto"/>
        <w:jc w:val="both"/>
        <w:rPr>
          <w:rFonts w:eastAsiaTheme="minorEastAsia"/>
          <w:lang w:val="es-ES"/>
        </w:rPr>
      </w:pPr>
      <w:r w:rsidRPr="004C3034">
        <w:rPr>
          <w:rFonts w:eastAsiaTheme="minorEastAsia"/>
          <w:b/>
          <w:bCs/>
          <w:lang w:val="es-ES"/>
        </w:rPr>
        <w:t>El riesgo por mortalidad por COVID 19/SDRA es alto</w:t>
      </w:r>
      <w:r>
        <w:rPr>
          <w:rFonts w:eastAsiaTheme="minorEastAsia"/>
          <w:lang w:val="es-ES"/>
        </w:rPr>
        <w:t xml:space="preserve"> </w:t>
      </w:r>
      <w:r w:rsidRPr="004C3034">
        <w:rPr>
          <w:rFonts w:eastAsiaTheme="minorEastAsia"/>
          <w:i/>
          <w:iCs/>
          <w:lang w:val="es-ES"/>
        </w:rPr>
        <w:t>(no me queda otra opción que asumir el riesgo)</w:t>
      </w:r>
      <w:r w:rsidRPr="004C3034">
        <w:rPr>
          <w:rFonts w:eastAsiaTheme="minorEastAsia"/>
          <w:lang w:val="es-ES"/>
        </w:rPr>
        <w:t>:</w:t>
      </w:r>
      <w:r w:rsidRPr="004C3034">
        <w:rPr>
          <w:rFonts w:eastAsiaTheme="minorEastAsia"/>
          <w:i/>
          <w:iCs/>
          <w:lang w:val="es-ES"/>
        </w:rPr>
        <w:t xml:space="preserve"> </w:t>
      </w:r>
      <w:r>
        <w:rPr>
          <w:rFonts w:eastAsiaTheme="minorEastAsia"/>
          <w:lang w:val="es-ES"/>
        </w:rPr>
        <w:t xml:space="preserve">el potencial beneficio del tratamiento supera el pequeño riesgo que existe de muerte súbita por </w:t>
      </w:r>
      <w:proofErr w:type="spellStart"/>
      <w:r>
        <w:rPr>
          <w:rFonts w:eastAsiaTheme="minorEastAsia"/>
          <w:lang w:val="es-ES"/>
        </w:rPr>
        <w:t>TdP</w:t>
      </w:r>
      <w:proofErr w:type="spellEnd"/>
      <w:r>
        <w:rPr>
          <w:rFonts w:eastAsiaTheme="minorEastAsia"/>
          <w:lang w:val="es-ES"/>
        </w:rPr>
        <w:t xml:space="preserve">. Sin embargo, en función de la gravedad y en presencia de factores de riesgo no modificables se recomienda monitorización con telemetría/ingreso en UCI. </w:t>
      </w:r>
      <w:r w:rsidR="00A67966">
        <w:rPr>
          <w:rFonts w:eastAsiaTheme="minorEastAsia"/>
          <w:lang w:val="es-ES"/>
        </w:rPr>
        <w:t xml:space="preserve">En presencia o evidencia de arritmias ventriculares por </w:t>
      </w:r>
      <w:proofErr w:type="spellStart"/>
      <w:r w:rsidR="00A67966">
        <w:rPr>
          <w:rFonts w:eastAsiaTheme="minorEastAsia"/>
          <w:lang w:val="es-ES"/>
        </w:rPr>
        <w:t>TdP</w:t>
      </w:r>
      <w:proofErr w:type="spellEnd"/>
      <w:r w:rsidR="00A67966">
        <w:rPr>
          <w:rFonts w:eastAsiaTheme="minorEastAsia"/>
          <w:lang w:val="es-ES"/>
        </w:rPr>
        <w:t xml:space="preserve"> o parada cardiaca recuperada secundaria a las mismas, el tratamiento deberá ser suspendido </w:t>
      </w:r>
    </w:p>
    <w:p w:rsidR="00410522" w:rsidRDefault="00410522" w:rsidP="00B525B3">
      <w:pPr>
        <w:spacing w:line="276" w:lineRule="auto"/>
        <w:jc w:val="both"/>
        <w:rPr>
          <w:lang w:val="es-ES"/>
        </w:rPr>
      </w:pPr>
    </w:p>
    <w:p w:rsidR="00410522" w:rsidRDefault="00410522" w:rsidP="00B525B3">
      <w:pPr>
        <w:spacing w:line="276" w:lineRule="auto"/>
        <w:jc w:val="both"/>
        <w:rPr>
          <w:lang w:val="es-ES"/>
        </w:rPr>
      </w:pPr>
    </w:p>
    <w:p w:rsidR="00410522" w:rsidRDefault="00410522" w:rsidP="00B525B3">
      <w:pPr>
        <w:spacing w:line="276" w:lineRule="auto"/>
        <w:jc w:val="both"/>
        <w:rPr>
          <w:lang w:val="es-ES"/>
        </w:rPr>
      </w:pPr>
    </w:p>
    <w:p w:rsidR="00410522" w:rsidRDefault="00410522" w:rsidP="00B525B3">
      <w:pPr>
        <w:spacing w:line="276" w:lineRule="auto"/>
        <w:jc w:val="both"/>
        <w:rPr>
          <w:lang w:val="es-ES"/>
        </w:rPr>
      </w:pPr>
    </w:p>
    <w:p w:rsidR="00410522" w:rsidRDefault="00410522" w:rsidP="00B525B3">
      <w:pPr>
        <w:spacing w:line="276" w:lineRule="auto"/>
        <w:jc w:val="both"/>
        <w:rPr>
          <w:lang w:val="es-ES"/>
        </w:rPr>
      </w:pPr>
    </w:p>
    <w:p w:rsidR="00410522" w:rsidRDefault="00410522" w:rsidP="00B525B3">
      <w:pPr>
        <w:spacing w:line="276" w:lineRule="auto"/>
        <w:jc w:val="both"/>
        <w:rPr>
          <w:lang w:val="es-ES"/>
        </w:rPr>
      </w:pPr>
    </w:p>
    <w:p w:rsidR="00410522" w:rsidRDefault="00410522" w:rsidP="00B525B3">
      <w:pPr>
        <w:spacing w:line="276" w:lineRule="auto"/>
        <w:jc w:val="both"/>
        <w:rPr>
          <w:lang w:val="es-ES"/>
        </w:rPr>
      </w:pPr>
    </w:p>
    <w:p w:rsidR="00410522" w:rsidRDefault="00410522" w:rsidP="0090132A">
      <w:pPr>
        <w:jc w:val="both"/>
        <w:rPr>
          <w:lang w:val="es-ES"/>
        </w:rPr>
      </w:pPr>
    </w:p>
    <w:p w:rsidR="00410522" w:rsidRDefault="00410522" w:rsidP="0090132A">
      <w:pPr>
        <w:jc w:val="both"/>
        <w:rPr>
          <w:lang w:val="es-ES"/>
        </w:rPr>
      </w:pPr>
    </w:p>
    <w:p w:rsidR="00C54A4E" w:rsidRDefault="00C54A4E" w:rsidP="0090132A">
      <w:pPr>
        <w:jc w:val="both"/>
        <w:rPr>
          <w:b/>
          <w:bCs/>
          <w:u w:val="single"/>
          <w:lang w:val="es-ES"/>
        </w:rPr>
      </w:pPr>
    </w:p>
    <w:p w:rsidR="00C54A4E" w:rsidRDefault="00C54A4E" w:rsidP="0090132A">
      <w:pPr>
        <w:jc w:val="both"/>
        <w:rPr>
          <w:b/>
          <w:bCs/>
          <w:u w:val="single"/>
          <w:lang w:val="es-ES"/>
        </w:rPr>
      </w:pPr>
    </w:p>
    <w:p w:rsidR="00C54A4E" w:rsidRDefault="00C54A4E" w:rsidP="0090132A">
      <w:pPr>
        <w:jc w:val="both"/>
        <w:rPr>
          <w:b/>
          <w:bCs/>
          <w:u w:val="single"/>
          <w:lang w:val="es-ES"/>
        </w:rPr>
      </w:pPr>
    </w:p>
    <w:p w:rsidR="00C54A4E" w:rsidRDefault="00C54A4E" w:rsidP="0090132A">
      <w:pPr>
        <w:jc w:val="both"/>
        <w:rPr>
          <w:b/>
          <w:bCs/>
          <w:u w:val="single"/>
          <w:lang w:val="es-ES"/>
        </w:rPr>
      </w:pPr>
    </w:p>
    <w:p w:rsidR="00A67966" w:rsidRDefault="00A67966" w:rsidP="0090132A">
      <w:pPr>
        <w:jc w:val="both"/>
        <w:rPr>
          <w:b/>
          <w:bCs/>
          <w:u w:val="single"/>
          <w:lang w:val="es-ES"/>
        </w:rPr>
      </w:pPr>
    </w:p>
    <w:p w:rsidR="002751A2" w:rsidRPr="00410522" w:rsidRDefault="00C54A4E" w:rsidP="0090132A">
      <w:pPr>
        <w:jc w:val="both"/>
        <w:rPr>
          <w:b/>
          <w:bCs/>
          <w:u w:val="single"/>
          <w:lang w:val="es-ES"/>
        </w:rPr>
      </w:pPr>
      <w:r>
        <w:rPr>
          <w:b/>
          <w:bCs/>
          <w:u w:val="single"/>
          <w:lang w:val="es-ES"/>
        </w:rPr>
        <w:lastRenderedPageBreak/>
        <w:t>7.</w:t>
      </w:r>
      <w:r w:rsidR="009D68AE">
        <w:rPr>
          <w:b/>
          <w:bCs/>
          <w:u w:val="single"/>
          <w:lang w:val="es-ES"/>
        </w:rPr>
        <w:t xml:space="preserve"> </w:t>
      </w:r>
      <w:r w:rsidR="008E4F37" w:rsidRPr="00410522">
        <w:rPr>
          <w:b/>
          <w:bCs/>
          <w:u w:val="single"/>
          <w:lang w:val="es-ES"/>
        </w:rPr>
        <w:t xml:space="preserve">Algoritmo </w:t>
      </w:r>
      <w:r w:rsidR="00410522" w:rsidRPr="00410522">
        <w:rPr>
          <w:b/>
          <w:bCs/>
          <w:u w:val="single"/>
          <w:lang w:val="es-ES"/>
        </w:rPr>
        <w:t xml:space="preserve">diagnóstico terapéutico </w:t>
      </w:r>
      <w:r w:rsidR="008E4F37" w:rsidRPr="00410522">
        <w:rPr>
          <w:b/>
          <w:bCs/>
          <w:u w:val="single"/>
          <w:lang w:val="es-ES"/>
        </w:rPr>
        <w:t>propuesto</w:t>
      </w:r>
    </w:p>
    <w:p w:rsidR="00410522" w:rsidRDefault="00410522" w:rsidP="0090132A">
      <w:pPr>
        <w:jc w:val="both"/>
        <w:rPr>
          <w:lang w:val="es-ES"/>
        </w:rPr>
      </w:pPr>
    </w:p>
    <w:p w:rsidR="00410522" w:rsidRDefault="00166A91" w:rsidP="0090132A">
      <w:pPr>
        <w:jc w:val="both"/>
        <w:rPr>
          <w:lang w:val="es-ES"/>
        </w:rPr>
      </w:pPr>
      <w:r>
        <w:rPr>
          <w:noProof/>
          <w:lang w:val="es-ES"/>
        </w:rPr>
        <w:drawing>
          <wp:inline distT="0" distB="0" distL="0" distR="0">
            <wp:extent cx="5931162" cy="3327816"/>
            <wp:effectExtent l="0" t="0" r="0" b="0"/>
            <wp:docPr id="3" name="Imagen 3" descr="Captura de pantalla de un cel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a de pantalla 2020-03-31 a las 9.21.5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6543" cy="3336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1A2" w:rsidRDefault="002751A2" w:rsidP="0090132A">
      <w:pPr>
        <w:jc w:val="both"/>
        <w:rPr>
          <w:lang w:val="es-ES"/>
        </w:rPr>
      </w:pPr>
    </w:p>
    <w:p w:rsidR="002751A2" w:rsidRDefault="002751A2" w:rsidP="0090132A">
      <w:pPr>
        <w:jc w:val="both"/>
        <w:rPr>
          <w:lang w:val="es-ES"/>
        </w:rPr>
      </w:pPr>
    </w:p>
    <w:p w:rsidR="006A3B15" w:rsidRPr="006A3B15" w:rsidRDefault="006A3B15" w:rsidP="0090132A">
      <w:pPr>
        <w:jc w:val="both"/>
        <w:rPr>
          <w:lang w:val="es-ES"/>
        </w:rPr>
      </w:pPr>
    </w:p>
    <w:p w:rsidR="006A3B15" w:rsidRDefault="006A3B15" w:rsidP="0090132A">
      <w:pPr>
        <w:jc w:val="both"/>
        <w:rPr>
          <w:lang w:val="es-ES"/>
        </w:rPr>
      </w:pPr>
    </w:p>
    <w:p w:rsidR="00B25AB2" w:rsidRDefault="00B25AB2" w:rsidP="0090132A">
      <w:pPr>
        <w:jc w:val="both"/>
        <w:rPr>
          <w:b/>
          <w:bCs/>
          <w:lang w:val="en-US"/>
        </w:rPr>
      </w:pPr>
    </w:p>
    <w:p w:rsidR="00B25AB2" w:rsidRDefault="00B25AB2" w:rsidP="0090132A">
      <w:pPr>
        <w:jc w:val="both"/>
        <w:rPr>
          <w:b/>
          <w:bCs/>
          <w:lang w:val="en-US"/>
        </w:rPr>
      </w:pPr>
    </w:p>
    <w:p w:rsidR="00B25AB2" w:rsidRDefault="00B25AB2" w:rsidP="0090132A">
      <w:pPr>
        <w:jc w:val="both"/>
        <w:rPr>
          <w:b/>
          <w:bCs/>
          <w:lang w:val="en-US"/>
        </w:rPr>
      </w:pPr>
    </w:p>
    <w:p w:rsidR="00B25AB2" w:rsidRDefault="00B25AB2" w:rsidP="0090132A">
      <w:pPr>
        <w:jc w:val="both"/>
        <w:rPr>
          <w:b/>
          <w:bCs/>
          <w:lang w:val="en-US"/>
        </w:rPr>
      </w:pPr>
    </w:p>
    <w:p w:rsidR="00B25AB2" w:rsidRDefault="00B25AB2" w:rsidP="0090132A">
      <w:pPr>
        <w:jc w:val="both"/>
        <w:rPr>
          <w:b/>
          <w:bCs/>
          <w:lang w:val="en-US"/>
        </w:rPr>
      </w:pPr>
    </w:p>
    <w:p w:rsidR="00B25AB2" w:rsidRDefault="00B25AB2" w:rsidP="0090132A">
      <w:pPr>
        <w:jc w:val="both"/>
        <w:rPr>
          <w:b/>
          <w:bCs/>
          <w:lang w:val="en-US"/>
        </w:rPr>
      </w:pPr>
    </w:p>
    <w:p w:rsidR="00B25AB2" w:rsidRDefault="00B25AB2" w:rsidP="0090132A">
      <w:pPr>
        <w:jc w:val="both"/>
        <w:rPr>
          <w:b/>
          <w:bCs/>
          <w:lang w:val="en-US"/>
        </w:rPr>
      </w:pPr>
    </w:p>
    <w:p w:rsidR="00B25AB2" w:rsidRDefault="00B25AB2" w:rsidP="0090132A">
      <w:pPr>
        <w:jc w:val="both"/>
        <w:rPr>
          <w:b/>
          <w:bCs/>
          <w:lang w:val="en-US"/>
        </w:rPr>
      </w:pPr>
    </w:p>
    <w:p w:rsidR="00B25AB2" w:rsidRDefault="00B25AB2" w:rsidP="0090132A">
      <w:pPr>
        <w:jc w:val="both"/>
        <w:rPr>
          <w:b/>
          <w:bCs/>
          <w:lang w:val="en-US"/>
        </w:rPr>
      </w:pPr>
    </w:p>
    <w:p w:rsidR="00B25AB2" w:rsidRDefault="00B25AB2" w:rsidP="0090132A">
      <w:pPr>
        <w:jc w:val="both"/>
        <w:rPr>
          <w:b/>
          <w:bCs/>
          <w:lang w:val="en-US"/>
        </w:rPr>
      </w:pPr>
    </w:p>
    <w:p w:rsidR="00B25AB2" w:rsidRDefault="00B25AB2" w:rsidP="0090132A">
      <w:pPr>
        <w:jc w:val="both"/>
        <w:rPr>
          <w:b/>
          <w:bCs/>
          <w:lang w:val="en-US"/>
        </w:rPr>
      </w:pPr>
    </w:p>
    <w:p w:rsidR="00B25AB2" w:rsidRDefault="00B25AB2" w:rsidP="0090132A">
      <w:pPr>
        <w:jc w:val="both"/>
        <w:rPr>
          <w:b/>
          <w:bCs/>
          <w:lang w:val="en-US"/>
        </w:rPr>
      </w:pPr>
    </w:p>
    <w:p w:rsidR="00B25AB2" w:rsidRDefault="00B25AB2" w:rsidP="0090132A">
      <w:pPr>
        <w:jc w:val="both"/>
        <w:rPr>
          <w:b/>
          <w:bCs/>
          <w:lang w:val="en-US"/>
        </w:rPr>
      </w:pPr>
    </w:p>
    <w:p w:rsidR="00B25AB2" w:rsidRDefault="00B25AB2" w:rsidP="0090132A">
      <w:pPr>
        <w:jc w:val="both"/>
        <w:rPr>
          <w:b/>
          <w:bCs/>
          <w:lang w:val="en-US"/>
        </w:rPr>
      </w:pPr>
    </w:p>
    <w:p w:rsidR="00B25AB2" w:rsidRDefault="00B25AB2" w:rsidP="0090132A">
      <w:pPr>
        <w:jc w:val="both"/>
        <w:rPr>
          <w:b/>
          <w:bCs/>
          <w:lang w:val="en-US"/>
        </w:rPr>
      </w:pPr>
    </w:p>
    <w:p w:rsidR="00B25AB2" w:rsidRDefault="00B25AB2" w:rsidP="0090132A">
      <w:pPr>
        <w:jc w:val="both"/>
        <w:rPr>
          <w:b/>
          <w:bCs/>
          <w:lang w:val="en-US"/>
        </w:rPr>
      </w:pPr>
    </w:p>
    <w:p w:rsidR="00B25AB2" w:rsidRDefault="00B25AB2" w:rsidP="0090132A">
      <w:pPr>
        <w:jc w:val="both"/>
        <w:rPr>
          <w:b/>
          <w:bCs/>
          <w:lang w:val="en-US"/>
        </w:rPr>
      </w:pPr>
    </w:p>
    <w:p w:rsidR="00B25AB2" w:rsidRDefault="00B25AB2" w:rsidP="0090132A">
      <w:pPr>
        <w:jc w:val="both"/>
        <w:rPr>
          <w:b/>
          <w:bCs/>
          <w:lang w:val="en-US"/>
        </w:rPr>
      </w:pPr>
    </w:p>
    <w:p w:rsidR="00B25AB2" w:rsidRDefault="00B25AB2" w:rsidP="0090132A">
      <w:pPr>
        <w:jc w:val="both"/>
        <w:rPr>
          <w:b/>
          <w:bCs/>
          <w:lang w:val="en-US"/>
        </w:rPr>
      </w:pPr>
    </w:p>
    <w:p w:rsidR="00B25AB2" w:rsidRDefault="00B25AB2" w:rsidP="0090132A">
      <w:pPr>
        <w:jc w:val="both"/>
        <w:rPr>
          <w:b/>
          <w:bCs/>
          <w:lang w:val="en-US"/>
        </w:rPr>
      </w:pPr>
    </w:p>
    <w:p w:rsidR="00B25AB2" w:rsidRDefault="00B25AB2" w:rsidP="0090132A">
      <w:pPr>
        <w:jc w:val="both"/>
        <w:rPr>
          <w:b/>
          <w:bCs/>
          <w:lang w:val="en-US"/>
        </w:rPr>
      </w:pPr>
    </w:p>
    <w:p w:rsidR="00B25AB2" w:rsidRDefault="00B25AB2" w:rsidP="0090132A">
      <w:pPr>
        <w:jc w:val="both"/>
        <w:rPr>
          <w:b/>
          <w:bCs/>
          <w:lang w:val="en-US"/>
        </w:rPr>
      </w:pPr>
    </w:p>
    <w:p w:rsidR="008F2A7A" w:rsidRDefault="008F2A7A" w:rsidP="0090132A">
      <w:pPr>
        <w:jc w:val="both"/>
        <w:rPr>
          <w:b/>
          <w:bCs/>
          <w:u w:val="single"/>
          <w:lang w:val="en-US"/>
        </w:rPr>
      </w:pPr>
    </w:p>
    <w:p w:rsidR="006A3B15" w:rsidRPr="00B25AB2" w:rsidRDefault="00410522" w:rsidP="0090132A">
      <w:pPr>
        <w:jc w:val="both"/>
        <w:rPr>
          <w:b/>
          <w:bCs/>
          <w:u w:val="single"/>
          <w:lang w:val="en-US"/>
        </w:rPr>
      </w:pPr>
      <w:proofErr w:type="spellStart"/>
      <w:r w:rsidRPr="00B25AB2">
        <w:rPr>
          <w:b/>
          <w:bCs/>
          <w:u w:val="single"/>
          <w:lang w:val="en-US"/>
        </w:rPr>
        <w:lastRenderedPageBreak/>
        <w:t>Bibliografía</w:t>
      </w:r>
      <w:proofErr w:type="spellEnd"/>
    </w:p>
    <w:p w:rsidR="00410522" w:rsidRPr="003C7292" w:rsidRDefault="00410522" w:rsidP="00646B6A">
      <w:pPr>
        <w:jc w:val="both"/>
        <w:rPr>
          <w:lang w:val="en-US"/>
        </w:rPr>
      </w:pPr>
    </w:p>
    <w:p w:rsidR="00646B6A" w:rsidRPr="003C7292" w:rsidRDefault="003C7292" w:rsidP="00B25AB2">
      <w:pPr>
        <w:pStyle w:val="Prrafodelista"/>
        <w:numPr>
          <w:ilvl w:val="0"/>
          <w:numId w:val="11"/>
        </w:numPr>
        <w:jc w:val="both"/>
        <w:rPr>
          <w:lang w:val="en-US"/>
        </w:rPr>
      </w:pPr>
      <w:proofErr w:type="spellStart"/>
      <w:r w:rsidRPr="003C7292">
        <w:rPr>
          <w:lang w:val="en-US"/>
        </w:rPr>
        <w:t>Giudicessi</w:t>
      </w:r>
      <w:proofErr w:type="spellEnd"/>
      <w:r w:rsidRPr="003C7292">
        <w:rPr>
          <w:lang w:val="en-US"/>
        </w:rPr>
        <w:t xml:space="preserve"> JR, Ackerman MJ, Camilleri M. Cardiovascular safety of prokinetic agents: A focus on drug-induced arrhythmias. </w:t>
      </w:r>
      <w:proofErr w:type="spellStart"/>
      <w:r w:rsidRPr="003C7292">
        <w:rPr>
          <w:i/>
          <w:iCs/>
          <w:lang w:val="en-US"/>
        </w:rPr>
        <w:t>Neurogastroenterol</w:t>
      </w:r>
      <w:proofErr w:type="spellEnd"/>
      <w:r w:rsidRPr="003C7292">
        <w:rPr>
          <w:i/>
          <w:iCs/>
          <w:lang w:val="en-US"/>
        </w:rPr>
        <w:t xml:space="preserve"> </w:t>
      </w:r>
      <w:proofErr w:type="spellStart"/>
      <w:r w:rsidRPr="003C7292">
        <w:rPr>
          <w:i/>
          <w:iCs/>
          <w:lang w:val="en-US"/>
        </w:rPr>
        <w:t>Motil</w:t>
      </w:r>
      <w:proofErr w:type="spellEnd"/>
      <w:r w:rsidRPr="003C7292">
        <w:rPr>
          <w:i/>
          <w:iCs/>
          <w:lang w:val="en-US"/>
        </w:rPr>
        <w:t xml:space="preserve">. </w:t>
      </w:r>
      <w:r w:rsidRPr="003C7292">
        <w:rPr>
          <w:lang w:val="en-US"/>
        </w:rPr>
        <w:t>2018;</w:t>
      </w:r>
      <w:proofErr w:type="gramStart"/>
      <w:r w:rsidRPr="003C7292">
        <w:rPr>
          <w:lang w:val="en-US"/>
        </w:rPr>
        <w:t>30:e</w:t>
      </w:r>
      <w:proofErr w:type="gramEnd"/>
      <w:r w:rsidRPr="003C7292">
        <w:rPr>
          <w:lang w:val="en-US"/>
        </w:rPr>
        <w:t>13302.</w:t>
      </w:r>
    </w:p>
    <w:p w:rsidR="003C7292" w:rsidRDefault="003C7292" w:rsidP="00B25AB2">
      <w:pPr>
        <w:pStyle w:val="Prrafodelista"/>
        <w:numPr>
          <w:ilvl w:val="0"/>
          <w:numId w:val="11"/>
        </w:numPr>
        <w:jc w:val="both"/>
        <w:rPr>
          <w:lang w:val="en-US"/>
        </w:rPr>
      </w:pPr>
      <w:r w:rsidRPr="003C7292">
        <w:rPr>
          <w:lang w:val="en-US"/>
        </w:rPr>
        <w:t xml:space="preserve"> </w:t>
      </w:r>
      <w:proofErr w:type="spellStart"/>
      <w:r w:rsidRPr="003C7292">
        <w:rPr>
          <w:lang w:val="en-US"/>
        </w:rPr>
        <w:t>Giudicessi</w:t>
      </w:r>
      <w:proofErr w:type="spellEnd"/>
      <w:r>
        <w:rPr>
          <w:lang w:val="en-US"/>
        </w:rPr>
        <w:t xml:space="preserve"> et al.</w:t>
      </w:r>
      <w:r w:rsidRPr="003C7292">
        <w:rPr>
          <w:lang w:val="en-US"/>
        </w:rPr>
        <w:t xml:space="preserve"> Urgent Guidance for Navigating and Circumventing the QTc Prolonging and </w:t>
      </w:r>
      <w:proofErr w:type="spellStart"/>
      <w:r w:rsidRPr="003C7292">
        <w:rPr>
          <w:lang w:val="en-US"/>
        </w:rPr>
        <w:t>Torsadogenic</w:t>
      </w:r>
      <w:proofErr w:type="spellEnd"/>
      <w:r w:rsidRPr="003C7292">
        <w:rPr>
          <w:lang w:val="en-US"/>
        </w:rPr>
        <w:t xml:space="preserve"> Potential of Possible Pharmacotherapies for COVID-19</w:t>
      </w:r>
      <w:r w:rsidRPr="003C7292">
        <w:rPr>
          <w:lang w:val="en-US"/>
        </w:rPr>
        <w:t xml:space="preserve">. </w:t>
      </w:r>
      <w:r>
        <w:rPr>
          <w:lang w:val="en-US"/>
        </w:rPr>
        <w:t xml:space="preserve"> </w:t>
      </w:r>
      <w:r w:rsidRPr="003C7292">
        <w:rPr>
          <w:lang w:val="en-US"/>
        </w:rPr>
        <w:t>2020 Mayo Foundation for Medical Education and Research. Mayo Clin Proc. 2020;95</w:t>
      </w:r>
      <w:r>
        <w:rPr>
          <w:lang w:val="en-US"/>
        </w:rPr>
        <w:t>.</w:t>
      </w:r>
    </w:p>
    <w:p w:rsidR="00A52A76" w:rsidRPr="00A52A76" w:rsidRDefault="00A52A76" w:rsidP="00A52A76">
      <w:pPr>
        <w:pStyle w:val="Prrafodelista"/>
        <w:numPr>
          <w:ilvl w:val="0"/>
          <w:numId w:val="11"/>
        </w:numPr>
        <w:rPr>
          <w:rFonts w:eastAsia="Times New Roman" w:cs="Times New Roman"/>
          <w:color w:val="000000" w:themeColor="text1"/>
          <w:lang w:val="es-ES" w:eastAsia="es-ES_tradnl"/>
        </w:rPr>
      </w:pPr>
      <w:r w:rsidRPr="00A52A76">
        <w:rPr>
          <w:rFonts w:eastAsia="Times New Roman" w:cs="Times New Roman"/>
          <w:color w:val="000000" w:themeColor="text1"/>
          <w:shd w:val="clear" w:color="auto" w:fill="FFFFFF"/>
          <w:lang w:val="en-US" w:eastAsia="es-ES_tradnl"/>
        </w:rPr>
        <w:t xml:space="preserve">Tisdale JE, </w:t>
      </w:r>
      <w:proofErr w:type="spellStart"/>
      <w:r w:rsidRPr="00A52A76">
        <w:rPr>
          <w:rFonts w:eastAsia="Times New Roman" w:cs="Times New Roman"/>
          <w:color w:val="000000" w:themeColor="text1"/>
          <w:shd w:val="clear" w:color="auto" w:fill="FFFFFF"/>
          <w:lang w:val="en-US" w:eastAsia="es-ES_tradnl"/>
        </w:rPr>
        <w:t>Jayes</w:t>
      </w:r>
      <w:proofErr w:type="spellEnd"/>
      <w:r w:rsidRPr="00A52A76">
        <w:rPr>
          <w:rFonts w:eastAsia="Times New Roman" w:cs="Times New Roman"/>
          <w:color w:val="000000" w:themeColor="text1"/>
          <w:shd w:val="clear" w:color="auto" w:fill="FFFFFF"/>
          <w:lang w:val="en-US" w:eastAsia="es-ES_tradnl"/>
        </w:rPr>
        <w:t xml:space="preserve"> HA, Kingery JR, et al. Development and validation of a risk score to predict QT interval prolongation in hospitalized patients. </w:t>
      </w:r>
      <w:proofErr w:type="spellStart"/>
      <w:r w:rsidRPr="00A52A76">
        <w:rPr>
          <w:rFonts w:eastAsia="Times New Roman" w:cs="Times New Roman"/>
          <w:i/>
          <w:iCs/>
          <w:color w:val="000000" w:themeColor="text1"/>
          <w:shd w:val="clear" w:color="auto" w:fill="FFFFFF"/>
          <w:lang w:val="es-ES" w:eastAsia="es-ES_tradnl"/>
        </w:rPr>
        <w:t>Circ</w:t>
      </w:r>
      <w:proofErr w:type="spellEnd"/>
      <w:r w:rsidRPr="00A52A76">
        <w:rPr>
          <w:rFonts w:eastAsia="Times New Roman" w:cs="Times New Roman"/>
          <w:i/>
          <w:iCs/>
          <w:color w:val="000000" w:themeColor="text1"/>
          <w:shd w:val="clear" w:color="auto" w:fill="FFFFFF"/>
          <w:lang w:val="es-ES" w:eastAsia="es-ES_tradnl"/>
        </w:rPr>
        <w:t xml:space="preserve"> </w:t>
      </w:r>
      <w:proofErr w:type="spellStart"/>
      <w:r w:rsidRPr="00A52A76">
        <w:rPr>
          <w:rFonts w:eastAsia="Times New Roman" w:cs="Times New Roman"/>
          <w:i/>
          <w:iCs/>
          <w:color w:val="000000" w:themeColor="text1"/>
          <w:shd w:val="clear" w:color="auto" w:fill="FFFFFF"/>
          <w:lang w:val="es-ES" w:eastAsia="es-ES_tradnl"/>
        </w:rPr>
        <w:t>Cardiovasc</w:t>
      </w:r>
      <w:proofErr w:type="spellEnd"/>
      <w:r w:rsidRPr="00A52A76">
        <w:rPr>
          <w:rFonts w:eastAsia="Times New Roman" w:cs="Times New Roman"/>
          <w:i/>
          <w:iCs/>
          <w:color w:val="000000" w:themeColor="text1"/>
          <w:shd w:val="clear" w:color="auto" w:fill="FFFFFF"/>
          <w:lang w:val="es-ES" w:eastAsia="es-ES_tradnl"/>
        </w:rPr>
        <w:t xml:space="preserve"> </w:t>
      </w:r>
      <w:proofErr w:type="spellStart"/>
      <w:r w:rsidRPr="00A52A76">
        <w:rPr>
          <w:rFonts w:eastAsia="Times New Roman" w:cs="Times New Roman"/>
          <w:i/>
          <w:iCs/>
          <w:color w:val="000000" w:themeColor="text1"/>
          <w:shd w:val="clear" w:color="auto" w:fill="FFFFFF"/>
          <w:lang w:val="es-ES" w:eastAsia="es-ES_tradnl"/>
        </w:rPr>
        <w:t>Qual</w:t>
      </w:r>
      <w:proofErr w:type="spellEnd"/>
      <w:r w:rsidRPr="00A52A76">
        <w:rPr>
          <w:rFonts w:eastAsia="Times New Roman" w:cs="Times New Roman"/>
          <w:i/>
          <w:iCs/>
          <w:color w:val="000000" w:themeColor="text1"/>
          <w:shd w:val="clear" w:color="auto" w:fill="FFFFFF"/>
          <w:lang w:val="es-ES" w:eastAsia="es-ES_tradnl"/>
        </w:rPr>
        <w:t xml:space="preserve"> </w:t>
      </w:r>
      <w:proofErr w:type="spellStart"/>
      <w:r w:rsidRPr="00A52A76">
        <w:rPr>
          <w:rFonts w:eastAsia="Times New Roman" w:cs="Times New Roman"/>
          <w:i/>
          <w:iCs/>
          <w:color w:val="000000" w:themeColor="text1"/>
          <w:shd w:val="clear" w:color="auto" w:fill="FFFFFF"/>
          <w:lang w:val="es-ES" w:eastAsia="es-ES_tradnl"/>
        </w:rPr>
        <w:t>Outcomes</w:t>
      </w:r>
      <w:proofErr w:type="spellEnd"/>
      <w:r w:rsidRPr="00A52A76">
        <w:rPr>
          <w:rFonts w:eastAsia="Times New Roman" w:cs="Times New Roman"/>
          <w:i/>
          <w:iCs/>
          <w:color w:val="000000" w:themeColor="text1"/>
          <w:shd w:val="clear" w:color="auto" w:fill="FFFFFF"/>
          <w:lang w:val="es-ES" w:eastAsia="es-ES_tradnl"/>
        </w:rPr>
        <w:t>.</w:t>
      </w:r>
      <w:r w:rsidRPr="00A52A76">
        <w:rPr>
          <w:rFonts w:eastAsia="Times New Roman" w:cs="Times New Roman"/>
          <w:color w:val="000000" w:themeColor="text1"/>
          <w:shd w:val="clear" w:color="auto" w:fill="FFFFFF"/>
          <w:lang w:val="es-ES" w:eastAsia="es-ES_tradnl"/>
        </w:rPr>
        <w:t> </w:t>
      </w:r>
      <w:proofErr w:type="gramStart"/>
      <w:r w:rsidRPr="00A52A76">
        <w:rPr>
          <w:rFonts w:eastAsia="Times New Roman" w:cs="Times New Roman"/>
          <w:color w:val="000000" w:themeColor="text1"/>
          <w:shd w:val="clear" w:color="auto" w:fill="FFFFFF"/>
          <w:lang w:val="es-ES" w:eastAsia="es-ES_tradnl"/>
        </w:rPr>
        <w:t>2013;6:479</w:t>
      </w:r>
      <w:proofErr w:type="gramEnd"/>
      <w:r w:rsidRPr="00A52A76">
        <w:rPr>
          <w:rFonts w:eastAsia="Times New Roman" w:cs="Times New Roman"/>
          <w:color w:val="000000" w:themeColor="text1"/>
          <w:shd w:val="clear" w:color="auto" w:fill="FFFFFF"/>
          <w:lang w:val="es-ES" w:eastAsia="es-ES_tradnl"/>
        </w:rPr>
        <w:t>-487.</w:t>
      </w:r>
    </w:p>
    <w:p w:rsidR="00B25AB2" w:rsidRPr="00B25AB2" w:rsidRDefault="00B25AB2" w:rsidP="00B25AB2">
      <w:pPr>
        <w:pStyle w:val="Prrafodelista"/>
        <w:numPr>
          <w:ilvl w:val="0"/>
          <w:numId w:val="11"/>
        </w:numPr>
        <w:rPr>
          <w:rFonts w:eastAsia="Times New Roman" w:cs="Times New Roman"/>
          <w:color w:val="000000" w:themeColor="text1"/>
          <w:lang w:val="es-ES" w:eastAsia="es-ES_tradnl"/>
        </w:rPr>
      </w:pPr>
      <w:proofErr w:type="spellStart"/>
      <w:r w:rsidRPr="00B25AB2">
        <w:rPr>
          <w:rFonts w:eastAsia="Times New Roman" w:cs="Times New Roman"/>
          <w:color w:val="000000" w:themeColor="text1"/>
          <w:shd w:val="clear" w:color="auto" w:fill="FFFFFF"/>
          <w:lang w:val="en-US" w:eastAsia="es-ES_tradnl"/>
        </w:rPr>
        <w:t>Guatret</w:t>
      </w:r>
      <w:proofErr w:type="spellEnd"/>
      <w:r w:rsidRPr="00B25AB2">
        <w:rPr>
          <w:rFonts w:eastAsia="Times New Roman" w:cs="Times New Roman"/>
          <w:color w:val="000000" w:themeColor="text1"/>
          <w:shd w:val="clear" w:color="auto" w:fill="FFFFFF"/>
          <w:lang w:val="en-US" w:eastAsia="es-ES_tradnl"/>
        </w:rPr>
        <w:t xml:space="preserve"> et al. (2020) Hydroxychloroquine and azithromycin as a treatment of COVID-19: results of an open-label non-randomized clinical trial. </w:t>
      </w:r>
      <w:proofErr w:type="spellStart"/>
      <w:r w:rsidRPr="00B25AB2">
        <w:rPr>
          <w:rFonts w:eastAsia="Times New Roman" w:cs="Times New Roman"/>
          <w:i/>
          <w:iCs/>
          <w:color w:val="000000" w:themeColor="text1"/>
          <w:shd w:val="clear" w:color="auto" w:fill="FFFFFF"/>
          <w:lang w:val="es-ES" w:eastAsia="es-ES_tradnl"/>
        </w:rPr>
        <w:t>Int</w:t>
      </w:r>
      <w:proofErr w:type="spellEnd"/>
      <w:r w:rsidRPr="00B25AB2">
        <w:rPr>
          <w:rFonts w:eastAsia="Times New Roman" w:cs="Times New Roman"/>
          <w:i/>
          <w:iCs/>
          <w:color w:val="000000" w:themeColor="text1"/>
          <w:shd w:val="clear" w:color="auto" w:fill="FFFFFF"/>
          <w:lang w:val="es-ES" w:eastAsia="es-ES_tradnl"/>
        </w:rPr>
        <w:t xml:space="preserve"> J of </w:t>
      </w:r>
      <w:proofErr w:type="spellStart"/>
      <w:r w:rsidRPr="00B25AB2">
        <w:rPr>
          <w:rFonts w:eastAsia="Times New Roman" w:cs="Times New Roman"/>
          <w:i/>
          <w:iCs/>
          <w:color w:val="000000" w:themeColor="text1"/>
          <w:shd w:val="clear" w:color="auto" w:fill="FFFFFF"/>
          <w:lang w:val="es-ES" w:eastAsia="es-ES_tradnl"/>
        </w:rPr>
        <w:t>Antimi</w:t>
      </w:r>
      <w:proofErr w:type="spellEnd"/>
      <w:r w:rsidRPr="00B25AB2">
        <w:rPr>
          <w:rFonts w:eastAsia="Times New Roman" w:cs="Times New Roman"/>
          <w:i/>
          <w:iCs/>
          <w:color w:val="000000" w:themeColor="text1"/>
          <w:shd w:val="clear" w:color="auto" w:fill="FFFFFF"/>
          <w:lang w:val="es-ES" w:eastAsia="es-ES_tradnl"/>
        </w:rPr>
        <w:t xml:space="preserve"> </w:t>
      </w:r>
      <w:proofErr w:type="spellStart"/>
      <w:r w:rsidRPr="00B25AB2">
        <w:rPr>
          <w:rFonts w:eastAsia="Times New Roman" w:cs="Times New Roman"/>
          <w:i/>
          <w:iCs/>
          <w:color w:val="000000" w:themeColor="text1"/>
          <w:shd w:val="clear" w:color="auto" w:fill="FFFFFF"/>
          <w:lang w:val="es-ES" w:eastAsia="es-ES_tradnl"/>
        </w:rPr>
        <w:t>A</w:t>
      </w:r>
      <w:r w:rsidRPr="00B25AB2">
        <w:rPr>
          <w:rFonts w:eastAsia="Times New Roman" w:cs="Times New Roman"/>
          <w:i/>
          <w:iCs/>
          <w:color w:val="000000" w:themeColor="text1"/>
          <w:shd w:val="clear" w:color="auto" w:fill="FFFFFF"/>
          <w:lang w:val="es-ES" w:eastAsia="es-ES_tradnl"/>
        </w:rPr>
        <w:t>gents</w:t>
      </w:r>
      <w:proofErr w:type="spellEnd"/>
      <w:r w:rsidRPr="00B25AB2">
        <w:rPr>
          <w:rFonts w:eastAsia="Times New Roman" w:cs="Times New Roman"/>
          <w:i/>
          <w:iCs/>
          <w:color w:val="000000" w:themeColor="text1"/>
          <w:shd w:val="clear" w:color="auto" w:fill="FFFFFF"/>
          <w:lang w:val="es-ES" w:eastAsia="es-ES_tradnl"/>
        </w:rPr>
        <w:t>.</w:t>
      </w:r>
      <w:r w:rsidRPr="00B25AB2">
        <w:rPr>
          <w:rFonts w:eastAsia="Times New Roman" w:cs="Times New Roman"/>
          <w:color w:val="000000" w:themeColor="text1"/>
          <w:shd w:val="clear" w:color="auto" w:fill="FFFFFF"/>
          <w:lang w:val="es-ES" w:eastAsia="es-ES_tradnl"/>
        </w:rPr>
        <w:t> </w:t>
      </w:r>
      <w:proofErr w:type="gramStart"/>
      <w:r w:rsidRPr="00B25AB2">
        <w:rPr>
          <w:rFonts w:eastAsia="Times New Roman" w:cs="Times New Roman"/>
          <w:color w:val="000000" w:themeColor="text1"/>
          <w:shd w:val="clear" w:color="auto" w:fill="FFFFFF"/>
          <w:lang w:val="es-ES" w:eastAsia="es-ES_tradnl"/>
        </w:rPr>
        <w:t>DOI:10.1016/j.ijantimicag</w:t>
      </w:r>
      <w:proofErr w:type="gramEnd"/>
      <w:r w:rsidRPr="00B25AB2">
        <w:rPr>
          <w:rFonts w:eastAsia="Times New Roman" w:cs="Times New Roman"/>
          <w:color w:val="000000" w:themeColor="text1"/>
          <w:shd w:val="clear" w:color="auto" w:fill="FFFFFF"/>
          <w:lang w:val="es-ES" w:eastAsia="es-ES_tradnl"/>
        </w:rPr>
        <w:t>.2020.105949.</w:t>
      </w:r>
    </w:p>
    <w:p w:rsidR="00A52A76" w:rsidRDefault="00A52A76" w:rsidP="00A52A76">
      <w:pPr>
        <w:pStyle w:val="Prrafodelista"/>
        <w:numPr>
          <w:ilvl w:val="0"/>
          <w:numId w:val="11"/>
        </w:numPr>
        <w:rPr>
          <w:rFonts w:eastAsia="Times New Roman" w:cs="Times New Roman"/>
          <w:color w:val="000000" w:themeColor="text1"/>
          <w:lang w:val="es-ES" w:eastAsia="es-ES_tradnl"/>
        </w:rPr>
      </w:pPr>
      <w:hyperlink r:id="rId7" w:history="1">
        <w:r w:rsidRPr="00A52A76">
          <w:rPr>
            <w:rFonts w:eastAsia="Times New Roman" w:cs="Times New Roman"/>
            <w:color w:val="000000" w:themeColor="text1"/>
            <w:lang w:val="es-ES" w:eastAsia="es-ES_tradnl"/>
          </w:rPr>
          <w:t>https://www.acc.org/sitecore/content/Sites/ACC/Home/Latest-in-Cardiology/Articles/2020/03/27/14/00/Ventricular-Arrhythmia-Risk-Due-to-Hydroxychloroquine-Azithromycin-Treatment-For-COVID-19</w:t>
        </w:r>
      </w:hyperlink>
    </w:p>
    <w:p w:rsidR="00A52A76" w:rsidRPr="008F2A7A" w:rsidRDefault="00A52A76" w:rsidP="00A52A76">
      <w:pPr>
        <w:pStyle w:val="Prrafodelista"/>
        <w:numPr>
          <w:ilvl w:val="0"/>
          <w:numId w:val="11"/>
        </w:numPr>
        <w:rPr>
          <w:rFonts w:eastAsia="Times New Roman" w:cs="Times New Roman"/>
          <w:color w:val="000000" w:themeColor="text1"/>
          <w:lang w:val="es-ES" w:eastAsia="es-ES_tradnl"/>
        </w:rPr>
      </w:pPr>
      <w:proofErr w:type="spellStart"/>
      <w:r w:rsidRPr="00A52A76">
        <w:rPr>
          <w:sz w:val="23"/>
          <w:szCs w:val="23"/>
          <w:lang w:val="en-US"/>
        </w:rPr>
        <w:t>Vink</w:t>
      </w:r>
      <w:proofErr w:type="spellEnd"/>
      <w:r w:rsidRPr="00A52A76">
        <w:rPr>
          <w:sz w:val="23"/>
          <w:szCs w:val="23"/>
          <w:lang w:val="en-US"/>
        </w:rPr>
        <w:t xml:space="preserve"> AS, Neumann B, </w:t>
      </w:r>
      <w:proofErr w:type="spellStart"/>
      <w:r w:rsidRPr="00A52A76">
        <w:rPr>
          <w:sz w:val="23"/>
          <w:szCs w:val="23"/>
          <w:lang w:val="en-US"/>
        </w:rPr>
        <w:t>Lieve</w:t>
      </w:r>
      <w:proofErr w:type="spellEnd"/>
      <w:r w:rsidRPr="00A52A76">
        <w:rPr>
          <w:sz w:val="23"/>
          <w:szCs w:val="23"/>
          <w:lang w:val="en-US"/>
        </w:rPr>
        <w:t xml:space="preserve"> KVV, et al. Determination and interpretation of the QT interval. </w:t>
      </w:r>
      <w:proofErr w:type="spellStart"/>
      <w:r>
        <w:rPr>
          <w:i/>
          <w:iCs/>
          <w:sz w:val="23"/>
          <w:szCs w:val="23"/>
        </w:rPr>
        <w:t>Circulation</w:t>
      </w:r>
      <w:proofErr w:type="spellEnd"/>
      <w:r>
        <w:rPr>
          <w:i/>
          <w:iCs/>
          <w:sz w:val="23"/>
          <w:szCs w:val="23"/>
        </w:rPr>
        <w:t xml:space="preserve">. </w:t>
      </w:r>
      <w:proofErr w:type="gramStart"/>
      <w:r>
        <w:rPr>
          <w:sz w:val="23"/>
          <w:szCs w:val="23"/>
        </w:rPr>
        <w:t>2018;138:2345</w:t>
      </w:r>
      <w:proofErr w:type="gramEnd"/>
      <w:r>
        <w:rPr>
          <w:sz w:val="23"/>
          <w:szCs w:val="23"/>
        </w:rPr>
        <w:t>-2358.</w:t>
      </w:r>
    </w:p>
    <w:p w:rsidR="008F2A7A" w:rsidRDefault="008F2A7A" w:rsidP="008F2A7A">
      <w:pPr>
        <w:pStyle w:val="Prrafodelista"/>
        <w:numPr>
          <w:ilvl w:val="0"/>
          <w:numId w:val="11"/>
        </w:numPr>
        <w:rPr>
          <w:rFonts w:eastAsia="Times New Roman" w:cs="Times New Roman"/>
          <w:lang w:val="en-US" w:eastAsia="es-ES_tradnl"/>
        </w:rPr>
      </w:pPr>
      <w:r w:rsidRPr="008F2A7A">
        <w:rPr>
          <w:rFonts w:eastAsia="Times New Roman" w:cs="Times New Roman"/>
          <w:lang w:val="en-US" w:eastAsia="es-ES_tradnl"/>
        </w:rPr>
        <w:t xml:space="preserve">Cao B, Wang Y, Wen D, Liu W, Wang J, Fan G, et al. A Trial of Lopinavir–Ritonavir in Adults Hospitalized with Severe Covid-19. N </w:t>
      </w:r>
      <w:proofErr w:type="spellStart"/>
      <w:r w:rsidRPr="008F2A7A">
        <w:rPr>
          <w:rFonts w:eastAsia="Times New Roman" w:cs="Times New Roman"/>
          <w:lang w:val="en-US" w:eastAsia="es-ES_tradnl"/>
        </w:rPr>
        <w:t>Engl</w:t>
      </w:r>
      <w:proofErr w:type="spellEnd"/>
      <w:r w:rsidRPr="008F2A7A">
        <w:rPr>
          <w:rFonts w:eastAsia="Times New Roman" w:cs="Times New Roman"/>
          <w:lang w:val="en-US" w:eastAsia="es-ES_tradnl"/>
        </w:rPr>
        <w:t xml:space="preserve"> J Med n.d.;</w:t>
      </w:r>
      <w:proofErr w:type="gramStart"/>
      <w:r w:rsidRPr="008F2A7A">
        <w:rPr>
          <w:rFonts w:eastAsia="Times New Roman" w:cs="Times New Roman"/>
          <w:lang w:val="en-US" w:eastAsia="es-ES_tradnl"/>
        </w:rPr>
        <w:t>0:null</w:t>
      </w:r>
      <w:proofErr w:type="gramEnd"/>
      <w:r w:rsidRPr="008F2A7A">
        <w:rPr>
          <w:rFonts w:eastAsia="Times New Roman" w:cs="Times New Roman"/>
          <w:lang w:val="en-US" w:eastAsia="es-ES_tradnl"/>
        </w:rPr>
        <w:t xml:space="preserve">. </w:t>
      </w:r>
      <w:hyperlink r:id="rId8" w:history="1">
        <w:r w:rsidR="00983B64" w:rsidRPr="00C04769">
          <w:rPr>
            <w:rStyle w:val="Hipervnculo"/>
            <w:rFonts w:eastAsia="Times New Roman" w:cs="Times New Roman"/>
            <w:lang w:val="en-US" w:eastAsia="es-ES_tradnl"/>
          </w:rPr>
          <w:t>https://doi.org/10.1056/NEJMoa2001282</w:t>
        </w:r>
      </w:hyperlink>
      <w:r w:rsidRPr="008F2A7A">
        <w:rPr>
          <w:rFonts w:eastAsia="Times New Roman" w:cs="Times New Roman"/>
          <w:lang w:val="en-US" w:eastAsia="es-ES_tradnl"/>
        </w:rPr>
        <w:t>.</w:t>
      </w:r>
    </w:p>
    <w:p w:rsidR="00983B64" w:rsidRPr="00983B64" w:rsidRDefault="00983B64" w:rsidP="00983B64">
      <w:pPr>
        <w:pStyle w:val="Prrafodelista"/>
        <w:numPr>
          <w:ilvl w:val="0"/>
          <w:numId w:val="11"/>
        </w:numPr>
        <w:rPr>
          <w:rFonts w:eastAsia="Times New Roman" w:cs="Times New Roman"/>
          <w:lang w:val="es-ES" w:eastAsia="es-ES_tradnl"/>
        </w:rPr>
      </w:pPr>
      <w:r w:rsidRPr="00983B64">
        <w:rPr>
          <w:rFonts w:eastAsia="Times New Roman" w:cs="Times New Roman"/>
          <w:lang w:val="en-US" w:eastAsia="es-ES_tradnl"/>
        </w:rPr>
        <w:t xml:space="preserve">Hobbs JB, Peterson DR, Moss AJ, McNitt S, </w:t>
      </w:r>
      <w:proofErr w:type="spellStart"/>
      <w:r w:rsidRPr="00983B64">
        <w:rPr>
          <w:rFonts w:eastAsia="Times New Roman" w:cs="Times New Roman"/>
          <w:lang w:val="en-US" w:eastAsia="es-ES_tradnl"/>
        </w:rPr>
        <w:t>Zareba</w:t>
      </w:r>
      <w:proofErr w:type="spellEnd"/>
      <w:r w:rsidRPr="00983B64">
        <w:rPr>
          <w:rFonts w:eastAsia="Times New Roman" w:cs="Times New Roman"/>
          <w:lang w:val="en-US" w:eastAsia="es-ES_tradnl"/>
        </w:rPr>
        <w:t xml:space="preserve"> W, Goldenberg I, et al. Risk of aborted cardiac arrest or sudden cardiac death during adolescence in the long-QT syndrome. </w:t>
      </w:r>
      <w:r w:rsidRPr="00983B64">
        <w:rPr>
          <w:rFonts w:eastAsia="Times New Roman" w:cs="Times New Roman"/>
          <w:lang w:val="es-ES" w:eastAsia="es-ES_tradnl"/>
        </w:rPr>
        <w:t xml:space="preserve">J Am </w:t>
      </w:r>
      <w:proofErr w:type="spellStart"/>
      <w:r w:rsidRPr="00983B64">
        <w:rPr>
          <w:rFonts w:eastAsia="Times New Roman" w:cs="Times New Roman"/>
          <w:lang w:val="es-ES" w:eastAsia="es-ES_tradnl"/>
        </w:rPr>
        <w:t>Med</w:t>
      </w:r>
      <w:proofErr w:type="spellEnd"/>
      <w:r w:rsidRPr="00983B64">
        <w:rPr>
          <w:rFonts w:eastAsia="Times New Roman" w:cs="Times New Roman"/>
          <w:lang w:val="es-ES" w:eastAsia="es-ES_tradnl"/>
        </w:rPr>
        <w:t xml:space="preserve"> </w:t>
      </w:r>
      <w:proofErr w:type="spellStart"/>
      <w:r w:rsidRPr="00983B64">
        <w:rPr>
          <w:rFonts w:eastAsia="Times New Roman" w:cs="Times New Roman"/>
          <w:lang w:val="es-ES" w:eastAsia="es-ES_tradnl"/>
        </w:rPr>
        <w:t>Assoc</w:t>
      </w:r>
      <w:proofErr w:type="spellEnd"/>
      <w:r w:rsidRPr="00983B64">
        <w:rPr>
          <w:rFonts w:eastAsia="Times New Roman" w:cs="Times New Roman"/>
          <w:lang w:val="es-ES" w:eastAsia="es-ES_tradnl"/>
        </w:rPr>
        <w:t xml:space="preserve"> </w:t>
      </w:r>
      <w:proofErr w:type="gramStart"/>
      <w:r w:rsidRPr="00983B64">
        <w:rPr>
          <w:rFonts w:eastAsia="Times New Roman" w:cs="Times New Roman"/>
          <w:lang w:val="es-ES" w:eastAsia="es-ES_tradnl"/>
        </w:rPr>
        <w:t>2006;296:1249</w:t>
      </w:r>
      <w:proofErr w:type="gramEnd"/>
      <w:r w:rsidRPr="00983B64">
        <w:rPr>
          <w:rFonts w:eastAsia="Times New Roman" w:cs="Times New Roman"/>
          <w:lang w:val="es-ES" w:eastAsia="es-ES_tradnl"/>
        </w:rPr>
        <w:t>–54. https://doi.org/10.1001/jama.296.10.1249.</w:t>
      </w:r>
    </w:p>
    <w:p w:rsidR="00983B64" w:rsidRPr="008F2A7A" w:rsidRDefault="00983B64" w:rsidP="00A67966">
      <w:pPr>
        <w:pStyle w:val="Prrafodelista"/>
        <w:rPr>
          <w:rFonts w:eastAsia="Times New Roman" w:cs="Times New Roman"/>
          <w:lang w:val="en-US" w:eastAsia="es-ES_tradnl"/>
        </w:rPr>
      </w:pPr>
    </w:p>
    <w:p w:rsidR="003C7292" w:rsidRPr="008F2A7A" w:rsidRDefault="003C7292" w:rsidP="00A52A76">
      <w:pPr>
        <w:pStyle w:val="Prrafodelista"/>
        <w:jc w:val="both"/>
        <w:rPr>
          <w:lang w:val="en-US"/>
        </w:rPr>
      </w:pPr>
    </w:p>
    <w:p w:rsidR="00646B6A" w:rsidRPr="008F2A7A" w:rsidRDefault="00646B6A" w:rsidP="00B25AB2">
      <w:pPr>
        <w:jc w:val="both"/>
        <w:rPr>
          <w:lang w:val="en-US"/>
        </w:rPr>
      </w:pPr>
    </w:p>
    <w:p w:rsidR="00646B6A" w:rsidRPr="008F2A7A" w:rsidRDefault="00646B6A" w:rsidP="00B25AB2">
      <w:pPr>
        <w:jc w:val="both"/>
        <w:rPr>
          <w:lang w:val="en-US"/>
        </w:rPr>
      </w:pPr>
    </w:p>
    <w:p w:rsidR="0099356B" w:rsidRPr="008F2A7A" w:rsidRDefault="0099356B" w:rsidP="00B25AB2">
      <w:pPr>
        <w:jc w:val="both"/>
        <w:rPr>
          <w:b/>
          <w:bCs/>
          <w:lang w:val="en-US"/>
        </w:rPr>
      </w:pPr>
    </w:p>
    <w:p w:rsidR="0099356B" w:rsidRPr="008F2A7A" w:rsidRDefault="0099356B" w:rsidP="00B25AB2">
      <w:pPr>
        <w:jc w:val="both"/>
        <w:rPr>
          <w:b/>
          <w:bCs/>
          <w:lang w:val="en-US"/>
        </w:rPr>
      </w:pPr>
    </w:p>
    <w:p w:rsidR="0099356B" w:rsidRPr="008F2A7A" w:rsidRDefault="0099356B" w:rsidP="00B25AB2">
      <w:pPr>
        <w:jc w:val="both"/>
        <w:rPr>
          <w:b/>
          <w:bCs/>
          <w:lang w:val="en-US"/>
        </w:rPr>
      </w:pPr>
    </w:p>
    <w:p w:rsidR="0099356B" w:rsidRPr="008F2A7A" w:rsidRDefault="0099356B" w:rsidP="00B25AB2">
      <w:pPr>
        <w:jc w:val="both"/>
        <w:rPr>
          <w:b/>
          <w:bCs/>
          <w:lang w:val="en-US"/>
        </w:rPr>
      </w:pPr>
    </w:p>
    <w:p w:rsidR="0099356B" w:rsidRPr="008F2A7A" w:rsidRDefault="0099356B" w:rsidP="00B25AB2">
      <w:pPr>
        <w:jc w:val="both"/>
        <w:rPr>
          <w:b/>
          <w:bCs/>
          <w:lang w:val="en-US"/>
        </w:rPr>
      </w:pPr>
    </w:p>
    <w:p w:rsidR="0099356B" w:rsidRPr="008F2A7A" w:rsidRDefault="0099356B" w:rsidP="00B25AB2">
      <w:pPr>
        <w:jc w:val="both"/>
        <w:rPr>
          <w:b/>
          <w:bCs/>
          <w:lang w:val="en-US"/>
        </w:rPr>
      </w:pPr>
    </w:p>
    <w:p w:rsidR="0099356B" w:rsidRPr="008F2A7A" w:rsidRDefault="0099356B" w:rsidP="00B25AB2">
      <w:pPr>
        <w:jc w:val="both"/>
        <w:rPr>
          <w:b/>
          <w:bCs/>
          <w:lang w:val="en-US"/>
        </w:rPr>
      </w:pPr>
    </w:p>
    <w:p w:rsidR="0099356B" w:rsidRPr="008F2A7A" w:rsidRDefault="0099356B" w:rsidP="00B25AB2">
      <w:pPr>
        <w:jc w:val="both"/>
        <w:rPr>
          <w:b/>
          <w:bCs/>
          <w:lang w:val="en-US"/>
        </w:rPr>
      </w:pPr>
    </w:p>
    <w:p w:rsidR="0099356B" w:rsidRPr="008F2A7A" w:rsidRDefault="0099356B" w:rsidP="00B25AB2">
      <w:pPr>
        <w:jc w:val="both"/>
        <w:rPr>
          <w:b/>
          <w:bCs/>
          <w:lang w:val="en-US"/>
        </w:rPr>
      </w:pPr>
    </w:p>
    <w:p w:rsidR="0099356B" w:rsidRPr="008F2A7A" w:rsidRDefault="0099356B" w:rsidP="00B25AB2">
      <w:pPr>
        <w:jc w:val="both"/>
        <w:rPr>
          <w:b/>
          <w:bCs/>
          <w:lang w:val="en-US"/>
        </w:rPr>
      </w:pPr>
    </w:p>
    <w:p w:rsidR="0099356B" w:rsidRPr="008F2A7A" w:rsidRDefault="0099356B" w:rsidP="00B25AB2">
      <w:pPr>
        <w:jc w:val="both"/>
        <w:rPr>
          <w:b/>
          <w:bCs/>
          <w:lang w:val="en-US"/>
        </w:rPr>
      </w:pPr>
    </w:p>
    <w:p w:rsidR="0099356B" w:rsidRPr="008F2A7A" w:rsidRDefault="0099356B" w:rsidP="00B25AB2">
      <w:pPr>
        <w:jc w:val="both"/>
        <w:rPr>
          <w:b/>
          <w:bCs/>
          <w:lang w:val="en-US"/>
        </w:rPr>
      </w:pPr>
    </w:p>
    <w:p w:rsidR="0099356B" w:rsidRPr="008F2A7A" w:rsidRDefault="0099356B" w:rsidP="00B25AB2">
      <w:pPr>
        <w:jc w:val="both"/>
        <w:rPr>
          <w:b/>
          <w:bCs/>
          <w:lang w:val="en-US"/>
        </w:rPr>
      </w:pPr>
    </w:p>
    <w:p w:rsidR="0099356B" w:rsidRPr="008F2A7A" w:rsidRDefault="0099356B" w:rsidP="00B25AB2">
      <w:pPr>
        <w:jc w:val="both"/>
        <w:rPr>
          <w:b/>
          <w:bCs/>
          <w:lang w:val="en-US"/>
        </w:rPr>
      </w:pPr>
    </w:p>
    <w:p w:rsidR="0099356B" w:rsidRPr="008F2A7A" w:rsidRDefault="0099356B" w:rsidP="00B25AB2">
      <w:pPr>
        <w:jc w:val="both"/>
        <w:rPr>
          <w:b/>
          <w:bCs/>
          <w:lang w:val="en-US"/>
        </w:rPr>
      </w:pPr>
    </w:p>
    <w:p w:rsidR="0099356B" w:rsidRPr="008F2A7A" w:rsidRDefault="0099356B" w:rsidP="00B25AB2">
      <w:pPr>
        <w:jc w:val="both"/>
        <w:rPr>
          <w:b/>
          <w:bCs/>
          <w:lang w:val="en-US"/>
        </w:rPr>
      </w:pPr>
    </w:p>
    <w:p w:rsidR="00646B6A" w:rsidRPr="00646B6A" w:rsidRDefault="00646B6A" w:rsidP="00B25AB2">
      <w:pPr>
        <w:jc w:val="both"/>
        <w:rPr>
          <w:b/>
          <w:bCs/>
          <w:lang w:val="es-ES"/>
        </w:rPr>
      </w:pPr>
      <w:r w:rsidRPr="00646B6A">
        <w:rPr>
          <w:b/>
          <w:bCs/>
          <w:lang w:val="es-ES"/>
        </w:rPr>
        <w:lastRenderedPageBreak/>
        <w:t>ANEXO 1</w:t>
      </w:r>
    </w:p>
    <w:p w:rsidR="00646B6A" w:rsidRDefault="00646B6A" w:rsidP="00646B6A">
      <w:pPr>
        <w:jc w:val="both"/>
        <w:rPr>
          <w:lang w:val="es-ES"/>
        </w:rPr>
      </w:pPr>
    </w:p>
    <w:p w:rsidR="00646B6A" w:rsidRDefault="00646B6A" w:rsidP="00646B6A">
      <w:pPr>
        <w:jc w:val="both"/>
        <w:rPr>
          <w:lang w:val="es-ES"/>
        </w:rPr>
      </w:pPr>
      <w:r>
        <w:rPr>
          <w:lang w:val="es-ES"/>
        </w:rPr>
        <w:t xml:space="preserve">Escala de riesgo para identificar pacientes con alto riesgo de prolongación de </w:t>
      </w:r>
      <w:proofErr w:type="spellStart"/>
      <w:r>
        <w:rPr>
          <w:lang w:val="es-ES"/>
        </w:rPr>
        <w:t>QTc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Tindale</w:t>
      </w:r>
      <w:proofErr w:type="spellEnd"/>
      <w:r>
        <w:rPr>
          <w:lang w:val="es-ES"/>
        </w:rPr>
        <w:t xml:space="preserve"> et al.)</w:t>
      </w:r>
    </w:p>
    <w:p w:rsidR="00646B6A" w:rsidRDefault="00646B6A" w:rsidP="00646B6A">
      <w:pPr>
        <w:jc w:val="both"/>
        <w:rPr>
          <w:lang w:val="es-ES"/>
        </w:rPr>
      </w:pPr>
    </w:p>
    <w:tbl>
      <w:tblPr>
        <w:tblStyle w:val="Tablaconcuadrcula6concolores-nfasis1"/>
        <w:tblW w:w="0" w:type="auto"/>
        <w:tblLook w:val="04A0" w:firstRow="1" w:lastRow="0" w:firstColumn="1" w:lastColumn="0" w:noHBand="0" w:noVBand="1"/>
      </w:tblPr>
      <w:tblGrid>
        <w:gridCol w:w="6374"/>
        <w:gridCol w:w="2114"/>
      </w:tblGrid>
      <w:tr w:rsidR="00646B6A" w:rsidTr="00646B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646B6A" w:rsidRDefault="00646B6A" w:rsidP="008371DC">
            <w:pPr>
              <w:spacing w:line="276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Factor de riesgo</w:t>
            </w:r>
          </w:p>
        </w:tc>
        <w:tc>
          <w:tcPr>
            <w:tcW w:w="2114" w:type="dxa"/>
          </w:tcPr>
          <w:p w:rsidR="00646B6A" w:rsidRDefault="00646B6A" w:rsidP="00646B6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Puntos</w:t>
            </w:r>
          </w:p>
        </w:tc>
      </w:tr>
      <w:tr w:rsidR="00646B6A" w:rsidTr="00646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646B6A" w:rsidRDefault="00646B6A" w:rsidP="008371DC">
            <w:pPr>
              <w:spacing w:line="276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Edad </w:t>
            </w:r>
            <m:oMath>
              <m:r>
                <m:rPr>
                  <m:sty m:val="bi"/>
                </m:rPr>
                <w:rPr>
                  <w:rFonts w:ascii="Cambria Math" w:hAnsi="Cambria Math"/>
                  <w:lang w:val="es-ES"/>
                </w:rPr>
                <m:t>≥</m:t>
              </m:r>
            </m:oMath>
            <w:r>
              <w:rPr>
                <w:rFonts w:eastAsiaTheme="minorEastAsia"/>
                <w:lang w:val="es-ES"/>
              </w:rPr>
              <w:t xml:space="preserve"> 68 años</w:t>
            </w:r>
          </w:p>
        </w:tc>
        <w:tc>
          <w:tcPr>
            <w:tcW w:w="2114" w:type="dxa"/>
          </w:tcPr>
          <w:p w:rsidR="00646B6A" w:rsidRDefault="00646B6A" w:rsidP="00646B6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</w:tr>
      <w:tr w:rsidR="00646B6A" w:rsidTr="00646B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646B6A" w:rsidRDefault="00646B6A" w:rsidP="008371DC">
            <w:pPr>
              <w:spacing w:line="276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Sexo femenino</w:t>
            </w:r>
          </w:p>
        </w:tc>
        <w:tc>
          <w:tcPr>
            <w:tcW w:w="2114" w:type="dxa"/>
          </w:tcPr>
          <w:p w:rsidR="00646B6A" w:rsidRDefault="00646B6A" w:rsidP="00646B6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</w:tr>
      <w:tr w:rsidR="00646B6A" w:rsidTr="00646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646B6A" w:rsidRDefault="00646B6A" w:rsidP="008371DC">
            <w:pPr>
              <w:spacing w:line="276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Diurético de asa</w:t>
            </w:r>
          </w:p>
        </w:tc>
        <w:tc>
          <w:tcPr>
            <w:tcW w:w="2114" w:type="dxa"/>
          </w:tcPr>
          <w:p w:rsidR="00646B6A" w:rsidRDefault="00646B6A" w:rsidP="00646B6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</w:tr>
      <w:tr w:rsidR="00646B6A" w:rsidTr="00646B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646B6A" w:rsidRPr="00646B6A" w:rsidRDefault="00646B6A" w:rsidP="008371DC">
            <w:pPr>
              <w:spacing w:line="276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K</w:t>
            </w:r>
            <w:r>
              <w:rPr>
                <w:vertAlign w:val="superscript"/>
                <w:lang w:val="es-ES"/>
              </w:rPr>
              <w:t>+</w:t>
            </w:r>
            <w:r>
              <w:rPr>
                <w:lang w:val="es-ES"/>
              </w:rPr>
              <w:t xml:space="preserve"> &lt; 3.5</w:t>
            </w:r>
          </w:p>
        </w:tc>
        <w:tc>
          <w:tcPr>
            <w:tcW w:w="2114" w:type="dxa"/>
          </w:tcPr>
          <w:p w:rsidR="00646B6A" w:rsidRDefault="00646B6A" w:rsidP="00646B6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</w:tr>
      <w:tr w:rsidR="00646B6A" w:rsidTr="00646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646B6A" w:rsidRDefault="00646B6A" w:rsidP="008371DC">
            <w:pPr>
              <w:spacing w:line="276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Infarto agudo de miocardio</w:t>
            </w:r>
          </w:p>
        </w:tc>
        <w:tc>
          <w:tcPr>
            <w:tcW w:w="2114" w:type="dxa"/>
          </w:tcPr>
          <w:p w:rsidR="00646B6A" w:rsidRDefault="00646B6A" w:rsidP="00646B6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</w:tr>
      <w:tr w:rsidR="00646B6A" w:rsidTr="00646B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646B6A" w:rsidRDefault="00646B6A" w:rsidP="008371DC">
            <w:pPr>
              <w:spacing w:line="276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Insuficiencia cardiaca con FEVI deprimida</w:t>
            </w:r>
          </w:p>
        </w:tc>
        <w:tc>
          <w:tcPr>
            <w:tcW w:w="2114" w:type="dxa"/>
          </w:tcPr>
          <w:p w:rsidR="00646B6A" w:rsidRDefault="00646B6A" w:rsidP="00646B6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</w:tr>
      <w:tr w:rsidR="00646B6A" w:rsidTr="00646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646B6A" w:rsidRDefault="00646B6A" w:rsidP="008371DC">
            <w:pPr>
              <w:spacing w:line="276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Un fármaco que alargue QT</w:t>
            </w:r>
          </w:p>
        </w:tc>
        <w:tc>
          <w:tcPr>
            <w:tcW w:w="2114" w:type="dxa"/>
          </w:tcPr>
          <w:p w:rsidR="00646B6A" w:rsidRDefault="00646B6A" w:rsidP="00646B6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</w:tr>
      <w:tr w:rsidR="00646B6A" w:rsidTr="00646B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646B6A" w:rsidRDefault="00646B6A" w:rsidP="008371DC">
            <w:pPr>
              <w:spacing w:line="276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Dos más </w:t>
            </w:r>
            <w:r>
              <w:rPr>
                <w:lang w:val="es-ES"/>
              </w:rPr>
              <w:t>fármaco</w:t>
            </w:r>
            <w:r>
              <w:rPr>
                <w:lang w:val="es-ES"/>
              </w:rPr>
              <w:t>s</w:t>
            </w:r>
            <w:r>
              <w:rPr>
                <w:lang w:val="es-ES"/>
              </w:rPr>
              <w:t xml:space="preserve"> que alargue</w:t>
            </w:r>
            <w:r>
              <w:rPr>
                <w:lang w:val="es-ES"/>
              </w:rPr>
              <w:t>n</w:t>
            </w:r>
            <w:r>
              <w:rPr>
                <w:lang w:val="es-ES"/>
              </w:rPr>
              <w:t xml:space="preserve"> QT</w:t>
            </w:r>
          </w:p>
        </w:tc>
        <w:tc>
          <w:tcPr>
            <w:tcW w:w="2114" w:type="dxa"/>
          </w:tcPr>
          <w:p w:rsidR="00646B6A" w:rsidRDefault="00646B6A" w:rsidP="00646B6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</w:tr>
      <w:tr w:rsidR="00646B6A" w:rsidTr="00646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646B6A" w:rsidRDefault="00646B6A" w:rsidP="008371DC">
            <w:pPr>
              <w:spacing w:line="276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Sepsis</w:t>
            </w:r>
          </w:p>
        </w:tc>
        <w:tc>
          <w:tcPr>
            <w:tcW w:w="2114" w:type="dxa"/>
          </w:tcPr>
          <w:p w:rsidR="00646B6A" w:rsidRDefault="00646B6A" w:rsidP="00646B6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</w:tr>
    </w:tbl>
    <w:p w:rsidR="00646B6A" w:rsidRDefault="00646B6A" w:rsidP="00646B6A">
      <w:pPr>
        <w:jc w:val="both"/>
        <w:rPr>
          <w:lang w:val="es-ES"/>
        </w:rPr>
      </w:pPr>
    </w:p>
    <w:p w:rsidR="00646B6A" w:rsidRPr="00646B6A" w:rsidRDefault="00646B6A" w:rsidP="00646B6A">
      <w:pPr>
        <w:jc w:val="both"/>
        <w:rPr>
          <w:lang w:val="es-ES"/>
        </w:rPr>
      </w:pPr>
      <m:oMath>
        <m:r>
          <w:rPr>
            <w:rFonts w:ascii="Cambria Math" w:eastAsiaTheme="minorEastAsia" w:hAnsi="Cambria Math"/>
            <w:lang w:val="es-ES"/>
          </w:rPr>
          <m:t xml:space="preserve">&lt; </m:t>
        </m:r>
      </m:oMath>
      <w:r>
        <w:rPr>
          <w:rFonts w:eastAsiaTheme="minorEastAsia"/>
          <w:lang w:val="es-ES"/>
        </w:rPr>
        <w:t xml:space="preserve">7: bajo riesgo, 7-10: riesgo moderado, </w:t>
      </w:r>
      <m:oMath>
        <m:r>
          <w:rPr>
            <w:rFonts w:ascii="Cambria Math" w:hAnsi="Cambria Math"/>
            <w:lang w:val="es-ES"/>
          </w:rPr>
          <m:t>≥</m:t>
        </m:r>
      </m:oMath>
      <w:r>
        <w:rPr>
          <w:rFonts w:eastAsiaTheme="minorEastAsia"/>
          <w:lang w:val="es-ES"/>
        </w:rPr>
        <w:t xml:space="preserve"> 11: alto riesgo</w:t>
      </w:r>
    </w:p>
    <w:sectPr w:rsidR="00646B6A" w:rsidRPr="00646B6A" w:rsidSect="00742CF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6C4B"/>
    <w:multiLevelType w:val="hybridMultilevel"/>
    <w:tmpl w:val="2044298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46F18"/>
    <w:multiLevelType w:val="hybridMultilevel"/>
    <w:tmpl w:val="41FE0420"/>
    <w:lvl w:ilvl="0" w:tplc="1504B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B831C2"/>
    <w:multiLevelType w:val="hybridMultilevel"/>
    <w:tmpl w:val="26A03EF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87CDE"/>
    <w:multiLevelType w:val="hybridMultilevel"/>
    <w:tmpl w:val="82A6AE8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7039C"/>
    <w:multiLevelType w:val="hybridMultilevel"/>
    <w:tmpl w:val="8F62202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00232"/>
    <w:multiLevelType w:val="hybridMultilevel"/>
    <w:tmpl w:val="28385C7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D7189"/>
    <w:multiLevelType w:val="hybridMultilevel"/>
    <w:tmpl w:val="3C003BC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63F0E"/>
    <w:multiLevelType w:val="hybridMultilevel"/>
    <w:tmpl w:val="EF5648E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B44B4"/>
    <w:multiLevelType w:val="hybridMultilevel"/>
    <w:tmpl w:val="537089A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67A86"/>
    <w:multiLevelType w:val="hybridMultilevel"/>
    <w:tmpl w:val="6B62E88C"/>
    <w:lvl w:ilvl="0" w:tplc="25709804">
      <w:start w:val="48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45B147A"/>
    <w:multiLevelType w:val="hybridMultilevel"/>
    <w:tmpl w:val="7C60CAB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535A2"/>
    <w:multiLevelType w:val="hybridMultilevel"/>
    <w:tmpl w:val="9BEC2E0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64113"/>
    <w:multiLevelType w:val="hybridMultilevel"/>
    <w:tmpl w:val="811ED628"/>
    <w:lvl w:ilvl="0" w:tplc="0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D0721"/>
    <w:multiLevelType w:val="hybridMultilevel"/>
    <w:tmpl w:val="A09875E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2C2D73"/>
    <w:multiLevelType w:val="hybridMultilevel"/>
    <w:tmpl w:val="D3642094"/>
    <w:lvl w:ilvl="0" w:tplc="F6F230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1"/>
  </w:num>
  <w:num w:numId="5">
    <w:abstractNumId w:val="7"/>
  </w:num>
  <w:num w:numId="6">
    <w:abstractNumId w:val="4"/>
  </w:num>
  <w:num w:numId="7">
    <w:abstractNumId w:val="0"/>
  </w:num>
  <w:num w:numId="8">
    <w:abstractNumId w:val="13"/>
  </w:num>
  <w:num w:numId="9">
    <w:abstractNumId w:val="8"/>
  </w:num>
  <w:num w:numId="10">
    <w:abstractNumId w:val="14"/>
  </w:num>
  <w:num w:numId="11">
    <w:abstractNumId w:val="9"/>
  </w:num>
  <w:num w:numId="12">
    <w:abstractNumId w:val="3"/>
  </w:num>
  <w:num w:numId="13">
    <w:abstractNumId w:val="5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B15"/>
    <w:rsid w:val="000D7A08"/>
    <w:rsid w:val="0010789E"/>
    <w:rsid w:val="001229ED"/>
    <w:rsid w:val="0013679C"/>
    <w:rsid w:val="00166A91"/>
    <w:rsid w:val="00194EF7"/>
    <w:rsid w:val="002751A2"/>
    <w:rsid w:val="003B46CC"/>
    <w:rsid w:val="003C7292"/>
    <w:rsid w:val="003F48E4"/>
    <w:rsid w:val="00410522"/>
    <w:rsid w:val="00493F57"/>
    <w:rsid w:val="004C3034"/>
    <w:rsid w:val="00513F92"/>
    <w:rsid w:val="00646B6A"/>
    <w:rsid w:val="006A3B15"/>
    <w:rsid w:val="006B5CB8"/>
    <w:rsid w:val="006C3E82"/>
    <w:rsid w:val="00742CF1"/>
    <w:rsid w:val="00795BCF"/>
    <w:rsid w:val="007D18B3"/>
    <w:rsid w:val="008E4F37"/>
    <w:rsid w:val="008F2A7A"/>
    <w:rsid w:val="0090132A"/>
    <w:rsid w:val="00983B64"/>
    <w:rsid w:val="0099356B"/>
    <w:rsid w:val="0099415B"/>
    <w:rsid w:val="009A69A6"/>
    <w:rsid w:val="009D68AE"/>
    <w:rsid w:val="00A52A76"/>
    <w:rsid w:val="00A55C86"/>
    <w:rsid w:val="00A67966"/>
    <w:rsid w:val="00A72F9F"/>
    <w:rsid w:val="00AF12FE"/>
    <w:rsid w:val="00B25AB2"/>
    <w:rsid w:val="00B40E32"/>
    <w:rsid w:val="00B525B3"/>
    <w:rsid w:val="00C54A4E"/>
    <w:rsid w:val="00E22FBB"/>
    <w:rsid w:val="00E239B8"/>
    <w:rsid w:val="00E56987"/>
    <w:rsid w:val="00F421E0"/>
    <w:rsid w:val="00FF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A67F"/>
  <w14:defaultImageDpi w14:val="32767"/>
  <w15:chartTrackingRefBased/>
  <w15:docId w15:val="{471F5DF3-E1B0-D74B-9637-683EA79E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3B1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F48E4"/>
    <w:rPr>
      <w:color w:val="808080"/>
    </w:rPr>
  </w:style>
  <w:style w:type="table" w:styleId="Tablaconcuadrcula">
    <w:name w:val="Table Grid"/>
    <w:basedOn w:val="Tablanormal"/>
    <w:uiPriority w:val="39"/>
    <w:rsid w:val="00B52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1">
    <w:name w:val="Grid Table 5 Dark Accent 1"/>
    <w:basedOn w:val="Tablanormal"/>
    <w:uiPriority w:val="50"/>
    <w:rsid w:val="00B525B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acontema">
    <w:name w:val="Table Theme"/>
    <w:basedOn w:val="Tablanormal"/>
    <w:uiPriority w:val="99"/>
    <w:rsid w:val="00B52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1">
    <w:name w:val="Grid Table 1 Light Accent 1"/>
    <w:basedOn w:val="Tablanormal"/>
    <w:uiPriority w:val="46"/>
    <w:rsid w:val="00B525B3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3-nfasis5">
    <w:name w:val="Grid Table 3 Accent 5"/>
    <w:basedOn w:val="Tablanormal"/>
    <w:uiPriority w:val="48"/>
    <w:rsid w:val="00646B6A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646B6A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laconcuadrcula6concolores-nfasis1">
    <w:name w:val="Grid Table 6 Colorful Accent 1"/>
    <w:basedOn w:val="Tablanormal"/>
    <w:uiPriority w:val="51"/>
    <w:rsid w:val="00646B6A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2-nfasis1">
    <w:name w:val="Grid Table 2 Accent 1"/>
    <w:basedOn w:val="Tablanormal"/>
    <w:uiPriority w:val="47"/>
    <w:rsid w:val="00C54A4E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4-nfasis1">
    <w:name w:val="Grid Table 4 Accent 1"/>
    <w:basedOn w:val="Tablanormal"/>
    <w:uiPriority w:val="49"/>
    <w:rsid w:val="00C54A4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nfasis">
    <w:name w:val="Emphasis"/>
    <w:basedOn w:val="Fuentedeprrafopredeter"/>
    <w:uiPriority w:val="20"/>
    <w:qFormat/>
    <w:rsid w:val="00B25AB2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A52A76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rsid w:val="00983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56/NEJMoa20012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cc.org/sitecore/content/Sites/ACC/Home/Latest-in-Cardiology/Articles/2020/03/27/14/00/Ventricular-Arrhythmia-Risk-Due-to-Hydroxychloroquine-Azithromycin-Treatment-For-COVID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8</Pages>
  <Words>1660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minguito</dc:creator>
  <cp:keywords/>
  <dc:description/>
  <cp:lastModifiedBy>carlos minguito</cp:lastModifiedBy>
  <cp:revision>13</cp:revision>
  <dcterms:created xsi:type="dcterms:W3CDTF">2020-03-30T13:56:00Z</dcterms:created>
  <dcterms:modified xsi:type="dcterms:W3CDTF">2020-03-31T07:56:00Z</dcterms:modified>
</cp:coreProperties>
</file>