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82CB" w14:textId="77777777" w:rsidR="00586F80" w:rsidRDefault="00586F80" w:rsidP="00586F80">
      <w:pPr>
        <w:spacing w:line="360" w:lineRule="auto"/>
        <w:rPr>
          <w:b/>
          <w:bCs/>
          <w:sz w:val="28"/>
          <w:szCs w:val="28"/>
          <w:lang w:val="en-CA"/>
        </w:rPr>
      </w:pPr>
      <w:r>
        <w:rPr>
          <w:b/>
          <w:bCs/>
          <w:sz w:val="28"/>
          <w:szCs w:val="28"/>
          <w:lang w:val="en-CA"/>
        </w:rPr>
        <w:t>Extended Data</w:t>
      </w:r>
    </w:p>
    <w:p w14:paraId="645278EA" w14:textId="181CE98D" w:rsidR="00586F80" w:rsidRDefault="00586F80" w:rsidP="00586F80">
      <w:pPr>
        <w:spacing w:line="360" w:lineRule="auto"/>
        <w:rPr>
          <w:rFonts w:eastAsia="Times New Roman"/>
          <w:b/>
          <w:sz w:val="24"/>
          <w:szCs w:val="24"/>
          <w:lang w:val="en-CA"/>
        </w:rPr>
      </w:pPr>
      <w:r>
        <w:rPr>
          <w:rFonts w:eastAsia="Times New Roman"/>
          <w:b/>
          <w:noProof/>
          <w:sz w:val="24"/>
          <w:szCs w:val="24"/>
          <w:lang w:val="en-CA"/>
        </w:rPr>
        <w:drawing>
          <wp:inline distT="0" distB="0" distL="0" distR="0" wp14:anchorId="0510F403" wp14:editId="4F87643A">
            <wp:extent cx="5934075" cy="616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6162675"/>
                    </a:xfrm>
                    <a:prstGeom prst="rect">
                      <a:avLst/>
                    </a:prstGeom>
                    <a:noFill/>
                    <a:ln>
                      <a:noFill/>
                    </a:ln>
                  </pic:spPr>
                </pic:pic>
              </a:graphicData>
            </a:graphic>
          </wp:inline>
        </w:drawing>
      </w:r>
    </w:p>
    <w:p w14:paraId="4AF59AAC" w14:textId="77777777" w:rsidR="00586F80" w:rsidRDefault="00586F80" w:rsidP="00586F80">
      <w:pPr>
        <w:spacing w:line="360" w:lineRule="auto"/>
        <w:rPr>
          <w:sz w:val="24"/>
          <w:szCs w:val="24"/>
          <w:lang w:val="en-CA"/>
        </w:rPr>
      </w:pPr>
      <w:r>
        <w:rPr>
          <w:rFonts w:eastAsia="Times New Roman"/>
          <w:b/>
          <w:sz w:val="24"/>
          <w:szCs w:val="24"/>
          <w:lang w:val="en-CA"/>
        </w:rPr>
        <w:t>Extended Data</w:t>
      </w:r>
      <w:r>
        <w:rPr>
          <w:b/>
          <w:bCs/>
          <w:sz w:val="24"/>
          <w:szCs w:val="24"/>
          <w:lang w:val="en-CA"/>
        </w:rPr>
        <w:t xml:space="preserve"> Fig. 1. Dataset assembly and statistics. a. </w:t>
      </w:r>
      <w:r>
        <w:rPr>
          <w:sz w:val="24"/>
          <w:szCs w:val="24"/>
          <w:lang w:val="en-CA"/>
        </w:rPr>
        <w:t xml:space="preserve">A schematic representation of the dataset assembly pipeline. </w:t>
      </w:r>
      <w:r>
        <w:rPr>
          <w:b/>
          <w:bCs/>
          <w:sz w:val="24"/>
          <w:szCs w:val="24"/>
          <w:lang w:val="en-CA"/>
        </w:rPr>
        <w:t xml:space="preserve">b. </w:t>
      </w:r>
      <w:r>
        <w:rPr>
          <w:sz w:val="24"/>
          <w:szCs w:val="24"/>
          <w:lang w:val="en-CA"/>
        </w:rPr>
        <w:t xml:space="preserve">The numbers of eukaryotic, viral, and prokaryotic genomes and proteins examined and included in the final dataset. </w:t>
      </w:r>
      <w:r>
        <w:rPr>
          <w:b/>
          <w:bCs/>
          <w:sz w:val="24"/>
          <w:szCs w:val="24"/>
          <w:lang w:val="en-CA"/>
        </w:rPr>
        <w:t xml:space="preserve">c. </w:t>
      </w:r>
      <w:r>
        <w:rPr>
          <w:sz w:val="24"/>
          <w:szCs w:val="24"/>
          <w:lang w:val="en-CA"/>
        </w:rPr>
        <w:t xml:space="preserve">The representation of viral phyla and other groups (i.e., those lacking phyla classifications) in the initial and final datasets. </w:t>
      </w:r>
      <w:r>
        <w:rPr>
          <w:b/>
          <w:bCs/>
          <w:sz w:val="24"/>
          <w:szCs w:val="24"/>
          <w:lang w:val="en-CA"/>
        </w:rPr>
        <w:t xml:space="preserve">d, e. </w:t>
      </w:r>
      <w:r>
        <w:rPr>
          <w:sz w:val="24"/>
          <w:szCs w:val="24"/>
          <w:lang w:val="en-CA"/>
        </w:rPr>
        <w:t>Summary statistics for the final clustered protein families including the number of sequences present (</w:t>
      </w:r>
      <w:r>
        <w:rPr>
          <w:b/>
          <w:bCs/>
          <w:sz w:val="24"/>
          <w:szCs w:val="24"/>
          <w:lang w:val="en-CA"/>
        </w:rPr>
        <w:t>d</w:t>
      </w:r>
      <w:r>
        <w:rPr>
          <w:sz w:val="24"/>
          <w:szCs w:val="24"/>
          <w:lang w:val="en-CA"/>
        </w:rPr>
        <w:t>) and the trimmed alignment length (</w:t>
      </w:r>
      <w:r>
        <w:rPr>
          <w:b/>
          <w:bCs/>
          <w:sz w:val="24"/>
          <w:szCs w:val="24"/>
          <w:lang w:val="en-CA"/>
        </w:rPr>
        <w:t>e</w:t>
      </w:r>
      <w:r>
        <w:rPr>
          <w:sz w:val="24"/>
          <w:szCs w:val="24"/>
          <w:lang w:val="en-CA"/>
        </w:rPr>
        <w:t>). See Materials and Methods for additional information.</w:t>
      </w:r>
    </w:p>
    <w:p w14:paraId="4B3BA761" w14:textId="12517432" w:rsidR="00586F80" w:rsidRDefault="00586F80" w:rsidP="00586F80">
      <w:pPr>
        <w:spacing w:line="360" w:lineRule="auto"/>
        <w:rPr>
          <w:rFonts w:eastAsia="Times New Roman"/>
          <w:b/>
          <w:sz w:val="24"/>
          <w:szCs w:val="24"/>
          <w:lang w:val="en-CA"/>
        </w:rPr>
      </w:pPr>
      <w:r>
        <w:rPr>
          <w:rFonts w:eastAsia="Times New Roman"/>
          <w:b/>
          <w:noProof/>
          <w:sz w:val="24"/>
          <w:szCs w:val="24"/>
          <w:lang w:val="en-CA"/>
        </w:rPr>
        <w:lastRenderedPageBreak/>
        <w:drawing>
          <wp:inline distT="0" distB="0" distL="0" distR="0" wp14:anchorId="766DCE75" wp14:editId="1CAF7613">
            <wp:extent cx="5934075" cy="5800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5800725"/>
                    </a:xfrm>
                    <a:prstGeom prst="rect">
                      <a:avLst/>
                    </a:prstGeom>
                    <a:noFill/>
                    <a:ln>
                      <a:noFill/>
                    </a:ln>
                  </pic:spPr>
                </pic:pic>
              </a:graphicData>
            </a:graphic>
          </wp:inline>
        </w:drawing>
      </w:r>
    </w:p>
    <w:p w14:paraId="4A91077C" w14:textId="77777777" w:rsidR="00586F80" w:rsidRDefault="00586F80" w:rsidP="00586F80">
      <w:pPr>
        <w:spacing w:line="360" w:lineRule="auto"/>
        <w:rPr>
          <w:sz w:val="24"/>
          <w:szCs w:val="24"/>
          <w:lang w:val="en-CA"/>
        </w:rPr>
      </w:pPr>
      <w:r>
        <w:rPr>
          <w:rFonts w:eastAsia="Times New Roman"/>
          <w:b/>
          <w:sz w:val="24"/>
          <w:szCs w:val="24"/>
          <w:lang w:val="en-CA"/>
        </w:rPr>
        <w:t>Extended Data</w:t>
      </w:r>
      <w:r>
        <w:rPr>
          <w:b/>
          <w:bCs/>
          <w:sz w:val="24"/>
          <w:szCs w:val="24"/>
          <w:lang w:val="en-CA"/>
        </w:rPr>
        <w:t xml:space="preserve"> Fig. 2. Phylogenetic pipeline and contamination analysis overview. </w:t>
      </w:r>
      <w:proofErr w:type="gramStart"/>
      <w:r>
        <w:rPr>
          <w:b/>
          <w:bCs/>
          <w:sz w:val="24"/>
          <w:szCs w:val="24"/>
          <w:lang w:val="en-CA"/>
        </w:rPr>
        <w:t>a,</w:t>
      </w:r>
      <w:proofErr w:type="gramEnd"/>
      <w:r>
        <w:rPr>
          <w:b/>
          <w:bCs/>
          <w:sz w:val="24"/>
          <w:szCs w:val="24"/>
          <w:lang w:val="en-CA"/>
        </w:rPr>
        <w:t xml:space="preserve"> b.</w:t>
      </w:r>
      <w:r>
        <w:rPr>
          <w:sz w:val="24"/>
          <w:szCs w:val="24"/>
          <w:lang w:val="en-CA"/>
        </w:rPr>
        <w:t xml:space="preserve"> Schematic representation of the HGT identification and phylogenetic analysis pipeline (</w:t>
      </w:r>
      <w:r>
        <w:rPr>
          <w:b/>
          <w:bCs/>
          <w:sz w:val="24"/>
          <w:szCs w:val="24"/>
          <w:lang w:val="en-CA"/>
        </w:rPr>
        <w:t>d</w:t>
      </w:r>
      <w:r>
        <w:rPr>
          <w:sz w:val="24"/>
          <w:szCs w:val="24"/>
          <w:lang w:val="en-CA"/>
        </w:rPr>
        <w:t>) and the contamination scoring protocol (</w:t>
      </w:r>
      <w:r>
        <w:rPr>
          <w:b/>
          <w:bCs/>
          <w:sz w:val="24"/>
          <w:szCs w:val="24"/>
          <w:lang w:val="en-CA"/>
        </w:rPr>
        <w:t>b</w:t>
      </w:r>
      <w:r>
        <w:rPr>
          <w:sz w:val="24"/>
          <w:szCs w:val="24"/>
          <w:lang w:val="en-CA"/>
        </w:rPr>
        <w:t xml:space="preserve">). </w:t>
      </w:r>
      <w:r>
        <w:rPr>
          <w:b/>
          <w:bCs/>
          <w:sz w:val="24"/>
          <w:szCs w:val="24"/>
          <w:lang w:val="en-CA"/>
        </w:rPr>
        <w:t xml:space="preserve">c. </w:t>
      </w:r>
      <w:r>
        <w:rPr>
          <w:sz w:val="24"/>
          <w:szCs w:val="24"/>
          <w:lang w:val="en-CA"/>
        </w:rPr>
        <w:t xml:space="preserve">The distribution of contamination scores across eukaryotic recipient sequences. </w:t>
      </w:r>
      <w:r>
        <w:rPr>
          <w:b/>
          <w:bCs/>
          <w:sz w:val="24"/>
          <w:szCs w:val="24"/>
          <w:lang w:val="en-CA"/>
        </w:rPr>
        <w:t xml:space="preserve">d. </w:t>
      </w:r>
      <w:r>
        <w:rPr>
          <w:sz w:val="24"/>
          <w:szCs w:val="24"/>
          <w:lang w:val="en-CA"/>
        </w:rPr>
        <w:t xml:space="preserve">The number of well-supported HGTs that are identified using different contamination score thresholds. Dashed lines denote the defined scoring threshold (≥ 2). </w:t>
      </w:r>
      <w:r>
        <w:rPr>
          <w:b/>
          <w:bCs/>
          <w:sz w:val="24"/>
          <w:szCs w:val="24"/>
          <w:lang w:val="en-CA"/>
        </w:rPr>
        <w:t xml:space="preserve">e. </w:t>
      </w:r>
      <w:r>
        <w:rPr>
          <w:sz w:val="24"/>
          <w:szCs w:val="24"/>
          <w:lang w:val="en-CA"/>
        </w:rPr>
        <w:t>The distribution of eukaryotic contig lengths that contain viral HGTs. See Materials and Methods for additional information.</w:t>
      </w:r>
    </w:p>
    <w:p w14:paraId="38D8F252" w14:textId="77777777" w:rsidR="00586F80" w:rsidRDefault="00586F80" w:rsidP="00586F80">
      <w:pPr>
        <w:spacing w:line="360" w:lineRule="auto"/>
        <w:rPr>
          <w:sz w:val="24"/>
          <w:szCs w:val="24"/>
          <w:lang w:val="en-CA"/>
        </w:rPr>
      </w:pPr>
    </w:p>
    <w:p w14:paraId="75D4F832" w14:textId="77777777" w:rsidR="00586F80" w:rsidRDefault="00586F80" w:rsidP="00586F80">
      <w:pPr>
        <w:spacing w:line="360" w:lineRule="auto"/>
        <w:rPr>
          <w:rFonts w:eastAsia="Times New Roman"/>
          <w:b/>
          <w:sz w:val="24"/>
          <w:szCs w:val="24"/>
          <w:lang w:val="en-CA"/>
        </w:rPr>
      </w:pPr>
    </w:p>
    <w:p w14:paraId="06429027" w14:textId="68A4A44A" w:rsidR="00586F80" w:rsidRDefault="00586F80" w:rsidP="00586F80">
      <w:pPr>
        <w:spacing w:line="360" w:lineRule="auto"/>
        <w:jc w:val="center"/>
        <w:rPr>
          <w:rFonts w:eastAsia="Times New Roman"/>
          <w:b/>
          <w:sz w:val="24"/>
          <w:szCs w:val="24"/>
          <w:lang w:val="en-CA"/>
        </w:rPr>
      </w:pPr>
      <w:r>
        <w:rPr>
          <w:rFonts w:eastAsia="Times New Roman"/>
          <w:b/>
          <w:noProof/>
          <w:sz w:val="24"/>
          <w:szCs w:val="24"/>
          <w:lang w:val="en-CA"/>
        </w:rPr>
        <w:lastRenderedPageBreak/>
        <w:drawing>
          <wp:inline distT="0" distB="0" distL="0" distR="0" wp14:anchorId="6D96679F" wp14:editId="604F98C5">
            <wp:extent cx="5114925" cy="510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4925" cy="5105400"/>
                    </a:xfrm>
                    <a:prstGeom prst="rect">
                      <a:avLst/>
                    </a:prstGeom>
                    <a:noFill/>
                    <a:ln>
                      <a:noFill/>
                    </a:ln>
                  </pic:spPr>
                </pic:pic>
              </a:graphicData>
            </a:graphic>
          </wp:inline>
        </w:drawing>
      </w:r>
    </w:p>
    <w:p w14:paraId="42A0D08E" w14:textId="77777777" w:rsidR="00586F80" w:rsidRDefault="00586F80" w:rsidP="00586F80">
      <w:pPr>
        <w:spacing w:line="360" w:lineRule="auto"/>
        <w:rPr>
          <w:sz w:val="24"/>
          <w:szCs w:val="24"/>
          <w:lang w:val="en-CA"/>
        </w:rPr>
      </w:pPr>
      <w:r>
        <w:rPr>
          <w:rFonts w:eastAsia="Times New Roman"/>
          <w:b/>
          <w:sz w:val="24"/>
          <w:szCs w:val="24"/>
          <w:lang w:val="en-CA"/>
        </w:rPr>
        <w:t>Extended Data</w:t>
      </w:r>
      <w:r>
        <w:rPr>
          <w:b/>
          <w:bCs/>
          <w:sz w:val="24"/>
          <w:szCs w:val="24"/>
          <w:lang w:val="en-CA"/>
        </w:rPr>
        <w:t xml:space="preserve"> Fig. 3. Gene origin identification and transduction examples. a. </w:t>
      </w:r>
      <w:r>
        <w:rPr>
          <w:sz w:val="24"/>
          <w:szCs w:val="24"/>
          <w:lang w:val="en-CA"/>
        </w:rPr>
        <w:t xml:space="preserve">A schematic illustrating how viral gene origins were approximated by moving up through the phylogeny from the donor towards the root until a cellular lineage was encountered. The pie chart reflects the proportion of well supported virus-to-eukaryotic HGTs that were assigned a given origin. </w:t>
      </w:r>
      <w:r>
        <w:rPr>
          <w:b/>
          <w:bCs/>
          <w:sz w:val="24"/>
          <w:szCs w:val="24"/>
          <w:lang w:val="en-CA"/>
        </w:rPr>
        <w:t xml:space="preserve">b, c. </w:t>
      </w:r>
      <w:r>
        <w:rPr>
          <w:sz w:val="24"/>
          <w:szCs w:val="24"/>
          <w:lang w:val="en-CA"/>
        </w:rPr>
        <w:t>Example phylogenies illustrating cases of eukaryote-to-eukaryote and prokaryote-to-eukaryote transduction. Phylogenies were generated in IQ-Tree using the LG+R7 (</w:t>
      </w:r>
      <w:r>
        <w:rPr>
          <w:b/>
          <w:bCs/>
          <w:sz w:val="24"/>
          <w:szCs w:val="24"/>
          <w:lang w:val="en-CA"/>
        </w:rPr>
        <w:t>b</w:t>
      </w:r>
      <w:r>
        <w:rPr>
          <w:sz w:val="24"/>
          <w:szCs w:val="24"/>
          <w:lang w:val="en-CA"/>
        </w:rPr>
        <w:t>) or LG+R9 (</w:t>
      </w:r>
      <w:r>
        <w:rPr>
          <w:b/>
          <w:bCs/>
          <w:sz w:val="24"/>
          <w:szCs w:val="24"/>
          <w:lang w:val="en-CA"/>
        </w:rPr>
        <w:t>c</w:t>
      </w:r>
      <w:r>
        <w:rPr>
          <w:sz w:val="24"/>
          <w:szCs w:val="24"/>
          <w:lang w:val="en-CA"/>
        </w:rPr>
        <w:t xml:space="preserve">) substitution models as selected using </w:t>
      </w:r>
      <w:proofErr w:type="spellStart"/>
      <w:r>
        <w:rPr>
          <w:sz w:val="24"/>
          <w:szCs w:val="24"/>
          <w:lang w:val="en-CA"/>
        </w:rPr>
        <w:t>ModelFinder</w:t>
      </w:r>
      <w:proofErr w:type="spellEnd"/>
      <w:r>
        <w:rPr>
          <w:sz w:val="24"/>
          <w:szCs w:val="24"/>
          <w:lang w:val="en-CA"/>
        </w:rPr>
        <w:t xml:space="preserve"> and statistical support was assessed using SH-</w:t>
      </w:r>
      <w:proofErr w:type="spellStart"/>
      <w:r>
        <w:rPr>
          <w:sz w:val="24"/>
          <w:szCs w:val="24"/>
          <w:lang w:val="en-CA"/>
        </w:rPr>
        <w:t>aLRT</w:t>
      </w:r>
      <w:proofErr w:type="spellEnd"/>
      <w:r>
        <w:rPr>
          <w:sz w:val="24"/>
          <w:szCs w:val="24"/>
          <w:lang w:val="en-CA"/>
        </w:rPr>
        <w:t xml:space="preserve"> (</w:t>
      </w:r>
      <w:r>
        <w:rPr>
          <w:i/>
          <w:iCs/>
          <w:sz w:val="24"/>
          <w:szCs w:val="24"/>
          <w:lang w:val="en-CA"/>
        </w:rPr>
        <w:t>n</w:t>
      </w:r>
      <w:r>
        <w:rPr>
          <w:sz w:val="24"/>
          <w:szCs w:val="24"/>
          <w:lang w:val="en-CA"/>
        </w:rPr>
        <w:t xml:space="preserve"> = 1,000) </w:t>
      </w:r>
      <w:r>
        <w:rPr>
          <w:sz w:val="24"/>
          <w:szCs w:val="24"/>
          <w:lang w:val="en-CA"/>
        </w:rPr>
        <w:fldChar w:fldCharType="begin" w:fldLock="1"/>
      </w:r>
      <w:r>
        <w:rPr>
          <w:sz w:val="24"/>
          <w:szCs w:val="24"/>
          <w:lang w:val="en-CA"/>
        </w:rPr>
        <w:instrText>ADDIN CSL_CITATION {"citationItems":[{"id":"ITEM-1","itemData":{"DOI":"10.1093/molbev/msu300","ISBN":"0737-4038","ISSN":"15371719","PMID":"25371430","abstract":"Large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http://www.cibiv.at/software/iqtree.","author":[{"dropping-particle":"","family":"Nguyen","given":"Lam Tung","non-dropping-particle":"","parse-names":false,"suffix":""},{"dropping-particle":"","family":"Schmidt","given":"Heiko A.","non-dropping-particle":"","parse-names":false,"suffix":""},{"dropping-particle":"","family":"Haeseler","given":"Arndt","non-dropping-particle":"Von","parse-names":false,"suffix":""},{"dropping-particle":"","family":"Minh","given":"Bui Quang","non-dropping-particle":"","parse-names":false,"suffix":""}],"container-title":"Molecular Biology and Evolution","id":"ITEM-1","issue":"1","issued":{"date-parts":[["2015"]]},"page":"268-274","title":"IQ-TREE: A fast and effective stochastic algorithm for estimating maximum-likelihood phylogenies","type":"article-journal","volume":"32"},"uris":["http://www.mendeley.com/documents/?uuid=fa4d035d-5cdd-4c40-9ed1-11c9f0bed98d"]},{"id":"ITEM-2","itemData":{"DOI":"10.1038/nmeth.4285","ISBN":"1548-7091","ISSN":"15487105","PMID":"28481363","abstract":"ModelFinder is a fast model-selection method that greatly improves the accuracy of phylogenetic estimates.","author":[{"dropping-particle":"","family":"Kalyaanamoorthy","given":"Subha","non-dropping-particle":"","parse-names":false,"suffix":""},{"dropping-particle":"","family":"Minh","given":"Bui Quang","non-dropping-particle":"","parse-names":false,"suffix":""},{"dropping-particle":"","family":"Wong","given":"Thomas K.F.","non-dropping-particle":"","parse-names":false,"suffix":""},{"dropping-particle":"","family":"Haeseler","given":"Arndt","non-dropping-particle":"Von","parse-names":false,"suffix":""},{"dropping-particle":"","family":"Jermiin","given":"Lars S.","non-dropping-particle":"","parse-names":false,"suffix":""}],"container-title":"Nature Methods","id":"ITEM-2","issue":"6","issued":{"date-parts":[["2017"]]},"page":"587-589","publisher":"Nature Publishing Group","title":"ModelFinder: Fast model selection for accurate phylogenetic estimates","type":"article-journal","volume":"14"},"uris":["http://www.mendeley.com/documents/?uuid=7e6cc8fd-6949-4c59-9524-ef8cee1cc473"]}],"mendeley":{"formattedCitation":"&lt;sup&gt;48,49&lt;/sup&gt;","plainTextFormattedCitation":"48,49","previouslyFormattedCitation":"&lt;sup&gt;48,49&lt;/sup&gt;"},"properties":{"noteIndex":0},"schema":"https://github.com/citation-style-language/schema/raw/master/csl-citation.json"}</w:instrText>
      </w:r>
      <w:r>
        <w:rPr>
          <w:sz w:val="24"/>
          <w:szCs w:val="24"/>
          <w:lang w:val="en-CA"/>
        </w:rPr>
        <w:fldChar w:fldCharType="separate"/>
      </w:r>
      <w:r>
        <w:rPr>
          <w:noProof/>
          <w:sz w:val="24"/>
          <w:szCs w:val="24"/>
          <w:vertAlign w:val="superscript"/>
          <w:lang w:val="en-CA"/>
        </w:rPr>
        <w:t>48,49</w:t>
      </w:r>
      <w:r>
        <w:rPr>
          <w:sz w:val="24"/>
          <w:szCs w:val="24"/>
          <w:lang w:val="en-CA"/>
        </w:rPr>
        <w:fldChar w:fldCharType="end"/>
      </w:r>
      <w:r>
        <w:rPr>
          <w:sz w:val="24"/>
          <w:szCs w:val="24"/>
          <w:lang w:val="en-CA"/>
        </w:rPr>
        <w:t>.</w:t>
      </w:r>
    </w:p>
    <w:p w14:paraId="2E6DADC1" w14:textId="77777777" w:rsidR="00586F80" w:rsidRDefault="00586F80" w:rsidP="00586F80">
      <w:pPr>
        <w:spacing w:line="360" w:lineRule="auto"/>
        <w:rPr>
          <w:sz w:val="24"/>
          <w:szCs w:val="24"/>
          <w:lang w:val="en-CA"/>
        </w:rPr>
      </w:pPr>
    </w:p>
    <w:p w14:paraId="40AF9A9B" w14:textId="77777777" w:rsidR="00586F80" w:rsidRDefault="00586F80" w:rsidP="00586F80">
      <w:pPr>
        <w:spacing w:line="360" w:lineRule="auto"/>
        <w:rPr>
          <w:rFonts w:eastAsia="Times New Roman"/>
          <w:b/>
          <w:sz w:val="24"/>
          <w:szCs w:val="24"/>
          <w:lang w:val="en-CA"/>
        </w:rPr>
      </w:pPr>
    </w:p>
    <w:p w14:paraId="2BCB0FD1" w14:textId="77777777" w:rsidR="00586F80" w:rsidRDefault="00586F80" w:rsidP="00586F80">
      <w:pPr>
        <w:spacing w:line="360" w:lineRule="auto"/>
        <w:rPr>
          <w:rFonts w:eastAsia="Times New Roman"/>
          <w:b/>
          <w:sz w:val="24"/>
          <w:szCs w:val="24"/>
          <w:lang w:val="en-CA"/>
        </w:rPr>
      </w:pPr>
    </w:p>
    <w:p w14:paraId="282A80CC" w14:textId="68902218" w:rsidR="00586F80" w:rsidRDefault="00586F80" w:rsidP="00586F80">
      <w:pPr>
        <w:spacing w:line="360" w:lineRule="auto"/>
        <w:rPr>
          <w:b/>
          <w:bCs/>
          <w:sz w:val="24"/>
          <w:szCs w:val="24"/>
          <w:lang w:val="en-CA"/>
        </w:rPr>
      </w:pPr>
      <w:r>
        <w:rPr>
          <w:rFonts w:eastAsia="Times New Roman"/>
          <w:b/>
          <w:noProof/>
          <w:sz w:val="24"/>
          <w:szCs w:val="24"/>
          <w:lang w:val="en-CA"/>
        </w:rPr>
        <w:lastRenderedPageBreak/>
        <w:drawing>
          <wp:inline distT="0" distB="0" distL="0" distR="0" wp14:anchorId="3E122830" wp14:editId="50305094">
            <wp:extent cx="5934075" cy="782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820025"/>
                    </a:xfrm>
                    <a:prstGeom prst="rect">
                      <a:avLst/>
                    </a:prstGeom>
                    <a:noFill/>
                    <a:ln>
                      <a:noFill/>
                    </a:ln>
                  </pic:spPr>
                </pic:pic>
              </a:graphicData>
            </a:graphic>
          </wp:inline>
        </w:drawing>
      </w:r>
      <w:r>
        <w:rPr>
          <w:rFonts w:eastAsia="Times New Roman"/>
          <w:b/>
          <w:sz w:val="24"/>
          <w:szCs w:val="24"/>
          <w:lang w:val="en-CA"/>
        </w:rPr>
        <w:t>Extended Data</w:t>
      </w:r>
      <w:r>
        <w:rPr>
          <w:b/>
          <w:sz w:val="24"/>
          <w:szCs w:val="24"/>
          <w:lang w:val="en-CA"/>
        </w:rPr>
        <w:t xml:space="preserve"> Fig</w:t>
      </w:r>
      <w:r>
        <w:rPr>
          <w:b/>
          <w:bCs/>
          <w:sz w:val="24"/>
          <w:szCs w:val="24"/>
          <w:lang w:val="en-CA"/>
        </w:rPr>
        <w:t xml:space="preserve">. 4. Phylogenies for glycosyltransferases denoted in Figure 4. </w:t>
      </w:r>
      <w:r>
        <w:rPr>
          <w:sz w:val="24"/>
          <w:szCs w:val="24"/>
          <w:lang w:val="en-CA"/>
        </w:rPr>
        <w:lastRenderedPageBreak/>
        <w:t>Phylogenetic analyses were conducted in IQ-Tree with statistical support assessed using SH-</w:t>
      </w:r>
      <w:proofErr w:type="spellStart"/>
      <w:r>
        <w:rPr>
          <w:sz w:val="24"/>
          <w:szCs w:val="24"/>
          <w:lang w:val="en-CA"/>
        </w:rPr>
        <w:t>aLRT</w:t>
      </w:r>
      <w:proofErr w:type="spellEnd"/>
      <w:r>
        <w:rPr>
          <w:sz w:val="24"/>
          <w:szCs w:val="24"/>
          <w:lang w:val="en-CA"/>
        </w:rPr>
        <w:t xml:space="preserve"> (</w:t>
      </w:r>
      <w:r>
        <w:rPr>
          <w:i/>
          <w:iCs/>
          <w:sz w:val="24"/>
          <w:szCs w:val="24"/>
          <w:lang w:val="en-CA"/>
        </w:rPr>
        <w:t>n</w:t>
      </w:r>
      <w:r>
        <w:rPr>
          <w:sz w:val="24"/>
          <w:szCs w:val="24"/>
          <w:lang w:val="en-CA"/>
        </w:rPr>
        <w:t xml:space="preserve"> = 1,000). Substitution models were selected using </w:t>
      </w:r>
      <w:proofErr w:type="spellStart"/>
      <w:r>
        <w:rPr>
          <w:sz w:val="24"/>
          <w:szCs w:val="24"/>
          <w:lang w:val="en-CA"/>
        </w:rPr>
        <w:t>ModelFinder</w:t>
      </w:r>
      <w:proofErr w:type="spellEnd"/>
      <w:r>
        <w:rPr>
          <w:sz w:val="24"/>
          <w:szCs w:val="24"/>
          <w:lang w:val="en-CA"/>
        </w:rPr>
        <w:t xml:space="preserve"> and included LG+R10 (</w:t>
      </w:r>
      <w:r>
        <w:rPr>
          <w:b/>
          <w:bCs/>
          <w:sz w:val="24"/>
          <w:szCs w:val="24"/>
          <w:lang w:val="en-CA"/>
        </w:rPr>
        <w:t>a</w:t>
      </w:r>
      <w:r>
        <w:rPr>
          <w:sz w:val="24"/>
          <w:szCs w:val="24"/>
          <w:lang w:val="en-CA"/>
        </w:rPr>
        <w:t>), LG+F+R10 (</w:t>
      </w:r>
      <w:r>
        <w:rPr>
          <w:b/>
          <w:bCs/>
          <w:sz w:val="24"/>
          <w:szCs w:val="24"/>
          <w:lang w:val="en-CA"/>
        </w:rPr>
        <w:t>b</w:t>
      </w:r>
      <w:r>
        <w:rPr>
          <w:sz w:val="24"/>
          <w:szCs w:val="24"/>
          <w:lang w:val="en-CA"/>
        </w:rPr>
        <w:t>), LG+R9 (</w:t>
      </w:r>
      <w:r>
        <w:rPr>
          <w:b/>
          <w:bCs/>
          <w:sz w:val="24"/>
          <w:szCs w:val="24"/>
          <w:lang w:val="en-CA"/>
        </w:rPr>
        <w:t>c</w:t>
      </w:r>
      <w:r>
        <w:rPr>
          <w:sz w:val="24"/>
          <w:szCs w:val="24"/>
          <w:lang w:val="en-CA"/>
        </w:rPr>
        <w:t>), LG+F+R8 (</w:t>
      </w:r>
      <w:r>
        <w:rPr>
          <w:b/>
          <w:bCs/>
          <w:sz w:val="24"/>
          <w:szCs w:val="24"/>
          <w:lang w:val="en-CA"/>
        </w:rPr>
        <w:t>d, e</w:t>
      </w:r>
      <w:r>
        <w:rPr>
          <w:sz w:val="24"/>
          <w:szCs w:val="24"/>
          <w:lang w:val="en-CA"/>
        </w:rPr>
        <w:t>), LG+R6 (</w:t>
      </w:r>
      <w:r>
        <w:rPr>
          <w:b/>
          <w:bCs/>
          <w:sz w:val="24"/>
          <w:szCs w:val="24"/>
          <w:lang w:val="en-CA"/>
        </w:rPr>
        <w:t>f</w:t>
      </w:r>
      <w:r>
        <w:rPr>
          <w:sz w:val="24"/>
          <w:szCs w:val="24"/>
          <w:lang w:val="en-CA"/>
        </w:rPr>
        <w:t>), LG+F+R7 (</w:t>
      </w:r>
      <w:r>
        <w:rPr>
          <w:b/>
          <w:bCs/>
          <w:sz w:val="24"/>
          <w:szCs w:val="24"/>
          <w:lang w:val="en-CA"/>
        </w:rPr>
        <w:t>g</w:t>
      </w:r>
      <w:r>
        <w:rPr>
          <w:sz w:val="24"/>
          <w:szCs w:val="24"/>
          <w:lang w:val="en-CA"/>
        </w:rPr>
        <w:t>), LG+F+G4 (</w:t>
      </w:r>
      <w:r>
        <w:rPr>
          <w:b/>
          <w:bCs/>
          <w:sz w:val="24"/>
          <w:szCs w:val="24"/>
          <w:lang w:val="en-CA"/>
        </w:rPr>
        <w:t>h</w:t>
      </w:r>
      <w:r>
        <w:rPr>
          <w:sz w:val="24"/>
          <w:szCs w:val="24"/>
          <w:lang w:val="en-CA"/>
        </w:rPr>
        <w:t>), LG+F+R5 (</w:t>
      </w:r>
      <w:r>
        <w:rPr>
          <w:b/>
          <w:bCs/>
          <w:sz w:val="24"/>
          <w:szCs w:val="24"/>
          <w:lang w:val="en-CA"/>
        </w:rPr>
        <w:t>i</w:t>
      </w:r>
      <w:r>
        <w:rPr>
          <w:sz w:val="24"/>
          <w:szCs w:val="24"/>
          <w:lang w:val="en-CA"/>
        </w:rPr>
        <w:t>,</w:t>
      </w:r>
      <w:r>
        <w:rPr>
          <w:b/>
          <w:bCs/>
          <w:sz w:val="24"/>
          <w:szCs w:val="24"/>
          <w:lang w:val="en-CA"/>
        </w:rPr>
        <w:t xml:space="preserve"> j</w:t>
      </w:r>
      <w:r>
        <w:rPr>
          <w:sz w:val="24"/>
          <w:szCs w:val="24"/>
          <w:lang w:val="en-CA"/>
        </w:rPr>
        <w:t>), and LG+I+G4 (</w:t>
      </w:r>
      <w:r>
        <w:rPr>
          <w:b/>
          <w:bCs/>
          <w:sz w:val="24"/>
          <w:szCs w:val="24"/>
          <w:lang w:val="en-CA"/>
        </w:rPr>
        <w:t>k</w:t>
      </w:r>
      <w:r>
        <w:rPr>
          <w:sz w:val="24"/>
          <w:szCs w:val="24"/>
          <w:lang w:val="en-CA"/>
        </w:rPr>
        <w:t>).</w:t>
      </w:r>
    </w:p>
    <w:p w14:paraId="7A947547" w14:textId="77777777" w:rsidR="00680122" w:rsidRDefault="00680122"/>
    <w:sectPr w:rsidR="006801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80"/>
    <w:rsid w:val="00586F80"/>
    <w:rsid w:val="0068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2BE8"/>
  <w15:chartTrackingRefBased/>
  <w15:docId w15:val="{DEDFA81E-C46B-4E82-B2C6-204F5372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F80"/>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17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4942</Characters>
  <Application>Microsoft Office Word</Application>
  <DocSecurity>0</DocSecurity>
  <Lines>41</Lines>
  <Paragraphs>11</Paragraphs>
  <ScaleCrop>false</ScaleCrop>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2021-04-29T15:17:00Z</dcterms:created>
  <dcterms:modified xsi:type="dcterms:W3CDTF">2021-04-29T15:17:00Z</dcterms:modified>
</cp:coreProperties>
</file>