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7626D" w14:textId="5F1C1598" w:rsidR="00DC3FDE" w:rsidRDefault="00DC3FDE" w:rsidP="00DC3FDE">
      <w:pPr>
        <w:jc w:val="center"/>
      </w:pPr>
      <w:r>
        <w:rPr>
          <w:noProof/>
        </w:rPr>
        <w:drawing>
          <wp:inline distT="0" distB="0" distL="0" distR="0" wp14:anchorId="68AF9967" wp14:editId="6D2C7F49">
            <wp:extent cx="4893945" cy="682498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8043" w14:textId="4AA66712" w:rsidR="00DC3FDE" w:rsidRDefault="00DC3FDE">
      <w:r w:rsidRPr="00DC3FDE">
        <w:t>Figure S1. Infiltrating immunocytes differences. (A) The volcano-plot demonstrates the fold changes of 22 immunocytes in chronic periodontitis compared with aggressive. (B) Compositional differences of 22 immunocytes between chronic and aggressive periodontitis presented by violin-plot (blue means aggressive and red means chronic). (C) The volcano-plot demonstrates the fold changes of 22 immunocytes in male periodontitis compared with female. (D) Compositional differences of 22 immunocytes between male and female periodontitis presented by violin-plot (blue means male and red means female). (E) Correlations between infiltrating immunocyte fractions and patient ages were presented by bar-plot. (F-G) The two significantly age-related immunocytes were presented by scatter plot.</w:t>
      </w:r>
    </w:p>
    <w:p w14:paraId="6CCD01B7" w14:textId="5F096717" w:rsidR="00482D5B" w:rsidRDefault="00482D5B" w:rsidP="00482D5B">
      <w:pPr>
        <w:jc w:val="center"/>
      </w:pPr>
      <w:r>
        <w:rPr>
          <w:noProof/>
        </w:rPr>
        <w:lastRenderedPageBreak/>
        <w:drawing>
          <wp:inline distT="0" distB="0" distL="0" distR="0" wp14:anchorId="3DA33F28" wp14:editId="2A759B77">
            <wp:extent cx="4842713" cy="2448176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49" cy="24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79F1" w14:textId="5386C866" w:rsidR="00482D5B" w:rsidRDefault="00482D5B">
      <w:r>
        <w:t xml:space="preserve">Figure S2 </w:t>
      </w:r>
      <w:r w:rsidRPr="00482D5B">
        <w:t>(</w:t>
      </w:r>
      <w:r>
        <w:t>A</w:t>
      </w:r>
      <w:r w:rsidRPr="00482D5B">
        <w:t>) Least absolute shrinkage and selection operator (LASSO) coefficient profiles of 22 immunocytes fractions. The dotted line indicates the value chosen by ten-fold cross-validation. (</w:t>
      </w:r>
      <w:r>
        <w:t>B</w:t>
      </w:r>
      <w:r w:rsidRPr="00482D5B">
        <w:t>) Ten-fold cross-validation for tuning parameter selection in the LASSO regression. The partial likelihood deviance is plotted against log (λ), where λ is the tuning parameter. Partial likelihood deviance values are shown, with error bars representing SE. The dotted vertical lines are drawn at the optimal values by minimum criteria and 1-SE criteria.</w:t>
      </w:r>
    </w:p>
    <w:p w14:paraId="328664F6" w14:textId="77777777" w:rsidR="00482D5B" w:rsidRDefault="00482D5B">
      <w:pPr>
        <w:rPr>
          <w:rFonts w:hint="eastAsia"/>
        </w:rPr>
      </w:pPr>
    </w:p>
    <w:p w14:paraId="552D795E" w14:textId="78C3441A" w:rsidR="00DC3FDE" w:rsidRDefault="00DC3FDE" w:rsidP="00DC3FDE">
      <w:pPr>
        <w:jc w:val="center"/>
      </w:pPr>
      <w:r>
        <w:rPr>
          <w:noProof/>
        </w:rPr>
        <w:drawing>
          <wp:inline distT="0" distB="0" distL="0" distR="0" wp14:anchorId="0A28934A" wp14:editId="2ED9DF49">
            <wp:extent cx="5274310" cy="48317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DD59" w14:textId="449EB7EE" w:rsidR="00DC3FDE" w:rsidRDefault="00DC3FDE">
      <w:r w:rsidRPr="00DC3FDE">
        <w:lastRenderedPageBreak/>
        <w:t>Figure S</w:t>
      </w:r>
      <w:r w:rsidR="00482D5B">
        <w:t>3</w:t>
      </w:r>
      <w:r w:rsidRPr="00DC3FDE">
        <w:t>. Supplementary information for immune subtype analysis. (A) Estimation of the rank: Quality measures computed from 200 runs for each value of r. (B) Estimation of the rank: Consensus matrices computed from 10 runs for each value of r. (C-D) Heatmap of the mixture coefficient and the basis matrices for all immune genes.</w:t>
      </w:r>
    </w:p>
    <w:p w14:paraId="3F0B2730" w14:textId="1B2DA57F" w:rsidR="00DC3FDE" w:rsidRDefault="00DC3FDE" w:rsidP="00DC3FDE">
      <w:pPr>
        <w:jc w:val="center"/>
      </w:pPr>
      <w:r>
        <w:rPr>
          <w:noProof/>
        </w:rPr>
        <w:drawing>
          <wp:inline distT="0" distB="0" distL="0" distR="0" wp14:anchorId="681266DD" wp14:editId="346B64B2">
            <wp:extent cx="5274310" cy="28733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F563" w14:textId="77777777" w:rsidR="00DC3FDE" w:rsidRPr="00DC3FDE" w:rsidRDefault="00DC3FDE" w:rsidP="00DC3FDE">
      <w:r w:rsidRPr="00DC3FDE">
        <w:rPr>
          <w:rFonts w:hint="eastAsia"/>
        </w:rPr>
        <w:t xml:space="preserve">Figure S4. Supplementary information for WGCNA analysis. (A) analysis of the scale-free ft index for various soft-thresholding powers beta. (B) Analysis of the mean connectivity for various soft-thresholding powers. (C) The protein-protein interaction network of hub genes in turquoise module. (C) The top ten positive and negative plasma cell fraction related genes, calculated by </w:t>
      </w:r>
      <w:proofErr w:type="spellStart"/>
      <w:r w:rsidRPr="00DC3FDE">
        <w:rPr>
          <w:rFonts w:hint="eastAsia"/>
        </w:rPr>
        <w:t>pearson</w:t>
      </w:r>
      <w:proofErr w:type="spellEnd"/>
      <w:r w:rsidRPr="00DC3FDE">
        <w:rPr>
          <w:rFonts w:hint="eastAsia"/>
        </w:rPr>
        <w:t xml:space="preserve"> correlation analysis.</w:t>
      </w:r>
    </w:p>
    <w:p w14:paraId="40404B72" w14:textId="77777777" w:rsidR="00DC3FDE" w:rsidRPr="00DC3FDE" w:rsidRDefault="00DC3FDE"/>
    <w:sectPr w:rsidR="00DC3FDE" w:rsidRPr="00DC3F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EB1F4" w14:textId="77777777" w:rsidR="00794871" w:rsidRDefault="00794871" w:rsidP="00DC3FDE">
      <w:r>
        <w:separator/>
      </w:r>
    </w:p>
  </w:endnote>
  <w:endnote w:type="continuationSeparator" w:id="0">
    <w:p w14:paraId="6BE7A787" w14:textId="77777777" w:rsidR="00794871" w:rsidRDefault="00794871" w:rsidP="00DC3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EB09B" w14:textId="77777777" w:rsidR="00794871" w:rsidRDefault="00794871" w:rsidP="00DC3FDE">
      <w:r>
        <w:separator/>
      </w:r>
    </w:p>
  </w:footnote>
  <w:footnote w:type="continuationSeparator" w:id="0">
    <w:p w14:paraId="76184223" w14:textId="77777777" w:rsidR="00794871" w:rsidRDefault="00794871" w:rsidP="00DC3F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A0MjQytDQ3MTI2MTBU0lEKTi0uzszPAykwqgUAo1u5iSwAAAA="/>
  </w:docVars>
  <w:rsids>
    <w:rsidRoot w:val="000C6A63"/>
    <w:rsid w:val="000C6A63"/>
    <w:rsid w:val="0030399C"/>
    <w:rsid w:val="00482D5B"/>
    <w:rsid w:val="00736194"/>
    <w:rsid w:val="00794871"/>
    <w:rsid w:val="00DC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CEA6F2"/>
  <w15:chartTrackingRefBased/>
  <w15:docId w15:val="{3B5D942A-F49D-44C1-A7E2-70EE6B63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3F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3FD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3F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3F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0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晓奇</dc:creator>
  <cp:keywords/>
  <dc:description/>
  <cp:lastModifiedBy>晓奇</cp:lastModifiedBy>
  <cp:revision>3</cp:revision>
  <dcterms:created xsi:type="dcterms:W3CDTF">2020-03-17T12:20:00Z</dcterms:created>
  <dcterms:modified xsi:type="dcterms:W3CDTF">2020-10-20T05:05:00Z</dcterms:modified>
</cp:coreProperties>
</file>