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uppressAutoHyphens/>
        <w:spacing w:line="360" w:lineRule="auto"/>
        <w:rPr>
          <w:rFonts w:hint="eastAsia" w:ascii="Times New Roman" w:hAnsi="Times New Roman" w:eastAsia="宋体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sz w:val="28"/>
          <w:szCs w:val="28"/>
          <w:lang w:val="en-GB"/>
        </w:rPr>
        <w:t>Appendices</w:t>
      </w:r>
    </w:p>
    <w:p>
      <w:pPr>
        <w:jc w:val="left"/>
        <w:rPr>
          <w:rFonts w:ascii="Times New Roman" w:hAnsi="Times New Roman" w:eastAsia="宋体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Figure </w:t>
      </w:r>
      <w:r>
        <w:rPr>
          <w:rFonts w:hint="eastAsia" w:ascii="Times New Roman" w:hAnsi="Times New Roman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S1</w:t>
      </w:r>
      <w:r>
        <w:rPr>
          <w:rFonts w:hint="eastAsia" w:ascii="Times New Roman" w:hAnsi="Times New Roman" w:eastAsia="宋体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. Risk of bias graph</w:t>
      </w:r>
    </w:p>
    <w:p>
      <w:pPr>
        <w:ind w:firstLine="420" w:firstLineChars="200"/>
        <w:jc w:val="left"/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865" cy="2226310"/>
            <wp:effectExtent l="0" t="0" r="6985" b="2540"/>
            <wp:docPr id="1" name="图片 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  <w:highlight w:val="yellow"/>
        </w:rPr>
      </w:pPr>
    </w:p>
    <w:p>
      <w:pPr>
        <w:jc w:val="left"/>
        <w:rPr>
          <w:rFonts w:ascii="Times New Roman" w:hAnsi="Times New Roman" w:eastAsia="宋体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Figure </w:t>
      </w:r>
      <w:r>
        <w:rPr>
          <w:rFonts w:hint="eastAsia" w:ascii="Times New Roman" w:hAnsi="Times New Roman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S2</w:t>
      </w:r>
      <w:r>
        <w:rPr>
          <w:rFonts w:hint="eastAsia" w:ascii="Times New Roman" w:hAnsi="Times New Roman" w:eastAsia="宋体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宋体" w:cs="宋体"/>
          <w:bCs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Risk of bias summary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43250" cy="6105525"/>
            <wp:effectExtent l="0" t="0" r="0" b="9525"/>
            <wp:docPr id="2" name="图片 2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S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14FC2"/>
    <w:rsid w:val="0DDA66E2"/>
    <w:rsid w:val="557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2019-07-26T15:30:00Z</dcterms:created>
  <dc:creator>北海北</dc:creator>
  <cp:lastModifiedBy>北海北</cp:lastModifiedBy>
  <dcterms:modified xsi:type="dcterms:W3CDTF">2019-07-26T15:47:52Z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