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2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6540"/>
      </w:tblGrid>
      <w:tr w:rsidR="00766489" w:rsidRPr="00766489" w14:paraId="06BC9FFB" w14:textId="77777777" w:rsidTr="00766489">
        <w:trPr>
          <w:trHeight w:val="276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B4E9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Gene symbol</w:t>
            </w: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3107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Gene name</w:t>
            </w:r>
          </w:p>
        </w:tc>
      </w:tr>
      <w:tr w:rsidR="00766489" w:rsidRPr="00766489" w14:paraId="7F9227FF" w14:textId="77777777" w:rsidTr="00766489">
        <w:trPr>
          <w:trHeight w:val="276"/>
        </w:trPr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09C6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AKAP12</w:t>
            </w:r>
          </w:p>
        </w:tc>
        <w:tc>
          <w:tcPr>
            <w:tcW w:w="6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9D24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A-kinase anchoring protein 12</w:t>
            </w:r>
          </w:p>
        </w:tc>
      </w:tr>
      <w:tr w:rsidR="00766489" w:rsidRPr="00766489" w14:paraId="69EBC4CF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5154B23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ANGPTL4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3CF04DF7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Angiopoietin like 4</w:t>
            </w:r>
          </w:p>
        </w:tc>
      </w:tr>
      <w:tr w:rsidR="00766489" w:rsidRPr="00766489" w14:paraId="4C1A3C65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4EA2F5D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BCL2A1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7727C76B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BCL2 related protein A1</w:t>
            </w:r>
          </w:p>
        </w:tc>
      </w:tr>
      <w:tr w:rsidR="00766489" w:rsidRPr="00766489" w14:paraId="701C21C9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58BD785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BCL2L1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00D7C138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BCL2 like 1</w:t>
            </w:r>
          </w:p>
        </w:tc>
      </w:tr>
      <w:tr w:rsidR="00766489" w:rsidRPr="00766489" w14:paraId="2D176C49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2490ED1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C1R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47CA0B11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complement C1r</w:t>
            </w:r>
          </w:p>
        </w:tc>
      </w:tr>
      <w:tr w:rsidR="00766489" w:rsidRPr="00766489" w14:paraId="6F34B4DA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6A20695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C1S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40E368B5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complement C1s</w:t>
            </w:r>
          </w:p>
        </w:tc>
      </w:tr>
      <w:tr w:rsidR="00766489" w:rsidRPr="00766489" w14:paraId="390E8119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40B0BE0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C3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46D373CE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complement C3</w:t>
            </w:r>
          </w:p>
        </w:tc>
      </w:tr>
      <w:tr w:rsidR="00766489" w:rsidRPr="00766489" w14:paraId="5D75D5D5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C7B7F0F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CCNB2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28C660A1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cyclin B2</w:t>
            </w:r>
          </w:p>
        </w:tc>
      </w:tr>
      <w:tr w:rsidR="00766489" w:rsidRPr="00766489" w14:paraId="59655313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C9921F3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COL12A1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69B82B63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collagen type XII alpha 1 chain</w:t>
            </w:r>
          </w:p>
        </w:tc>
      </w:tr>
      <w:tr w:rsidR="00766489" w:rsidRPr="00766489" w14:paraId="1280912F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F30DF23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CSF1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30ED1663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colony stimulating factor 1</w:t>
            </w:r>
          </w:p>
        </w:tc>
      </w:tr>
      <w:tr w:rsidR="00766489" w:rsidRPr="00766489" w14:paraId="3763E32B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94E7AE8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DLGAP5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02CE1763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DLG associated protein 5</w:t>
            </w:r>
          </w:p>
        </w:tc>
      </w:tr>
      <w:tr w:rsidR="00766489" w:rsidRPr="00766489" w14:paraId="561D1EA8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E0EB6ED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DUT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658C6575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deoxyuridine</w:t>
            </w:r>
            <w:proofErr w:type="spellEnd"/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triphosphatase</w:t>
            </w:r>
          </w:p>
        </w:tc>
      </w:tr>
      <w:tr w:rsidR="00766489" w:rsidRPr="00766489" w14:paraId="3F66AAF0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62DF51D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EMP1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1C212A76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epithelial membrane protein 1</w:t>
            </w:r>
          </w:p>
        </w:tc>
      </w:tr>
      <w:tr w:rsidR="00766489" w:rsidRPr="00766489" w14:paraId="7A56C329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0B88A42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EREG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229CF459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epiregulin</w:t>
            </w:r>
          </w:p>
        </w:tc>
      </w:tr>
      <w:tr w:rsidR="00766489" w:rsidRPr="00766489" w14:paraId="133D8261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D89EB03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ETS1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5F09BA50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ETS proto-oncogene 1, transcription factor</w:t>
            </w:r>
          </w:p>
        </w:tc>
      </w:tr>
      <w:tr w:rsidR="00766489" w:rsidRPr="00766489" w14:paraId="5C14450D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9BF8B9F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EZH2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045C1813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enhancer of </w:t>
            </w:r>
            <w:proofErr w:type="spellStart"/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zeste</w:t>
            </w:r>
            <w:proofErr w:type="spellEnd"/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2 </w:t>
            </w:r>
            <w:proofErr w:type="spellStart"/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polycomb</w:t>
            </w:r>
            <w:proofErr w:type="spellEnd"/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repressive complex 2 subunit</w:t>
            </w:r>
          </w:p>
        </w:tc>
      </w:tr>
      <w:tr w:rsidR="00766489" w:rsidRPr="00766489" w14:paraId="7DA02B51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0A9EDC0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HELZ2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6212930C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helicase with zinc finger 2</w:t>
            </w:r>
          </w:p>
        </w:tc>
      </w:tr>
      <w:tr w:rsidR="00766489" w:rsidRPr="00766489" w14:paraId="477C471C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4AABB37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HK2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24DCD8F7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hexokinase 2</w:t>
            </w:r>
          </w:p>
        </w:tc>
      </w:tr>
      <w:tr w:rsidR="00766489" w:rsidRPr="00766489" w14:paraId="41428051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5C0CCAD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HLA-B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5078B19C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major histocompatibility complex, class I, B</w:t>
            </w:r>
          </w:p>
        </w:tc>
      </w:tr>
      <w:tr w:rsidR="00766489" w:rsidRPr="00766489" w14:paraId="2EB325B2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F418AAE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ICAM1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0071F43B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intercellular adhesion molecule 1</w:t>
            </w:r>
          </w:p>
        </w:tc>
      </w:tr>
      <w:tr w:rsidR="00766489" w:rsidRPr="00766489" w14:paraId="3E6CE15C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9B9E23A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IER3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5B2891C4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immediate early response 3</w:t>
            </w:r>
          </w:p>
        </w:tc>
      </w:tr>
      <w:tr w:rsidR="00766489" w:rsidRPr="00766489" w14:paraId="6A18F229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20E5DC9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IFI27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2C30E048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interferon alpha inducible protein 27</w:t>
            </w:r>
          </w:p>
        </w:tc>
      </w:tr>
      <w:tr w:rsidR="00766489" w:rsidRPr="00766489" w14:paraId="2203F753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A0EFE16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IFI44L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0C36811D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interferon induced protein 44 like</w:t>
            </w:r>
          </w:p>
        </w:tc>
      </w:tr>
      <w:tr w:rsidR="00766489" w:rsidRPr="00766489" w14:paraId="35B3F763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D33F110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IFNGR2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1CB3B859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interferon gamma receptor 2</w:t>
            </w:r>
          </w:p>
        </w:tc>
      </w:tr>
      <w:tr w:rsidR="00766489" w:rsidRPr="00766489" w14:paraId="72919709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4266EA0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IL1B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616ECBE9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interleukin 1 beta</w:t>
            </w:r>
          </w:p>
        </w:tc>
      </w:tr>
      <w:tr w:rsidR="00766489" w:rsidRPr="00766489" w14:paraId="4DC251D0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65C3BF7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IL6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2B754AC6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interleukin 6</w:t>
            </w:r>
          </w:p>
        </w:tc>
      </w:tr>
      <w:tr w:rsidR="00766489" w:rsidRPr="00766489" w14:paraId="39125F0A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2C98822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IRF7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78784595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interferon regulatory factor 7</w:t>
            </w:r>
          </w:p>
        </w:tc>
      </w:tr>
      <w:tr w:rsidR="00766489" w:rsidRPr="00766489" w14:paraId="2CFEB71F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0D4CA7E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ITGA5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4E68FEAB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integrin subunit alpha 5</w:t>
            </w:r>
          </w:p>
        </w:tc>
      </w:tr>
      <w:tr w:rsidR="00766489" w:rsidRPr="00766489" w14:paraId="77B4337A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2C3E14D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ITGB3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6FA713EC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integrin subunit beta 3</w:t>
            </w:r>
          </w:p>
        </w:tc>
      </w:tr>
      <w:tr w:rsidR="00766489" w:rsidRPr="00766489" w14:paraId="7078C8B1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727BB24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LAMP3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2A433C9B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lysosomal associated membrane protein 3</w:t>
            </w:r>
          </w:p>
        </w:tc>
      </w:tr>
      <w:tr w:rsidR="00766489" w:rsidRPr="00766489" w14:paraId="76AE1CBE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4B82BF4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LIF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087B2103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LIF interleukin 6 family cytokine</w:t>
            </w:r>
          </w:p>
        </w:tc>
      </w:tr>
      <w:tr w:rsidR="00766489" w:rsidRPr="00766489" w14:paraId="23C292DA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091AF1F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LOX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3FF7E2BF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lysyl</w:t>
            </w:r>
            <w:proofErr w:type="spellEnd"/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oxidase</w:t>
            </w:r>
          </w:p>
        </w:tc>
      </w:tr>
      <w:tr w:rsidR="00766489" w:rsidRPr="00766489" w14:paraId="0C4FDAB9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A888A63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LTB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6331E5F5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lymphotoxin beta</w:t>
            </w:r>
          </w:p>
        </w:tc>
      </w:tr>
      <w:tr w:rsidR="00766489" w:rsidRPr="00766489" w14:paraId="0F2CC837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E86A234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MCM4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3E098B2B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minichromosome</w:t>
            </w:r>
            <w:proofErr w:type="spellEnd"/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maintenance complex component 4</w:t>
            </w:r>
          </w:p>
        </w:tc>
      </w:tr>
      <w:tr w:rsidR="00766489" w:rsidRPr="00766489" w14:paraId="2489F9D3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409A66B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MYC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414238CD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MYC proto-oncogene, </w:t>
            </w:r>
            <w:proofErr w:type="spellStart"/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bHLH</w:t>
            </w:r>
            <w:proofErr w:type="spellEnd"/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transcription factor</w:t>
            </w:r>
          </w:p>
        </w:tc>
      </w:tr>
      <w:tr w:rsidR="00766489" w:rsidRPr="00766489" w14:paraId="56922922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C41D5F6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NAMPT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64BA350D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nicotinamide </w:t>
            </w:r>
            <w:proofErr w:type="spellStart"/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phosphoribosyltransferase</w:t>
            </w:r>
            <w:proofErr w:type="spellEnd"/>
          </w:p>
        </w:tc>
      </w:tr>
      <w:tr w:rsidR="00766489" w:rsidRPr="00766489" w14:paraId="4D034A08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040EF65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OSMR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162CBAB4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oncostatin</w:t>
            </w:r>
            <w:proofErr w:type="spellEnd"/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M receptor</w:t>
            </w:r>
          </w:p>
        </w:tc>
      </w:tr>
      <w:tr w:rsidR="00766489" w:rsidRPr="00766489" w14:paraId="04BF9427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23BE90E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PARP14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1F6870E4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poly(ADP-ribose) polymerase family member 14</w:t>
            </w:r>
          </w:p>
        </w:tc>
      </w:tr>
      <w:tr w:rsidR="00766489" w:rsidRPr="00766489" w14:paraId="08A262F1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4A34DEC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PCNA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47F12196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proliferating cell nuclear antigen</w:t>
            </w:r>
          </w:p>
        </w:tc>
      </w:tr>
      <w:tr w:rsidR="00766489" w:rsidRPr="00766489" w14:paraId="5CFFD9E9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8BA7D28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PDGFB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05605DEC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platelet derived growth factor subunit B</w:t>
            </w:r>
          </w:p>
        </w:tc>
      </w:tr>
      <w:tr w:rsidR="00766489" w:rsidRPr="00766489" w14:paraId="5EF76DD8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E579BCE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PLAUR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620117B5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plasminogen activator, urokinase receptor</w:t>
            </w:r>
          </w:p>
        </w:tc>
      </w:tr>
      <w:tr w:rsidR="00766489" w:rsidRPr="00766489" w14:paraId="1BD636E7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53DD14F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POLD3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3F93955F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DNA polymerase delta 3, accessory subunit</w:t>
            </w:r>
          </w:p>
        </w:tc>
      </w:tr>
      <w:tr w:rsidR="00766489" w:rsidRPr="00766489" w14:paraId="7FFEBF23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4050A26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PTGS2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5062F931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prostaglandin-endoperoxide synthase 2</w:t>
            </w:r>
          </w:p>
        </w:tc>
      </w:tr>
      <w:tr w:rsidR="00766489" w:rsidRPr="00766489" w14:paraId="07FFEF0F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AF7A8F5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PTTG1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3A19B9F6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PTTG1 regulator of sister chromatid separation, </w:t>
            </w:r>
            <w:proofErr w:type="spellStart"/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securin</w:t>
            </w:r>
            <w:proofErr w:type="spellEnd"/>
          </w:p>
        </w:tc>
      </w:tr>
      <w:tr w:rsidR="00766489" w:rsidRPr="00766489" w14:paraId="17B92858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082BA04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RFC3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3226DB55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replication factor C subunit 3</w:t>
            </w:r>
          </w:p>
        </w:tc>
      </w:tr>
      <w:tr w:rsidR="00766489" w:rsidRPr="00766489" w14:paraId="3B922D82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54D7C7E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RPA2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78ADB8A9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replication protein A2</w:t>
            </w:r>
          </w:p>
        </w:tc>
      </w:tr>
      <w:tr w:rsidR="00766489" w:rsidRPr="00766489" w14:paraId="06B639C0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1E8AB11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SERPINA3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05F79906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serpin family A member 3</w:t>
            </w:r>
          </w:p>
        </w:tc>
      </w:tr>
      <w:tr w:rsidR="00766489" w:rsidRPr="00766489" w14:paraId="08C5C2E5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7D22191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SLC39A8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735E6E98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solute carrier family 39 member 8</w:t>
            </w:r>
          </w:p>
        </w:tc>
      </w:tr>
      <w:tr w:rsidR="00766489" w:rsidRPr="00766489" w14:paraId="1ECD2D84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5D28078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SOD2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179734B1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superoxide dismutase 2</w:t>
            </w:r>
          </w:p>
        </w:tc>
      </w:tr>
      <w:tr w:rsidR="00766489" w:rsidRPr="00766489" w14:paraId="43111311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057D1CF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TAP1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0418B62A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transporter 1, ATP binding cassette subfamily B member</w:t>
            </w:r>
          </w:p>
        </w:tc>
      </w:tr>
      <w:tr w:rsidR="00766489" w:rsidRPr="00766489" w14:paraId="5975411D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1155AA8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TGM2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2B438C97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transglutaminase 2</w:t>
            </w:r>
          </w:p>
        </w:tc>
      </w:tr>
      <w:tr w:rsidR="00766489" w:rsidRPr="00766489" w14:paraId="7745D0F6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24FED16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TLR2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4F47243B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toll like receptor 2</w:t>
            </w:r>
          </w:p>
        </w:tc>
      </w:tr>
      <w:tr w:rsidR="00766489" w:rsidRPr="00766489" w14:paraId="4E4F81E7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C6E62EE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TNF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41D61E26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tumor necrosis factor</w:t>
            </w:r>
          </w:p>
        </w:tc>
      </w:tr>
      <w:tr w:rsidR="00766489" w:rsidRPr="00766489" w14:paraId="213257D3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B375C8C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TNFAIP3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75E65AB2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TNF alpha induced protein 3</w:t>
            </w:r>
          </w:p>
        </w:tc>
      </w:tr>
      <w:tr w:rsidR="00766489" w:rsidRPr="00766489" w14:paraId="27817CC5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360088E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TRIM25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3634ED54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tripartite motif containing 25</w:t>
            </w:r>
          </w:p>
        </w:tc>
      </w:tr>
      <w:tr w:rsidR="00766489" w:rsidRPr="00766489" w14:paraId="1EF06051" w14:textId="77777777" w:rsidTr="00766489">
        <w:trPr>
          <w:trHeight w:val="27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D9C4F75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VEGFA</w:t>
            </w:r>
          </w:p>
        </w:tc>
        <w:tc>
          <w:tcPr>
            <w:tcW w:w="6540" w:type="dxa"/>
            <w:shd w:val="clear" w:color="auto" w:fill="auto"/>
            <w:noWrap/>
            <w:vAlign w:val="center"/>
            <w:hideMark/>
          </w:tcPr>
          <w:p w14:paraId="60A116B1" w14:textId="77777777" w:rsidR="00766489" w:rsidRPr="00766489" w:rsidRDefault="00766489" w:rsidP="007664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6648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vascular endothelial growth factor A</w:t>
            </w:r>
          </w:p>
        </w:tc>
      </w:tr>
    </w:tbl>
    <w:p w14:paraId="2D9589A8" w14:textId="77777777" w:rsidR="00766489" w:rsidRDefault="00766489">
      <w:pPr>
        <w:rPr>
          <w:rFonts w:ascii="Times New Roman" w:hAnsi="Times New Roman" w:cs="Times New Roman"/>
          <w:sz w:val="24"/>
          <w:szCs w:val="24"/>
        </w:rPr>
      </w:pPr>
    </w:p>
    <w:p w14:paraId="0D2C52CD" w14:textId="35AFB707" w:rsidR="004E6570" w:rsidRPr="00766489" w:rsidRDefault="00766489">
      <w:pPr>
        <w:rPr>
          <w:rFonts w:ascii="Times New Roman" w:hAnsi="Times New Roman" w:cs="Times New Roman"/>
          <w:sz w:val="24"/>
          <w:szCs w:val="24"/>
        </w:rPr>
      </w:pPr>
      <w:r w:rsidRPr="00766489">
        <w:rPr>
          <w:rFonts w:ascii="Times New Roman" w:hAnsi="Times New Roman" w:cs="Times New Roman"/>
          <w:sz w:val="24"/>
          <w:szCs w:val="24"/>
        </w:rPr>
        <w:t xml:space="preserve">Table S1 The co-core genes from the </w:t>
      </w:r>
      <w:r w:rsidR="006C4F34">
        <w:rPr>
          <w:rFonts w:ascii="Times New Roman" w:hAnsi="Times New Roman" w:cs="Times New Roman"/>
          <w:sz w:val="24"/>
          <w:szCs w:val="24"/>
        </w:rPr>
        <w:t xml:space="preserve">co-enriched </w:t>
      </w:r>
      <w:r w:rsidRPr="00766489">
        <w:rPr>
          <w:rFonts w:ascii="Times New Roman" w:hAnsi="Times New Roman" w:cs="Times New Roman"/>
          <w:sz w:val="24"/>
          <w:szCs w:val="24"/>
        </w:rPr>
        <w:t>GSEA results.</w:t>
      </w:r>
    </w:p>
    <w:sectPr w:rsidR="004E6570" w:rsidRPr="00766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207E3" w14:textId="77777777" w:rsidR="00303F54" w:rsidRDefault="00303F54" w:rsidP="00766489">
      <w:r>
        <w:separator/>
      </w:r>
    </w:p>
  </w:endnote>
  <w:endnote w:type="continuationSeparator" w:id="0">
    <w:p w14:paraId="35BC0EA4" w14:textId="77777777" w:rsidR="00303F54" w:rsidRDefault="00303F54" w:rsidP="0076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8732B" w14:textId="77777777" w:rsidR="00303F54" w:rsidRDefault="00303F54" w:rsidP="00766489">
      <w:r>
        <w:separator/>
      </w:r>
    </w:p>
  </w:footnote>
  <w:footnote w:type="continuationSeparator" w:id="0">
    <w:p w14:paraId="4D18F4C1" w14:textId="77777777" w:rsidR="00303F54" w:rsidRDefault="00303F54" w:rsidP="00766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26"/>
    <w:rsid w:val="00303F54"/>
    <w:rsid w:val="004E6570"/>
    <w:rsid w:val="006C4F34"/>
    <w:rsid w:val="00702D26"/>
    <w:rsid w:val="0076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D2494"/>
  <w15:chartTrackingRefBased/>
  <w15:docId w15:val="{28816491-6375-4DE7-B021-09E3E9F0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4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4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智军</dc:creator>
  <cp:keywords/>
  <dc:description/>
  <cp:lastModifiedBy>冯 智军</cp:lastModifiedBy>
  <cp:revision>6</cp:revision>
  <dcterms:created xsi:type="dcterms:W3CDTF">2020-06-19T08:12:00Z</dcterms:created>
  <dcterms:modified xsi:type="dcterms:W3CDTF">2020-06-19T08:14:00Z</dcterms:modified>
</cp:coreProperties>
</file>