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62E9" w14:textId="77777777" w:rsidR="0003756F" w:rsidRDefault="0003756F" w:rsidP="0003756F">
      <w:pPr>
        <w:spacing w:line="48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2FFA7AAB" wp14:editId="3740B003">
            <wp:extent cx="4395788" cy="1217295"/>
            <wp:effectExtent l="0" t="0" r="508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pplemental figure 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572" cy="122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96D7A" w14:textId="77777777" w:rsidR="0003756F" w:rsidRPr="00FC4001" w:rsidRDefault="0003756F" w:rsidP="0003756F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C4001">
        <w:rPr>
          <w:rFonts w:ascii="Times New Roman" w:hAnsi="Times New Roman" w:cs="Times New Roman"/>
          <w:b/>
          <w:bCs/>
          <w:sz w:val="20"/>
          <w:szCs w:val="20"/>
        </w:rPr>
        <w:t>Supplemental Fig.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</w:t>
      </w:r>
      <w:r w:rsidRPr="00FC400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FC40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400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The role of pp2 in the effects of LIPUS on </w:t>
      </w:r>
      <w:proofErr w:type="spellStart"/>
      <w:r w:rsidRPr="00FC400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AngII</w:t>
      </w:r>
      <w:proofErr w:type="spellEnd"/>
      <w:r w:rsidRPr="00FC400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-induced cardiac hypertrophy.</w:t>
      </w:r>
    </w:p>
    <w:p w14:paraId="530989DB" w14:textId="77777777" w:rsidR="0003756F" w:rsidRDefault="0003756F" w:rsidP="0003756F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Pr="00FC400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</w:t>
      </w:r>
      <w:r w:rsidRPr="00FC400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Pr="00FC4001">
        <w:rPr>
          <w:rFonts w:ascii="Times New Roman" w:hAnsi="Times New Roman" w:cs="Times New Roman"/>
          <w:color w:val="000000" w:themeColor="text1"/>
          <w:sz w:val="20"/>
          <w:szCs w:val="20"/>
        </w:rPr>
        <w:t>mRNA expression levels of ANP and BNP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C4001">
        <w:rPr>
          <w:rFonts w:ascii="Times New Roman" w:hAnsi="Times New Roman" w:cs="Times New Roman"/>
          <w:color w:val="000000" w:themeColor="text1"/>
          <w:sz w:val="20"/>
          <w:szCs w:val="20"/>
        </w:rPr>
        <w:t>) as well as α-MHC and β-MHC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FC4001">
        <w:rPr>
          <w:rFonts w:ascii="Times New Roman" w:hAnsi="Times New Roman" w:cs="Times New Roman"/>
          <w:color w:val="000000" w:themeColor="text1"/>
          <w:sz w:val="20"/>
          <w:szCs w:val="20"/>
        </w:rPr>
        <w:t>) in cardiomyocytes from the control group, the model groups with/without pp2 pretreatment, and the LIPUS treatment groups with/without pp2 pretreatment; n&gt;3 per group. All mRNA and protein expression levels were normalized to GAPDH. The results are expressed as the mean ± SEM (NS indicates not significant, *P&lt;0.05, **P&lt;0.01, ***P&lt;0.001).</w:t>
      </w:r>
    </w:p>
    <w:p w14:paraId="32A86366" w14:textId="77777777" w:rsidR="00FA148F" w:rsidRPr="0003756F" w:rsidRDefault="00FA148F"/>
    <w:sectPr w:rsidR="00FA148F" w:rsidRPr="00037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6565" w14:textId="77777777" w:rsidR="00125F87" w:rsidRDefault="00125F87" w:rsidP="0003756F">
      <w:r>
        <w:separator/>
      </w:r>
    </w:p>
  </w:endnote>
  <w:endnote w:type="continuationSeparator" w:id="0">
    <w:p w14:paraId="3897BA4A" w14:textId="77777777" w:rsidR="00125F87" w:rsidRDefault="00125F87" w:rsidP="000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E5B75" w14:textId="77777777" w:rsidR="00125F87" w:rsidRDefault="00125F87" w:rsidP="0003756F">
      <w:r>
        <w:separator/>
      </w:r>
    </w:p>
  </w:footnote>
  <w:footnote w:type="continuationSeparator" w:id="0">
    <w:p w14:paraId="21B55845" w14:textId="77777777" w:rsidR="00125F87" w:rsidRDefault="00125F87" w:rsidP="0003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xNDYysbA0szQ3NjZR0lEKTi0uzszPAykwrAUA/Y68DSwAAAA="/>
  </w:docVars>
  <w:rsids>
    <w:rsidRoot w:val="00FA148F"/>
    <w:rsid w:val="0003756F"/>
    <w:rsid w:val="00125F87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B8CDA-28F6-49C4-9C92-8CCC2EE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5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5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2020-06-13T03:40:00Z</dcterms:created>
  <dcterms:modified xsi:type="dcterms:W3CDTF">2020-06-13T03:41:00Z</dcterms:modified>
</cp:coreProperties>
</file>