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AC66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4"/>
          <w:szCs w:val="24"/>
        </w:rPr>
        <w:t xml:space="preserve">Extended Data Figures: </w:t>
      </w:r>
      <w:proofErr w:type="gramStart"/>
      <w:r w:rsidRPr="00E76BA4">
        <w:rPr>
          <w:rFonts w:ascii="Times New Roman" w:hAnsi="Times New Roman" w:cs="Times New Roman"/>
          <w:b/>
          <w:bCs/>
          <w:sz w:val="24"/>
          <w:szCs w:val="24"/>
        </w:rPr>
        <w:t>Case  I</w:t>
      </w:r>
      <w:proofErr w:type="gramEnd"/>
      <w:r w:rsidRPr="00E76BA4">
        <w:rPr>
          <w:rFonts w:ascii="Times New Roman" w:hAnsi="Times New Roman" w:cs="Times New Roman"/>
          <w:b/>
          <w:bCs/>
          <w:sz w:val="24"/>
          <w:szCs w:val="24"/>
        </w:rPr>
        <w:t>, United States</w:t>
      </w:r>
    </w:p>
    <w:p w14:paraId="4E84B718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0FF17" w14:textId="77777777" w:rsidR="009E070B" w:rsidRPr="00E76BA4" w:rsidRDefault="009E070B" w:rsidP="009E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13141" wp14:editId="453B68CC">
            <wp:extent cx="5292477" cy="31813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99" cy="321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6FA5D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>Extend Data Figure 1: Numbers of daily new cases under different vaccination program scenarios.</w:t>
      </w:r>
    </w:p>
    <w:p w14:paraId="56EF6F91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97E6D7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</w:t>
      </w:r>
      <w:r>
        <w:rPr>
          <w:rFonts w:ascii="Times New Roman" w:hAnsi="Times New Roman" w:cs="Times New Roman"/>
          <w:b/>
          <w:bCs/>
          <w:sz w:val="24"/>
          <w:szCs w:val="24"/>
        </w:rPr>
        <w:t>materials</w:t>
      </w:r>
      <w:r w:rsidRPr="00E76BA4">
        <w:rPr>
          <w:rFonts w:ascii="Times New Roman" w:hAnsi="Times New Roman" w:cs="Times New Roman"/>
          <w:b/>
          <w:bCs/>
          <w:sz w:val="24"/>
          <w:szCs w:val="24"/>
        </w:rPr>
        <w:t>: Case study I, United States</w:t>
      </w:r>
    </w:p>
    <w:p w14:paraId="707FA5C9" w14:textId="77777777" w:rsidR="009E070B" w:rsidRPr="00E76BA4" w:rsidRDefault="009E070B" w:rsidP="009E070B">
      <w:pPr>
        <w:rPr>
          <w:rFonts w:ascii="Times New Roman" w:hAnsi="Times New Roman" w:cs="Times New Roman"/>
          <w:sz w:val="24"/>
          <w:szCs w:val="24"/>
        </w:rPr>
      </w:pPr>
    </w:p>
    <w:p w14:paraId="6C080E7F" w14:textId="77777777" w:rsidR="009E070B" w:rsidRPr="00E76BA4" w:rsidRDefault="009E070B" w:rsidP="009E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04051" wp14:editId="3D200D9C">
            <wp:extent cx="4437770" cy="2618973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115" cy="263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10F5B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>Supplement Figure 1: Number of daily new cases under different lag days from symptom onset to isolation (testing delay, k</w:t>
      </w:r>
      <w:r w:rsidRPr="00E76BA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g</w:t>
      </w:r>
      <w:r w:rsidRPr="00E76BA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B56DB37" w14:textId="77777777" w:rsidR="009E070B" w:rsidRPr="00E76BA4" w:rsidRDefault="009E070B" w:rsidP="009E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6FDA1" wp14:editId="342CC8CE">
            <wp:extent cx="4358798" cy="2620108"/>
            <wp:effectExtent l="0" t="0" r="381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36" cy="266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4BFEB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>Supplement Figure 2: Number of daily new cases under different cooperation levels (k</w:t>
      </w:r>
      <w:r w:rsidRPr="00E76BA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o</w:t>
      </w:r>
      <w:r w:rsidRPr="00E76BA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2E38CC9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CE2F2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B3547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F7DD0D" w14:textId="77777777" w:rsidR="009E070B" w:rsidRPr="00E76BA4" w:rsidRDefault="009E070B" w:rsidP="009E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</w:t>
      </w:r>
      <w:r>
        <w:rPr>
          <w:rFonts w:ascii="Times New Roman" w:hAnsi="Times New Roman" w:cs="Times New Roman"/>
          <w:b/>
          <w:bCs/>
          <w:sz w:val="24"/>
          <w:szCs w:val="24"/>
        </w:rPr>
        <w:t>materials</w:t>
      </w:r>
      <w:r w:rsidRPr="00E76B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E76BA4">
        <w:rPr>
          <w:rFonts w:ascii="Times New Roman" w:hAnsi="Times New Roman" w:cs="Times New Roman"/>
          <w:b/>
          <w:bCs/>
          <w:sz w:val="24"/>
          <w:szCs w:val="24"/>
        </w:rPr>
        <w:t>Case  II</w:t>
      </w:r>
      <w:proofErr w:type="gramEnd"/>
      <w:r w:rsidRPr="00E76BA4">
        <w:rPr>
          <w:rFonts w:ascii="Times New Roman" w:hAnsi="Times New Roman" w:cs="Times New Roman"/>
          <w:b/>
          <w:bCs/>
          <w:sz w:val="24"/>
          <w:szCs w:val="24"/>
        </w:rPr>
        <w:t>, Thailand</w:t>
      </w:r>
    </w:p>
    <w:p w14:paraId="12E82A18" w14:textId="77777777" w:rsidR="009E070B" w:rsidRPr="00E76BA4" w:rsidRDefault="009E070B" w:rsidP="009E070B">
      <w:pPr>
        <w:rPr>
          <w:rFonts w:ascii="Times New Roman" w:hAnsi="Times New Roman"/>
          <w:sz w:val="24"/>
          <w:szCs w:val="24"/>
        </w:rPr>
      </w:pPr>
    </w:p>
    <w:p w14:paraId="6FA3A39F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A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204CF8" wp14:editId="3335A089">
            <wp:extent cx="4543364" cy="26435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95" cy="265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900D9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 xml:space="preserve">Supplement Figure 3: Daily new cases under different levels of control measure </w:t>
      </w:r>
      <w:proofErr w:type="spellStart"/>
      <w:r w:rsidRPr="00E76BA4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E76BA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r</w:t>
      </w:r>
      <w:proofErr w:type="spellEnd"/>
    </w:p>
    <w:p w14:paraId="013268DE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76BA4">
        <w:rPr>
          <w:rFonts w:ascii="Times New Roman" w:hAnsi="Times New Roman"/>
          <w:sz w:val="24"/>
          <w:szCs w:val="24"/>
        </w:rPr>
        <w:t xml:space="preserve">Sup Fig. 3 shows daily new case numbers under three scenarios of control measures, </w:t>
      </w:r>
      <w:proofErr w:type="spellStart"/>
      <w:r w:rsidRPr="00E76BA4">
        <w:rPr>
          <w:rFonts w:ascii="Times New Roman" w:hAnsi="Times New Roman"/>
          <w:i/>
          <w:iCs/>
          <w:sz w:val="24"/>
          <w:szCs w:val="24"/>
        </w:rPr>
        <w:t>k</w:t>
      </w:r>
      <w:r w:rsidRPr="00E76BA4">
        <w:rPr>
          <w:rFonts w:ascii="Times New Roman" w:hAnsi="Times New Roman"/>
          <w:i/>
          <w:iCs/>
          <w:sz w:val="24"/>
          <w:szCs w:val="24"/>
          <w:vertAlign w:val="subscript"/>
        </w:rPr>
        <w:t>r</w:t>
      </w:r>
      <w:proofErr w:type="spellEnd"/>
      <w:r w:rsidRPr="00E76BA4">
        <w:rPr>
          <w:rFonts w:ascii="Times New Roman" w:hAnsi="Times New Roman"/>
          <w:i/>
          <w:iCs/>
          <w:sz w:val="24"/>
          <w:szCs w:val="24"/>
        </w:rPr>
        <w:t>(t)</w:t>
      </w:r>
      <w:r w:rsidRPr="00E76BA4">
        <w:rPr>
          <w:rFonts w:ascii="Times New Roman" w:hAnsi="Times New Roman"/>
          <w:sz w:val="24"/>
          <w:szCs w:val="24"/>
        </w:rPr>
        <w:t xml:space="preserve"> = 0.2, 0.6, and 1, which was implemented on 23 December 2020. If no new additional measures were implemented besides the ones implemented before the second wave (i.e., </w:t>
      </w:r>
      <w:proofErr w:type="spellStart"/>
      <w:r w:rsidRPr="00E76BA4">
        <w:rPr>
          <w:rFonts w:ascii="Times New Roman" w:hAnsi="Times New Roman"/>
          <w:i/>
          <w:iCs/>
          <w:sz w:val="24"/>
          <w:szCs w:val="24"/>
        </w:rPr>
        <w:t>k</w:t>
      </w:r>
      <w:r w:rsidRPr="00E76BA4">
        <w:rPr>
          <w:rFonts w:ascii="Times New Roman" w:hAnsi="Times New Roman"/>
          <w:i/>
          <w:iCs/>
          <w:sz w:val="24"/>
          <w:szCs w:val="24"/>
          <w:vertAlign w:val="subscript"/>
        </w:rPr>
        <w:t>r</w:t>
      </w:r>
      <w:proofErr w:type="spellEnd"/>
      <w:r w:rsidRPr="00E76BA4">
        <w:rPr>
          <w:rFonts w:ascii="Times New Roman" w:hAnsi="Times New Roman"/>
          <w:i/>
          <w:iCs/>
          <w:sz w:val="24"/>
          <w:szCs w:val="24"/>
        </w:rPr>
        <w:t xml:space="preserve">(t) </w:t>
      </w:r>
      <w:r w:rsidRPr="00E76BA4">
        <w:rPr>
          <w:rFonts w:ascii="Times New Roman" w:hAnsi="Times New Roman"/>
          <w:sz w:val="24"/>
          <w:szCs w:val="24"/>
        </w:rPr>
        <w:t xml:space="preserve">= 1 scenario), then the number of hospitalized patients </w:t>
      </w:r>
      <w:r>
        <w:rPr>
          <w:rFonts w:ascii="Times New Roman" w:hAnsi="Times New Roman"/>
          <w:sz w:val="24"/>
          <w:szCs w:val="24"/>
        </w:rPr>
        <w:t xml:space="preserve">will dramatically </w:t>
      </w:r>
      <w:proofErr w:type="gramStart"/>
      <w:r>
        <w:rPr>
          <w:rFonts w:ascii="Times New Roman" w:hAnsi="Times New Roman"/>
          <w:sz w:val="24"/>
          <w:szCs w:val="24"/>
        </w:rPr>
        <w:t>increases</w:t>
      </w:r>
      <w:proofErr w:type="gramEnd"/>
      <w:r w:rsidRPr="00E76BA4">
        <w:rPr>
          <w:rFonts w:ascii="Times New Roman" w:hAnsi="Times New Roman"/>
          <w:sz w:val="24"/>
          <w:szCs w:val="24"/>
        </w:rPr>
        <w:t xml:space="preserve"> up to 2,200,000 in late April, which is far beyond the level that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76BA4">
        <w:rPr>
          <w:rFonts w:ascii="Times New Roman" w:hAnsi="Times New Roman"/>
          <w:sz w:val="24"/>
          <w:szCs w:val="24"/>
        </w:rPr>
        <w:t xml:space="preserve">Thailand healthcare system </w:t>
      </w:r>
      <w:r>
        <w:rPr>
          <w:rFonts w:ascii="Times New Roman" w:hAnsi="Times New Roman"/>
          <w:sz w:val="24"/>
          <w:szCs w:val="24"/>
        </w:rPr>
        <w:t>could</w:t>
      </w:r>
      <w:r w:rsidRPr="00E76BA4">
        <w:rPr>
          <w:rFonts w:ascii="Times New Roman" w:hAnsi="Times New Roman"/>
          <w:sz w:val="24"/>
          <w:szCs w:val="24"/>
        </w:rPr>
        <w:t xml:space="preserve"> handle. Thus, this scenario is unacceptable.</w:t>
      </w:r>
    </w:p>
    <w:p w14:paraId="05EDACA6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A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B5C6477" wp14:editId="1286E1A8">
            <wp:extent cx="4573585" cy="26611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24" cy="267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4FEED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>Supplement Figure 4: Daily new cases under different levels of cooperation level k</w:t>
      </w:r>
      <w:r w:rsidRPr="00E76BA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o</w:t>
      </w:r>
    </w:p>
    <w:p w14:paraId="7CB485EB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AC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B8B94E4" wp14:editId="14DBC4C6">
            <wp:extent cx="4885879" cy="28428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66" cy="285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295AB" w14:textId="77777777" w:rsidR="009E070B" w:rsidRPr="00E76BA4" w:rsidRDefault="009E070B" w:rsidP="009E070B">
      <w:pPr>
        <w:ind w:left="720"/>
        <w:rPr>
          <w:rFonts w:ascii="Times New Roman" w:hAnsi="Times New Roman" w:cs="Times New Roman"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 xml:space="preserve">Supplement Figure 5: Daily new cases under different levels of testing delay 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  <w:t>g</w:t>
      </w:r>
      <w:r w:rsidRPr="004C7C48">
        <w:rPr>
          <w:rFonts w:ascii="Times New Roman" w:hAnsi="Times New Roman"/>
          <w:i/>
          <w:sz w:val="24"/>
        </w:rPr>
        <w:t>:</w:t>
      </w:r>
      <w:r w:rsidRPr="00E76BA4">
        <w:rPr>
          <w:rFonts w:ascii="Times New Roman" w:hAnsi="Times New Roman" w:cs="Times New Roman"/>
          <w:sz w:val="24"/>
          <w:szCs w:val="24"/>
        </w:rPr>
        <w:t xml:space="preserve"> </w:t>
      </w:r>
      <w:r w:rsidRPr="00E76BA4">
        <w:rPr>
          <w:rFonts w:ascii="Times New Roman" w:hAnsi="Times New Roman" w:cs="Times New Roman"/>
          <w:sz w:val="20"/>
          <w:szCs w:val="20"/>
        </w:rPr>
        <w:t xml:space="preserve">When </w:t>
      </w:r>
      <w:r w:rsidRPr="00E76BA4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E76BA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g</w:t>
      </w:r>
      <w:r w:rsidRPr="00E76BA4">
        <w:rPr>
          <w:rFonts w:ascii="Times New Roman" w:hAnsi="Times New Roman" w:cs="Times New Roman"/>
          <w:sz w:val="20"/>
          <w:szCs w:val="20"/>
        </w:rPr>
        <w:t xml:space="preserve"> = 5, the peak hospitalized patients (severe and critical symptom) reach 30,000 and daily new cases reach 10,589 around the second half of October 2021.</w:t>
      </w:r>
    </w:p>
    <w:p w14:paraId="10B49292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67AF85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18A084" wp14:editId="21D2D7D3">
            <wp:extent cx="4884286" cy="28419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83" cy="285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58244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>Supplement Figure 6: Daily new cases under three vaccination program scenarios</w:t>
      </w:r>
    </w:p>
    <w:p w14:paraId="12235BC6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1847226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AE7466" wp14:editId="2FB4301E">
            <wp:extent cx="4855657" cy="2825262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36" cy="283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C16FE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 xml:space="preserve">Supplement Figure 7: Daily new cases under different contact tracing coverage 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  <w:t>c</w:t>
      </w:r>
    </w:p>
    <w:p w14:paraId="2DAAB311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6B82E" wp14:editId="4CF488EA">
            <wp:extent cx="4835509" cy="2813538"/>
            <wp:effectExtent l="0" t="0" r="381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85" cy="282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44DC6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 xml:space="preserve">Supplement Figure 8: Daily new cases under different levels of contact tracing delay 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  <w:t>l</w:t>
      </w:r>
    </w:p>
    <w:p w14:paraId="2248658F" w14:textId="77777777" w:rsidR="009E070B" w:rsidRPr="00E76BA4" w:rsidRDefault="009E070B" w:rsidP="009E07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6CD8C1" w14:textId="77777777" w:rsidR="009E070B" w:rsidRPr="00E76BA4" w:rsidRDefault="009E070B" w:rsidP="009E070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C5AC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35486E" wp14:editId="0328927C">
            <wp:extent cx="4754534" cy="3141785"/>
            <wp:effectExtent l="0" t="0" r="825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25" cy="3154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45657" w14:textId="77777777" w:rsidR="009E070B" w:rsidRPr="00886A07" w:rsidRDefault="009E070B" w:rsidP="009E070B">
      <w:pPr>
        <w:ind w:firstLine="720"/>
        <w:rPr>
          <w:rFonts w:ascii="Times New Roman" w:hAnsi="Times New Roman"/>
          <w:b/>
          <w:i/>
          <w:sz w:val="20"/>
          <w:vertAlign w:val="subscript"/>
        </w:rPr>
      </w:pPr>
      <w:r w:rsidRPr="00E76BA4">
        <w:rPr>
          <w:rFonts w:ascii="Times New Roman" w:hAnsi="Times New Roman" w:cs="Times New Roman"/>
          <w:b/>
          <w:bCs/>
          <w:sz w:val="20"/>
          <w:szCs w:val="20"/>
        </w:rPr>
        <w:t xml:space="preserve">Supplement Figure 9: Daily new cases under different asymptomatic detection capabilities </w:t>
      </w:r>
      <w:proofErr w:type="spellStart"/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</w:t>
      </w:r>
      <w:r w:rsidRPr="00E76BA4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  <w:t>d</w:t>
      </w:r>
      <w:proofErr w:type="spellEnd"/>
    </w:p>
    <w:p w14:paraId="237C6A30" w14:textId="77777777" w:rsidR="00AF2E74" w:rsidRDefault="00AF2E74"/>
    <w:sectPr w:rsidR="00AF2E74" w:rsidSect="007D66ED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317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D6792" w14:textId="77777777" w:rsidR="0098408C" w:rsidRDefault="009E0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B2846" w14:textId="77777777" w:rsidR="0098408C" w:rsidRDefault="009E070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4F73" w14:textId="77777777" w:rsidR="0098408C" w:rsidRDefault="009E0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0B"/>
    <w:rsid w:val="009E070B"/>
    <w:rsid w:val="00A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E664"/>
  <w15:chartTrackingRefBased/>
  <w15:docId w15:val="{E5C935A1-79D7-42F3-92A2-DAA8FC9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0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0B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E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0B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Turner</dc:creator>
  <cp:keywords/>
  <dc:description/>
  <cp:lastModifiedBy>Katie Turner</cp:lastModifiedBy>
  <cp:revision>1</cp:revision>
  <dcterms:created xsi:type="dcterms:W3CDTF">2021-04-13T16:49:00Z</dcterms:created>
  <dcterms:modified xsi:type="dcterms:W3CDTF">2021-04-13T16:50:00Z</dcterms:modified>
</cp:coreProperties>
</file>