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E5FEEB" w14:textId="1A35FE0D" w:rsidR="005A06E3" w:rsidRPr="00A367B1" w:rsidRDefault="00F75D0C" w:rsidP="00D6231B">
      <w:pPr>
        <w:pStyle w:val="Heading2"/>
        <w:rPr>
          <w:b w:val="0"/>
          <w:bCs w:val="0"/>
        </w:rPr>
      </w:pPr>
      <w:bookmarkStart w:id="0" w:name="_Toc22318226"/>
      <w:bookmarkStart w:id="1" w:name="_Toc26182341"/>
      <w:r w:rsidRPr="00A367B1">
        <w:rPr>
          <w:b w:val="0"/>
          <w:bCs w:val="0"/>
        </w:rPr>
        <w:t>Supplementary</w:t>
      </w:r>
      <w:r w:rsidR="005A06E3" w:rsidRPr="00A367B1">
        <w:rPr>
          <w:b w:val="0"/>
          <w:bCs w:val="0"/>
        </w:rPr>
        <w:t xml:space="preserve"> Tables, </w:t>
      </w:r>
      <w:r w:rsidRPr="00A367B1">
        <w:rPr>
          <w:b w:val="0"/>
          <w:bCs w:val="0"/>
        </w:rPr>
        <w:t>Supplementary</w:t>
      </w:r>
      <w:r w:rsidR="005A06E3" w:rsidRPr="00A367B1">
        <w:rPr>
          <w:b w:val="0"/>
          <w:bCs w:val="0"/>
        </w:rPr>
        <w:t xml:space="preserve"> Figures, Appendix</w:t>
      </w:r>
    </w:p>
    <w:p w14:paraId="11215E72" w14:textId="735AF13F" w:rsidR="00D6231B" w:rsidRPr="00A367B1" w:rsidRDefault="00D6231B" w:rsidP="00D6231B">
      <w:pPr>
        <w:pStyle w:val="Heading2"/>
        <w:rPr>
          <w:b w:val="0"/>
          <w:bCs w:val="0"/>
        </w:rPr>
      </w:pPr>
      <w:r w:rsidRPr="00A367B1">
        <w:rPr>
          <w:b w:val="0"/>
          <w:bCs w:val="0"/>
        </w:rPr>
        <w:t xml:space="preserve">Title: </w:t>
      </w:r>
      <w:bookmarkStart w:id="2" w:name="_Hlk59888978"/>
      <w:r w:rsidRPr="00A367B1">
        <w:rPr>
          <w:b w:val="0"/>
          <w:bCs w:val="0"/>
        </w:rPr>
        <w:t>Physical protection in aggregates and organo-mineral associations contribute to carbon stabilization at the transition zone of seasonally saturated wetlands</w:t>
      </w:r>
      <w:bookmarkEnd w:id="2"/>
    </w:p>
    <w:p w14:paraId="4830FDE0" w14:textId="2C3224CB" w:rsidR="00D6231B" w:rsidRDefault="00D6231B" w:rsidP="00D6231B">
      <w:pPr>
        <w:spacing w:after="240" w:line="259" w:lineRule="auto"/>
        <w:ind w:firstLine="0"/>
        <w:rPr>
          <w:rFonts w:cstheme="minorHAnsi"/>
          <w:i/>
          <w:iCs/>
        </w:rPr>
      </w:pPr>
      <w:r>
        <w:t>Running Title: C</w:t>
      </w:r>
      <w:r w:rsidRPr="008F4DF1">
        <w:rPr>
          <w:rFonts w:cstheme="minorHAnsi"/>
          <w:i/>
          <w:iCs/>
        </w:rPr>
        <w:t>arbon stabilization in</w:t>
      </w:r>
      <w:r>
        <w:rPr>
          <w:rFonts w:cstheme="minorHAnsi"/>
          <w:i/>
          <w:iCs/>
        </w:rPr>
        <w:t xml:space="preserve"> seasonally saturated</w:t>
      </w:r>
      <w:r w:rsidRPr="008F4DF1">
        <w:rPr>
          <w:rFonts w:cstheme="minorHAnsi"/>
          <w:i/>
          <w:iCs/>
        </w:rPr>
        <w:t xml:space="preserve"> wetlands </w:t>
      </w:r>
    </w:p>
    <w:p w14:paraId="1ABA43A2" w14:textId="10850691" w:rsidR="00D6231B" w:rsidRPr="00D6231B" w:rsidRDefault="00D6231B" w:rsidP="00D6231B">
      <w:pPr>
        <w:spacing w:after="240" w:line="259" w:lineRule="auto"/>
        <w:ind w:firstLine="0"/>
        <w:rPr>
          <w:rFonts w:cstheme="minorHAnsi"/>
        </w:rPr>
      </w:pPr>
      <w:r>
        <w:rPr>
          <w:rFonts w:cstheme="minorHAnsi"/>
        </w:rPr>
        <w:t>Journal: Biogeochemistry</w:t>
      </w:r>
    </w:p>
    <w:p w14:paraId="1A8858A3" w14:textId="77777777" w:rsidR="00D6231B" w:rsidRDefault="00D6231B" w:rsidP="00D6231B">
      <w:pPr>
        <w:ind w:firstLine="0"/>
      </w:pPr>
      <w:r>
        <w:t>Authors: Anna Kottkamp</w:t>
      </w:r>
      <w:r w:rsidRPr="00761440">
        <w:rPr>
          <w:rStyle w:val="FootnoteReference"/>
        </w:rPr>
        <w:footnoteReference w:id="1"/>
      </w:r>
      <w:r>
        <w:t>, C. Nathan Jones, Margaret A. Palmer, Katherine L. Tully</w:t>
      </w:r>
    </w:p>
    <w:p w14:paraId="792F1F37" w14:textId="50B433C0" w:rsidR="00D6231B" w:rsidRDefault="00D6231B" w:rsidP="00D6231B">
      <w:pPr>
        <w:ind w:firstLine="0"/>
      </w:pPr>
      <w:r>
        <w:t xml:space="preserve">Corresponding Author Institutional Affiliations: </w:t>
      </w:r>
    </w:p>
    <w:p w14:paraId="1FCD8C80" w14:textId="77777777" w:rsidR="00D6231B" w:rsidRDefault="00D6231B" w:rsidP="00D6231B">
      <w:pPr>
        <w:spacing w:line="240" w:lineRule="auto"/>
        <w:ind w:left="360" w:firstLine="0"/>
      </w:pPr>
      <w:r>
        <w:t xml:space="preserve">K. L. Tully (Corresponding Author; 301-405-1469; </w:t>
      </w:r>
      <w:r w:rsidRPr="008E2AE6">
        <w:t>kltully@umd.edu</w:t>
      </w:r>
      <w:r>
        <w:t>)</w:t>
      </w:r>
    </w:p>
    <w:p w14:paraId="2B93C65F" w14:textId="77777777" w:rsidR="00D6231B" w:rsidRDefault="00D6231B" w:rsidP="00D6231B">
      <w:pPr>
        <w:spacing w:line="240" w:lineRule="auto"/>
        <w:ind w:left="360" w:firstLine="0"/>
      </w:pPr>
      <w:r>
        <w:t>Department of Plant Sciences and Landscape Architecture, University of Maryland, 2108 Plant Sciences Building, College Park, MD 20742.</w:t>
      </w:r>
    </w:p>
    <w:p w14:paraId="463FBEB8" w14:textId="77777777" w:rsidR="00D6231B" w:rsidRDefault="00D6231B">
      <w:pPr>
        <w:spacing w:after="160" w:line="259" w:lineRule="auto"/>
        <w:ind w:firstLine="0"/>
        <w:rPr>
          <w:rFonts w:eastAsiaTheme="majorEastAsia"/>
          <w:b/>
          <w:bCs/>
        </w:rPr>
      </w:pPr>
      <w:r>
        <w:br w:type="page"/>
      </w:r>
    </w:p>
    <w:p w14:paraId="3F110079" w14:textId="77777777" w:rsidR="00F75D0C" w:rsidRDefault="00F75D0C" w:rsidP="002B77B1">
      <w:pPr>
        <w:pStyle w:val="Heading2"/>
        <w:sectPr w:rsidR="00F75D0C" w:rsidSect="00F75D0C">
          <w:footerReference w:type="default" r:id="rId6"/>
          <w:pgSz w:w="12240" w:h="15840"/>
          <w:pgMar w:top="1440" w:right="1440" w:bottom="1440" w:left="1440" w:header="720" w:footer="720" w:gutter="0"/>
          <w:cols w:space="720"/>
          <w:docGrid w:linePitch="360"/>
        </w:sectPr>
      </w:pPr>
    </w:p>
    <w:p w14:paraId="621578E2" w14:textId="2DAC1E3E" w:rsidR="002B77B1" w:rsidRDefault="00F75D0C" w:rsidP="002B77B1">
      <w:pPr>
        <w:pStyle w:val="Heading2"/>
      </w:pPr>
      <w:r>
        <w:lastRenderedPageBreak/>
        <w:t>Supplementary</w:t>
      </w:r>
      <w:r w:rsidR="002B77B1" w:rsidRPr="004B1319">
        <w:t xml:space="preserve"> </w:t>
      </w:r>
      <w:bookmarkEnd w:id="0"/>
      <w:bookmarkEnd w:id="1"/>
      <w:r w:rsidR="002B77B1">
        <w:t>Tables</w:t>
      </w:r>
    </w:p>
    <w:p w14:paraId="519541E4" w14:textId="2B05E8C9" w:rsidR="002B77B1" w:rsidRPr="004B1319" w:rsidRDefault="00F75D0C" w:rsidP="002B77B1">
      <w:pPr>
        <w:pStyle w:val="Heading3"/>
      </w:pPr>
      <w:r>
        <w:t xml:space="preserve">Supplementary Table </w:t>
      </w:r>
      <w:r w:rsidR="002B77B1">
        <w:t>1.</w:t>
      </w:r>
    </w:p>
    <w:p w14:paraId="660DA6C3" w14:textId="16ACB238" w:rsidR="002B77B1" w:rsidRDefault="00F75D0C" w:rsidP="002B77B1">
      <w:pPr>
        <w:pStyle w:val="Figures"/>
        <w:spacing w:line="480" w:lineRule="auto"/>
      </w:pPr>
      <w:bookmarkStart w:id="3" w:name="_Hlk26177698"/>
      <w:r w:rsidRPr="00F75D0C">
        <w:rPr>
          <w:b/>
          <w:bCs/>
        </w:rPr>
        <w:t xml:space="preserve">Supplementary Table </w:t>
      </w:r>
      <w:r w:rsidR="002B77B1" w:rsidRPr="00F75D0C">
        <w:rPr>
          <w:b/>
          <w:bCs/>
        </w:rPr>
        <w:t>1</w:t>
      </w:r>
      <w:r w:rsidR="002B77B1" w:rsidRPr="00096DF5">
        <w:t xml:space="preserve"> Hydrologic data across transects for water year 2018, presented as means (standard error). Elevation </w:t>
      </w:r>
      <w:r w:rsidR="002B77B1">
        <w:t>wa</w:t>
      </w:r>
      <w:r w:rsidR="002B77B1" w:rsidRPr="00096DF5">
        <w:t>s surveyed relative to the center of the wetland. Days water level &gt; -0.5</w:t>
      </w:r>
      <w:r w:rsidR="0043566F">
        <w:t xml:space="preserve"> m</w:t>
      </w:r>
      <w:r w:rsidR="002B77B1" w:rsidRPr="00096DF5">
        <w:t xml:space="preserve"> quantifies duration of saturation within the upper 0.5 m of soil surface (water level &gt; -0.5 m). Saturation events to -0.5 m </w:t>
      </w:r>
      <w:r w:rsidR="002B77B1">
        <w:t>is</w:t>
      </w:r>
      <w:r w:rsidR="002B77B1" w:rsidRPr="00096DF5">
        <w:t xml:space="preserve"> the number of </w:t>
      </w:r>
      <w:r w:rsidR="002B77B1">
        <w:t>instances that</w:t>
      </w:r>
      <w:r w:rsidR="002B77B1" w:rsidRPr="00096DF5">
        <w:t xml:space="preserve"> water level </w:t>
      </w:r>
      <w:r w:rsidR="002B77B1">
        <w:t xml:space="preserve">came within -0.5 m </w:t>
      </w:r>
      <w:r w:rsidR="002B77B1" w:rsidRPr="00096DF5">
        <w:t>below the soil surface</w:t>
      </w:r>
      <w:r w:rsidR="002B77B1">
        <w:t xml:space="preserve">, indicating </w:t>
      </w:r>
      <w:r w:rsidR="002B77B1" w:rsidRPr="00096DF5">
        <w:t xml:space="preserve">how dynamic </w:t>
      </w:r>
      <w:r w:rsidR="002B77B1">
        <w:t>saturation within sampling zone is</w:t>
      </w:r>
      <w:r w:rsidR="002B77B1" w:rsidRPr="00096DF5">
        <w:t xml:space="preserve"> at </w:t>
      </w:r>
      <w:r w:rsidR="002B77B1">
        <w:t>each</w:t>
      </w:r>
      <w:r w:rsidR="002B77B1" w:rsidRPr="00096DF5">
        <w:t xml:space="preserve"> transect point. Maximum percent IRIS removal is the maximum percent of reduced iron oxide paint by area within a 10 cm zone within the upper 0.5 m of soils, indicating relative </w:t>
      </w:r>
      <w:r w:rsidR="002B77B1">
        <w:t>reducing conditions</w:t>
      </w:r>
      <w:r w:rsidR="002B77B1" w:rsidRPr="00096DF5">
        <w:t xml:space="preserve"> in the upper soil profile</w:t>
      </w:r>
      <w:r w:rsidR="002B77B1">
        <w:t xml:space="preserve"> (Appendix </w:t>
      </w:r>
      <w:r w:rsidR="003D3692">
        <w:t>A</w:t>
      </w:r>
      <w:r w:rsidR="002B77B1">
        <w:t>)</w:t>
      </w:r>
      <w:r w:rsidR="002B77B1" w:rsidRPr="00096DF5">
        <w:t>. Lowercase letters represent significant differences among transect points (</w:t>
      </w:r>
      <w:r w:rsidR="002B77B1">
        <w:t>Analysis of Variance</w:t>
      </w:r>
      <w:r w:rsidR="002B77B1" w:rsidRPr="00096DF5">
        <w:t xml:space="preserve"> and Tukey’s HSD</w:t>
      </w:r>
      <w:r w:rsidR="002B77B1">
        <w:t xml:space="preserve"> tests</w:t>
      </w:r>
      <w:r w:rsidR="002B77B1" w:rsidRPr="00096DF5">
        <w:t>, P</w:t>
      </w:r>
      <w:r w:rsidR="003D3692">
        <w:t xml:space="preserve"> </w:t>
      </w:r>
      <w:r w:rsidR="002B77B1" w:rsidRPr="00096DF5">
        <w:t>&lt;</w:t>
      </w:r>
      <w:r w:rsidR="003D3692">
        <w:t xml:space="preserve"> </w:t>
      </w:r>
      <w:r w:rsidR="002B77B1" w:rsidRPr="00096DF5">
        <w:t>0.05)</w:t>
      </w:r>
    </w:p>
    <w:bookmarkEnd w:id="3"/>
    <w:p w14:paraId="34C36600" w14:textId="77777777" w:rsidR="002B77B1" w:rsidRDefault="002B77B1" w:rsidP="002B77B1">
      <w:pPr>
        <w:pStyle w:val="Figures"/>
      </w:pPr>
      <w:r w:rsidRPr="00096DF5">
        <w:rPr>
          <w:noProof/>
        </w:rPr>
        <w:drawing>
          <wp:inline distT="0" distB="0" distL="0" distR="0" wp14:anchorId="77B5C742" wp14:editId="13AA35B3">
            <wp:extent cx="8308953" cy="2444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525638" cy="2508505"/>
                    </a:xfrm>
                    <a:prstGeom prst="rect">
                      <a:avLst/>
                    </a:prstGeom>
                  </pic:spPr>
                </pic:pic>
              </a:graphicData>
            </a:graphic>
          </wp:inline>
        </w:drawing>
      </w:r>
    </w:p>
    <w:p w14:paraId="472CDBB3" w14:textId="77777777" w:rsidR="002B77B1" w:rsidRDefault="002B77B1" w:rsidP="002B77B1">
      <w:pPr>
        <w:pStyle w:val="Figures"/>
        <w:sectPr w:rsidR="002B77B1" w:rsidSect="00F75D0C">
          <w:pgSz w:w="15840" w:h="12240" w:orient="landscape"/>
          <w:pgMar w:top="1440" w:right="1440" w:bottom="1440" w:left="1440" w:header="720" w:footer="720" w:gutter="0"/>
          <w:cols w:space="720"/>
          <w:docGrid w:linePitch="360"/>
        </w:sectPr>
      </w:pPr>
    </w:p>
    <w:p w14:paraId="1EF549BB" w14:textId="1BF81BD8" w:rsidR="002B77B1" w:rsidRDefault="00F75D0C" w:rsidP="002B77B1">
      <w:pPr>
        <w:pStyle w:val="Heading3"/>
      </w:pPr>
      <w:r>
        <w:lastRenderedPageBreak/>
        <w:t xml:space="preserve">Supplementary Table </w:t>
      </w:r>
      <w:r w:rsidR="002B77B1">
        <w:t>2.</w:t>
      </w:r>
    </w:p>
    <w:p w14:paraId="431A4D65" w14:textId="31550387" w:rsidR="002B77B1" w:rsidRDefault="00F75D0C" w:rsidP="002B77B1">
      <w:pPr>
        <w:pStyle w:val="Figures"/>
        <w:sectPr w:rsidR="002B77B1" w:rsidSect="00D14DF3">
          <w:pgSz w:w="15840" w:h="12240" w:orient="landscape"/>
          <w:pgMar w:top="1440" w:right="1440" w:bottom="1440" w:left="1440" w:header="720" w:footer="720" w:gutter="0"/>
          <w:cols w:space="720"/>
          <w:docGrid w:linePitch="360"/>
        </w:sectPr>
      </w:pPr>
      <w:r w:rsidRPr="00F75D0C">
        <w:rPr>
          <w:b/>
          <w:bCs/>
        </w:rPr>
        <w:t xml:space="preserve">Supplementary Table </w:t>
      </w:r>
      <w:r w:rsidR="002B77B1" w:rsidRPr="00F75D0C">
        <w:rPr>
          <w:b/>
          <w:bCs/>
        </w:rPr>
        <w:t>2</w:t>
      </w:r>
      <w:r w:rsidR="002B77B1">
        <w:t xml:space="preserve"> All sample information.</w:t>
      </w:r>
      <w:r w:rsidR="002B77B1" w:rsidRPr="00421E95">
        <w:rPr>
          <w:noProof/>
        </w:rPr>
        <w:t xml:space="preserve"> </w:t>
      </w:r>
      <w:r w:rsidR="002B77B1">
        <w:rPr>
          <w:noProof/>
        </w:rPr>
        <w:t>An asterisk in C:N indicates N concentrations below the limit of detection</w:t>
      </w:r>
      <w:r w:rsidR="0006467C">
        <w:rPr>
          <w:noProof/>
        </w:rPr>
        <w:t xml:space="preserve"> for total N (</w:t>
      </w:r>
      <w:r w:rsidR="003D3692">
        <w:rPr>
          <w:noProof/>
        </w:rPr>
        <w:t xml:space="preserve"> </w:t>
      </w:r>
      <w:r w:rsidR="0006467C">
        <w:rPr>
          <w:noProof/>
        </w:rPr>
        <w:t>&lt;</w:t>
      </w:r>
      <w:r w:rsidR="003D3692">
        <w:rPr>
          <w:noProof/>
        </w:rPr>
        <w:t xml:space="preserve"> </w:t>
      </w:r>
      <w:r w:rsidR="0006467C" w:rsidRPr="0006467C">
        <w:rPr>
          <w:noProof/>
        </w:rPr>
        <w:t>0.02%)</w:t>
      </w:r>
      <w:r w:rsidR="002B77B1">
        <w:rPr>
          <w:noProof/>
        </w:rPr>
        <w:drawing>
          <wp:inline distT="0" distB="0" distL="0" distR="0" wp14:anchorId="03DADE49" wp14:editId="7E8E4A37">
            <wp:extent cx="8229600" cy="51581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229600" cy="5158105"/>
                    </a:xfrm>
                    <a:prstGeom prst="rect">
                      <a:avLst/>
                    </a:prstGeom>
                  </pic:spPr>
                </pic:pic>
              </a:graphicData>
            </a:graphic>
          </wp:inline>
        </w:drawing>
      </w:r>
    </w:p>
    <w:p w14:paraId="6317F9F3" w14:textId="567FE111" w:rsidR="002B77B1" w:rsidRPr="00D40C5B" w:rsidRDefault="00F75D0C" w:rsidP="002B77B1">
      <w:pPr>
        <w:pStyle w:val="Heading3"/>
      </w:pPr>
      <w:r>
        <w:lastRenderedPageBreak/>
        <w:t xml:space="preserve">Supplementary Table </w:t>
      </w:r>
      <w:r w:rsidR="002B77B1">
        <w:t>3.</w:t>
      </w:r>
    </w:p>
    <w:p w14:paraId="6D34CE09" w14:textId="7B7ED911" w:rsidR="00F75D0C" w:rsidRDefault="00F75D0C" w:rsidP="00F75D0C">
      <w:pPr>
        <w:pStyle w:val="Figures"/>
        <w:spacing w:line="480" w:lineRule="auto"/>
      </w:pPr>
      <w:r w:rsidRPr="00F75D0C">
        <w:rPr>
          <w:b/>
          <w:bCs/>
        </w:rPr>
        <w:t>Supplementary Table 3</w:t>
      </w:r>
      <w:r w:rsidRPr="004B1319">
        <w:t xml:space="preserve"> </w:t>
      </w:r>
      <w:r>
        <w:t>Full LME model results for C</w:t>
      </w:r>
      <w:r>
        <w:rPr>
          <w:vertAlign w:val="subscript"/>
        </w:rPr>
        <w:t>bulk</w:t>
      </w:r>
      <w:r>
        <w:t xml:space="preserve"> concentration, including</w:t>
      </w:r>
      <w:r w:rsidRPr="004B1319">
        <w:t xml:space="preserve"> degrees of freedom (Kenworth-</w:t>
      </w:r>
      <w:proofErr w:type="gramStart"/>
      <w:r w:rsidRPr="004B1319">
        <w:t>Rogers</w:t>
      </w:r>
      <w:proofErr w:type="gramEnd"/>
      <w:r w:rsidRPr="004B1319">
        <w:t xml:space="preserve"> approximation) for the global </w:t>
      </w:r>
      <w:r>
        <w:t xml:space="preserve">and </w:t>
      </w:r>
      <w:r w:rsidRPr="004B1319">
        <w:t>reduced model</w:t>
      </w:r>
      <w:r>
        <w:t>s</w:t>
      </w:r>
      <w:r w:rsidRPr="004B1319">
        <w:t xml:space="preserve">. Standard error (se) </w:t>
      </w:r>
      <w:r>
        <w:t>or</w:t>
      </w:r>
      <w:r w:rsidRPr="004B1319">
        <w:t xml:space="preserve"> standard deviation (</w:t>
      </w:r>
      <w:proofErr w:type="spellStart"/>
      <w:r w:rsidRPr="004B1319">
        <w:t>sd</w:t>
      </w:r>
      <w:proofErr w:type="spellEnd"/>
      <w:r w:rsidRPr="004B1319">
        <w:t xml:space="preserve">) are presented with parameter estimates. </w:t>
      </w:r>
      <w:r>
        <w:t xml:space="preserve">Horizon class indicates comparisons among the first and second mineral horizon </w:t>
      </w:r>
      <w:r w:rsidRPr="004B1319">
        <w:t xml:space="preserve"> </w:t>
      </w:r>
    </w:p>
    <w:p w14:paraId="29DCCC73" w14:textId="77777777" w:rsidR="002B77B1" w:rsidRDefault="002B77B1" w:rsidP="002B77B1">
      <w:pPr>
        <w:pStyle w:val="Figures"/>
      </w:pPr>
      <w:r>
        <w:rPr>
          <w:noProof/>
        </w:rPr>
        <w:drawing>
          <wp:inline distT="0" distB="0" distL="0" distR="0" wp14:anchorId="33C22CEC" wp14:editId="3B4226D6">
            <wp:extent cx="5486400" cy="153733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1537335"/>
                    </a:xfrm>
                    <a:prstGeom prst="rect">
                      <a:avLst/>
                    </a:prstGeom>
                  </pic:spPr>
                </pic:pic>
              </a:graphicData>
            </a:graphic>
          </wp:inline>
        </w:drawing>
      </w:r>
    </w:p>
    <w:p w14:paraId="7F25C337" w14:textId="77777777" w:rsidR="002B77B1" w:rsidRDefault="002B77B1" w:rsidP="002B77B1">
      <w:pPr>
        <w:spacing w:after="160" w:line="259" w:lineRule="auto"/>
        <w:ind w:firstLine="0"/>
        <w:rPr>
          <w:i/>
          <w:iCs/>
        </w:rPr>
      </w:pPr>
      <w:r>
        <w:br w:type="page"/>
      </w:r>
    </w:p>
    <w:p w14:paraId="66BF1D7F" w14:textId="6E505B2C" w:rsidR="002B77B1" w:rsidRDefault="00F75D0C" w:rsidP="002B77B1">
      <w:pPr>
        <w:pStyle w:val="Heading3"/>
      </w:pPr>
      <w:r>
        <w:lastRenderedPageBreak/>
        <w:t xml:space="preserve">Supplementary Table </w:t>
      </w:r>
      <w:r w:rsidR="002B77B1">
        <w:t>4</w:t>
      </w:r>
      <w:bookmarkStart w:id="4" w:name="_Hlk26177838"/>
      <w:r w:rsidR="002B77B1">
        <w:t>.</w:t>
      </w:r>
    </w:p>
    <w:p w14:paraId="380BC0DF" w14:textId="30DCE9CF" w:rsidR="00F75D0C" w:rsidRPr="004B1319" w:rsidRDefault="00F75D0C" w:rsidP="00F75D0C">
      <w:pPr>
        <w:pStyle w:val="Figures"/>
        <w:spacing w:line="480" w:lineRule="auto"/>
      </w:pPr>
      <w:r w:rsidRPr="00F75D0C">
        <w:rPr>
          <w:b/>
          <w:bCs/>
        </w:rPr>
        <w:t>Supplementary Table 4</w:t>
      </w:r>
      <w:r>
        <w:t xml:space="preserve"> </w:t>
      </w:r>
      <w:r w:rsidRPr="004B1319">
        <w:t>Simple linear regression of SOC stocks across the transect, separated into</w:t>
      </w:r>
      <w:r>
        <w:t xml:space="preserve"> </w:t>
      </w:r>
      <w:r w:rsidRPr="004B1319">
        <w:t>0</w:t>
      </w:r>
      <w:r>
        <w:t>–</w:t>
      </w:r>
      <w:r w:rsidRPr="004B1319">
        <w:t>10 cm</w:t>
      </w:r>
      <w:r>
        <w:t xml:space="preserve"> (Panel A)</w:t>
      </w:r>
      <w:r w:rsidRPr="004B1319">
        <w:t xml:space="preserve"> and</w:t>
      </w:r>
      <w:r>
        <w:t xml:space="preserve"> </w:t>
      </w:r>
      <w:r w:rsidRPr="004B1319">
        <w:t>10</w:t>
      </w:r>
      <w:r>
        <w:t>–</w:t>
      </w:r>
      <w:r w:rsidRPr="004B1319">
        <w:t>50 cm</w:t>
      </w:r>
      <w:r>
        <w:t xml:space="preserve"> (Panel B)</w:t>
      </w:r>
      <w:r w:rsidRPr="004B1319">
        <w:t xml:space="preserve">, by </w:t>
      </w:r>
      <w:r>
        <w:t xml:space="preserve">mean </w:t>
      </w:r>
      <w:r w:rsidRPr="004B1319">
        <w:t>water level</w:t>
      </w:r>
    </w:p>
    <w:p w14:paraId="4CDB8F8A" w14:textId="409059F6" w:rsidR="002B77B1" w:rsidRDefault="009C6757" w:rsidP="002B77B1">
      <w:pPr>
        <w:pStyle w:val="Figures"/>
        <w:spacing w:line="480" w:lineRule="auto"/>
      </w:pPr>
      <w:r>
        <w:rPr>
          <w:noProof/>
        </w:rPr>
        <w:drawing>
          <wp:inline distT="0" distB="0" distL="0" distR="0" wp14:anchorId="7CD81066" wp14:editId="5AE8293C">
            <wp:extent cx="4204490" cy="2512961"/>
            <wp:effectExtent l="0" t="0" r="571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08575" cy="2515402"/>
                    </a:xfrm>
                    <a:prstGeom prst="rect">
                      <a:avLst/>
                    </a:prstGeom>
                  </pic:spPr>
                </pic:pic>
              </a:graphicData>
            </a:graphic>
          </wp:inline>
        </w:drawing>
      </w:r>
    </w:p>
    <w:bookmarkEnd w:id="4"/>
    <w:p w14:paraId="14D5F7CF" w14:textId="77777777" w:rsidR="002B77B1" w:rsidRDefault="002B77B1" w:rsidP="002B77B1">
      <w:pPr>
        <w:spacing w:after="160" w:line="259" w:lineRule="auto"/>
        <w:ind w:firstLine="0"/>
      </w:pPr>
      <w:r>
        <w:br w:type="page"/>
      </w:r>
    </w:p>
    <w:p w14:paraId="6F90856E" w14:textId="41377E18" w:rsidR="002B77B1" w:rsidRPr="004B1319" w:rsidRDefault="00F75D0C" w:rsidP="002B77B1">
      <w:pPr>
        <w:pStyle w:val="Heading3"/>
      </w:pPr>
      <w:r>
        <w:lastRenderedPageBreak/>
        <w:t xml:space="preserve">Supplementary Table </w:t>
      </w:r>
      <w:r w:rsidR="002B77B1">
        <w:t>5.</w:t>
      </w:r>
    </w:p>
    <w:p w14:paraId="0ABB90EA" w14:textId="0FA4DBEA" w:rsidR="00F75D0C" w:rsidRDefault="00F75D0C" w:rsidP="00F75D0C">
      <w:pPr>
        <w:pStyle w:val="Figures"/>
        <w:spacing w:line="480" w:lineRule="auto"/>
      </w:pPr>
      <w:r w:rsidRPr="00F75D0C">
        <w:rPr>
          <w:b/>
          <w:bCs/>
        </w:rPr>
        <w:t>Supplementary Table 5</w:t>
      </w:r>
      <w:r w:rsidRPr="004B1319">
        <w:t xml:space="preserve"> </w:t>
      </w:r>
      <w:r>
        <w:t>Full LME model results for percent clay content, including</w:t>
      </w:r>
      <w:r w:rsidRPr="004B1319">
        <w:t xml:space="preserve"> degrees of freedom (Kenworth-</w:t>
      </w:r>
      <w:proofErr w:type="gramStart"/>
      <w:r w:rsidRPr="004B1319">
        <w:t>Rogers</w:t>
      </w:r>
      <w:proofErr w:type="gramEnd"/>
      <w:r w:rsidRPr="004B1319">
        <w:t xml:space="preserve"> approximation) for the global </w:t>
      </w:r>
      <w:r>
        <w:t xml:space="preserve">and </w:t>
      </w:r>
      <w:r w:rsidRPr="004B1319">
        <w:t>reduced model</w:t>
      </w:r>
      <w:r>
        <w:t>s</w:t>
      </w:r>
      <w:r w:rsidRPr="004B1319">
        <w:t xml:space="preserve">. Standard error (se) </w:t>
      </w:r>
      <w:r>
        <w:t>or</w:t>
      </w:r>
      <w:r w:rsidRPr="004B1319">
        <w:t xml:space="preserve"> standard deviation (</w:t>
      </w:r>
      <w:proofErr w:type="spellStart"/>
      <w:r w:rsidRPr="004B1319">
        <w:t>sd</w:t>
      </w:r>
      <w:proofErr w:type="spellEnd"/>
      <w:r w:rsidRPr="004B1319">
        <w:t xml:space="preserve">) are presented with parameter estimates. </w:t>
      </w:r>
      <w:r>
        <w:t>Horizon class indicates comparisons among the first and second mineral horizon</w:t>
      </w:r>
    </w:p>
    <w:p w14:paraId="165BC6DF" w14:textId="77777777" w:rsidR="002B77B1" w:rsidRDefault="002B77B1" w:rsidP="002B77B1">
      <w:pPr>
        <w:pStyle w:val="Figures"/>
      </w:pPr>
      <w:r>
        <w:rPr>
          <w:noProof/>
        </w:rPr>
        <w:drawing>
          <wp:inline distT="0" distB="0" distL="0" distR="0" wp14:anchorId="6C3ED313" wp14:editId="413469DA">
            <wp:extent cx="5486400" cy="18243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6400" cy="1824355"/>
                    </a:xfrm>
                    <a:prstGeom prst="rect">
                      <a:avLst/>
                    </a:prstGeom>
                  </pic:spPr>
                </pic:pic>
              </a:graphicData>
            </a:graphic>
          </wp:inline>
        </w:drawing>
      </w:r>
    </w:p>
    <w:p w14:paraId="5F9EC5E7" w14:textId="77777777" w:rsidR="002B77B1" w:rsidRDefault="002B77B1" w:rsidP="002B77B1">
      <w:pPr>
        <w:spacing w:after="160" w:line="259" w:lineRule="auto"/>
        <w:ind w:firstLine="0"/>
      </w:pPr>
      <w:r>
        <w:br w:type="page"/>
      </w:r>
    </w:p>
    <w:p w14:paraId="691B2647" w14:textId="13A684B3" w:rsidR="002B77B1" w:rsidRPr="004B1319" w:rsidRDefault="00F75D0C" w:rsidP="002B77B1">
      <w:pPr>
        <w:pStyle w:val="Heading3"/>
      </w:pPr>
      <w:r>
        <w:lastRenderedPageBreak/>
        <w:t xml:space="preserve">Supplementary Table </w:t>
      </w:r>
      <w:r w:rsidR="002B77B1">
        <w:t>6.</w:t>
      </w:r>
    </w:p>
    <w:p w14:paraId="728606E4" w14:textId="4D03397D" w:rsidR="00F75D0C" w:rsidRDefault="00F75D0C" w:rsidP="00F75D0C">
      <w:pPr>
        <w:pStyle w:val="Figures"/>
        <w:spacing w:line="480" w:lineRule="auto"/>
      </w:pPr>
      <w:r w:rsidRPr="00F75D0C">
        <w:rPr>
          <w:b/>
          <w:bCs/>
        </w:rPr>
        <w:t>Supplementary Table 6</w:t>
      </w:r>
      <w:r w:rsidRPr="004B1319">
        <w:t xml:space="preserve"> </w:t>
      </w:r>
      <w:r>
        <w:t>Full LME model results for pH, including</w:t>
      </w:r>
      <w:r w:rsidRPr="004B1319">
        <w:t xml:space="preserve"> degrees of freedom (Kenworth-</w:t>
      </w:r>
      <w:proofErr w:type="gramStart"/>
      <w:r w:rsidRPr="004B1319">
        <w:t>Rogers</w:t>
      </w:r>
      <w:proofErr w:type="gramEnd"/>
      <w:r w:rsidRPr="004B1319">
        <w:t xml:space="preserve"> approximation) for the global </w:t>
      </w:r>
      <w:r>
        <w:t xml:space="preserve">and </w:t>
      </w:r>
      <w:r w:rsidRPr="004B1319">
        <w:t>reduced model</w:t>
      </w:r>
      <w:r>
        <w:t>s</w:t>
      </w:r>
      <w:r w:rsidRPr="004B1319">
        <w:t xml:space="preserve">. Standard error (se) </w:t>
      </w:r>
      <w:r>
        <w:t>or</w:t>
      </w:r>
      <w:r w:rsidRPr="004B1319">
        <w:t xml:space="preserve"> standard deviation (</w:t>
      </w:r>
      <w:proofErr w:type="spellStart"/>
      <w:r w:rsidRPr="004B1319">
        <w:t>sd</w:t>
      </w:r>
      <w:proofErr w:type="spellEnd"/>
      <w:r w:rsidRPr="004B1319">
        <w:t xml:space="preserve">) are presented with parameter estimates. </w:t>
      </w:r>
      <w:r>
        <w:t>Horizon class indicates comparisons among the first and second mineral horizon</w:t>
      </w:r>
      <w:r w:rsidRPr="004B1319">
        <w:t xml:space="preserve"> </w:t>
      </w:r>
    </w:p>
    <w:p w14:paraId="51985931" w14:textId="77777777" w:rsidR="002B77B1" w:rsidRDefault="002B77B1" w:rsidP="002B77B1">
      <w:pPr>
        <w:pStyle w:val="Figures"/>
      </w:pPr>
      <w:r>
        <w:rPr>
          <w:noProof/>
        </w:rPr>
        <w:drawing>
          <wp:inline distT="0" distB="0" distL="0" distR="0" wp14:anchorId="12CDA40B" wp14:editId="69722B06">
            <wp:extent cx="4508014" cy="2091739"/>
            <wp:effectExtent l="0" t="0" r="6985"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25217" cy="2099721"/>
                    </a:xfrm>
                    <a:prstGeom prst="rect">
                      <a:avLst/>
                    </a:prstGeom>
                  </pic:spPr>
                </pic:pic>
              </a:graphicData>
            </a:graphic>
          </wp:inline>
        </w:drawing>
      </w:r>
    </w:p>
    <w:p w14:paraId="65E56747" w14:textId="77777777" w:rsidR="002B77B1" w:rsidRPr="004B1319" w:rsidRDefault="002B77B1" w:rsidP="002B77B1">
      <w:pPr>
        <w:pStyle w:val="Figures"/>
      </w:pPr>
    </w:p>
    <w:p w14:paraId="2CB7FA77" w14:textId="77777777" w:rsidR="002B77B1" w:rsidRDefault="002B77B1" w:rsidP="002B77B1">
      <w:pPr>
        <w:spacing w:after="160" w:line="259" w:lineRule="auto"/>
        <w:ind w:firstLine="0"/>
        <w:rPr>
          <w:i/>
          <w:iCs/>
        </w:rPr>
      </w:pPr>
      <w:r>
        <w:br w:type="page"/>
      </w:r>
    </w:p>
    <w:p w14:paraId="0A0C3CB0" w14:textId="39163FAE" w:rsidR="003D3692" w:rsidRDefault="00F75D0C" w:rsidP="003D3692">
      <w:pPr>
        <w:pStyle w:val="Heading3"/>
      </w:pPr>
      <w:r>
        <w:lastRenderedPageBreak/>
        <w:t xml:space="preserve">Supplementary Table </w:t>
      </w:r>
      <w:r w:rsidR="003D3692">
        <w:t>7.</w:t>
      </w:r>
    </w:p>
    <w:p w14:paraId="1280D381" w14:textId="77777777" w:rsidR="003D3692" w:rsidRPr="004B1319" w:rsidRDefault="003D3692" w:rsidP="003D3692">
      <w:pPr>
        <w:spacing w:line="240" w:lineRule="auto"/>
        <w:ind w:firstLine="0"/>
      </w:pPr>
    </w:p>
    <w:p w14:paraId="5CA4A20E" w14:textId="7621F4EC" w:rsidR="00F75D0C" w:rsidRDefault="00F75D0C" w:rsidP="00F75D0C">
      <w:pPr>
        <w:pStyle w:val="Figures"/>
        <w:spacing w:line="480" w:lineRule="auto"/>
      </w:pPr>
      <w:r w:rsidRPr="00F75D0C">
        <w:rPr>
          <w:b/>
          <w:bCs/>
        </w:rPr>
        <w:t xml:space="preserve">Supplementary Table </w:t>
      </w:r>
      <w:r>
        <w:rPr>
          <w:b/>
          <w:bCs/>
        </w:rPr>
        <w:t>7</w:t>
      </w:r>
      <w:r>
        <w:t xml:space="preserve"> Analysis of Variance and post-hoc Tukey’s Honestly Significant Differences</w:t>
      </w:r>
      <w:r w:rsidRPr="004B1319">
        <w:t xml:space="preserve"> test</w:t>
      </w:r>
      <w:r>
        <w:t>s</w:t>
      </w:r>
      <w:r w:rsidRPr="004B1319">
        <w:t xml:space="preserve"> on C:N</w:t>
      </w:r>
      <w:r w:rsidRPr="00E72DC1">
        <w:rPr>
          <w:vertAlign w:val="subscript"/>
        </w:rPr>
        <w:t>aggregate</w:t>
      </w:r>
      <w:r w:rsidRPr="004B1319">
        <w:t>, C</w:t>
      </w:r>
      <w:r w:rsidRPr="00E72DC1">
        <w:rPr>
          <w:vertAlign w:val="subscript"/>
        </w:rPr>
        <w:t>aggregate</w:t>
      </w:r>
      <w:r w:rsidRPr="004B1319">
        <w:t>, and C</w:t>
      </w:r>
      <w:r w:rsidRPr="00E72DC1">
        <w:rPr>
          <w:vertAlign w:val="subscript"/>
        </w:rPr>
        <w:t>aggregate</w:t>
      </w:r>
      <w:r w:rsidRPr="004B1319">
        <w:t>/C</w:t>
      </w:r>
      <w:r w:rsidRPr="00E72DC1">
        <w:rPr>
          <w:vertAlign w:val="subscript"/>
        </w:rPr>
        <w:t>bulk</w:t>
      </w:r>
      <w:r w:rsidRPr="004B1319">
        <w:t>, by size class</w:t>
      </w:r>
    </w:p>
    <w:p w14:paraId="733EABBD" w14:textId="77777777" w:rsidR="003D3692" w:rsidRDefault="003D3692" w:rsidP="003D3692">
      <w:pPr>
        <w:pStyle w:val="Figures"/>
      </w:pPr>
      <w:r w:rsidRPr="004B1319">
        <w:rPr>
          <w:noProof/>
        </w:rPr>
        <w:drawing>
          <wp:inline distT="0" distB="0" distL="0" distR="0" wp14:anchorId="4BD1E7F2" wp14:editId="4EBC012F">
            <wp:extent cx="5317648" cy="1049226"/>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77"/>
                    <a:stretch/>
                  </pic:blipFill>
                  <pic:spPr bwMode="auto">
                    <a:xfrm>
                      <a:off x="0" y="0"/>
                      <a:ext cx="5488048" cy="1082848"/>
                    </a:xfrm>
                    <a:prstGeom prst="rect">
                      <a:avLst/>
                    </a:prstGeom>
                    <a:ln>
                      <a:noFill/>
                    </a:ln>
                    <a:extLst>
                      <a:ext uri="{53640926-AAD7-44D8-BBD7-CCE9431645EC}">
                        <a14:shadowObscured xmlns:a14="http://schemas.microsoft.com/office/drawing/2010/main"/>
                      </a:ext>
                    </a:extLst>
                  </pic:spPr>
                </pic:pic>
              </a:graphicData>
            </a:graphic>
          </wp:inline>
        </w:drawing>
      </w:r>
    </w:p>
    <w:p w14:paraId="71349894" w14:textId="77777777" w:rsidR="003D3692" w:rsidRDefault="003D3692" w:rsidP="003D3692">
      <w:pPr>
        <w:pStyle w:val="Figures"/>
      </w:pPr>
    </w:p>
    <w:p w14:paraId="09CE5650" w14:textId="77777777" w:rsidR="003D3692" w:rsidRDefault="003D3692" w:rsidP="003D3692">
      <w:pPr>
        <w:spacing w:after="160" w:line="259" w:lineRule="auto"/>
        <w:ind w:firstLine="0"/>
        <w:rPr>
          <w:i/>
          <w:iCs/>
        </w:rPr>
      </w:pPr>
      <w:r>
        <w:br w:type="page"/>
      </w:r>
    </w:p>
    <w:p w14:paraId="41BB94A8" w14:textId="04811A81" w:rsidR="003D3692" w:rsidRPr="004B1319" w:rsidRDefault="00F75D0C" w:rsidP="003D3692">
      <w:pPr>
        <w:pStyle w:val="Heading3"/>
      </w:pPr>
      <w:r>
        <w:lastRenderedPageBreak/>
        <w:t xml:space="preserve">Supplementary Table </w:t>
      </w:r>
      <w:r w:rsidR="003D3692">
        <w:t>8.</w:t>
      </w:r>
    </w:p>
    <w:p w14:paraId="174321CA" w14:textId="171FC495" w:rsidR="00F75D0C" w:rsidRDefault="00F75D0C" w:rsidP="00F75D0C">
      <w:pPr>
        <w:pStyle w:val="Figures"/>
        <w:spacing w:line="480" w:lineRule="auto"/>
      </w:pPr>
      <w:r w:rsidRPr="00F75D0C">
        <w:rPr>
          <w:b/>
          <w:bCs/>
        </w:rPr>
        <w:t>Supplementary Table 8</w:t>
      </w:r>
      <w:r w:rsidRPr="004B1319">
        <w:t xml:space="preserve"> </w:t>
      </w:r>
      <w:r>
        <w:t xml:space="preserve">Full LME model results for </w:t>
      </w:r>
      <w:r w:rsidRPr="004B1319">
        <w:t>C</w:t>
      </w:r>
      <w:r w:rsidRPr="00E72DC1">
        <w:rPr>
          <w:vertAlign w:val="subscript"/>
        </w:rPr>
        <w:t>aggregate</w:t>
      </w:r>
      <w:r>
        <w:t>, including</w:t>
      </w:r>
      <w:r w:rsidRPr="004B1319">
        <w:t xml:space="preserve"> degrees of freedom (Kenworth-</w:t>
      </w:r>
      <w:proofErr w:type="gramStart"/>
      <w:r w:rsidRPr="004B1319">
        <w:t>Rogers</w:t>
      </w:r>
      <w:proofErr w:type="gramEnd"/>
      <w:r w:rsidRPr="004B1319">
        <w:t xml:space="preserve"> approximation) for the global </w:t>
      </w:r>
      <w:r>
        <w:t xml:space="preserve">and </w:t>
      </w:r>
      <w:r w:rsidRPr="004B1319">
        <w:t>reduced model</w:t>
      </w:r>
      <w:r>
        <w:t>s for all aggregate size classes</w:t>
      </w:r>
      <w:r w:rsidRPr="004B1319">
        <w:t xml:space="preserve">. Standard error (se) </w:t>
      </w:r>
      <w:r>
        <w:t>or</w:t>
      </w:r>
      <w:r w:rsidRPr="004B1319">
        <w:t xml:space="preserve"> standard deviation (</w:t>
      </w:r>
      <w:proofErr w:type="spellStart"/>
      <w:r w:rsidRPr="004B1319">
        <w:t>sd</w:t>
      </w:r>
      <w:proofErr w:type="spellEnd"/>
      <w:r w:rsidRPr="004B1319">
        <w:t xml:space="preserve">) are presented with parameter estimates. </w:t>
      </w:r>
      <w:r>
        <w:t>Horizon class indicates comparisons among the first and second mineral horizon</w:t>
      </w:r>
    </w:p>
    <w:p w14:paraId="5442D00A" w14:textId="77777777" w:rsidR="003D3692" w:rsidRPr="004B1319" w:rsidRDefault="003D3692" w:rsidP="003D3692">
      <w:pPr>
        <w:pStyle w:val="Figures"/>
      </w:pPr>
      <w:r w:rsidRPr="004B1319">
        <w:rPr>
          <w:noProof/>
        </w:rPr>
        <w:drawing>
          <wp:inline distT="0" distB="0" distL="0" distR="0" wp14:anchorId="4735B438" wp14:editId="724F91FF">
            <wp:extent cx="5489840" cy="2464563"/>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10635" cy="2473898"/>
                    </a:xfrm>
                    <a:prstGeom prst="rect">
                      <a:avLst/>
                    </a:prstGeom>
                  </pic:spPr>
                </pic:pic>
              </a:graphicData>
            </a:graphic>
          </wp:inline>
        </w:drawing>
      </w:r>
    </w:p>
    <w:p w14:paraId="2233F5C3" w14:textId="77777777" w:rsidR="003D3692" w:rsidRPr="004B1319" w:rsidRDefault="003D3692" w:rsidP="003D3692">
      <w:pPr>
        <w:pStyle w:val="Figures"/>
      </w:pPr>
      <w:r w:rsidRPr="004B1319">
        <w:rPr>
          <w:noProof/>
        </w:rPr>
        <w:drawing>
          <wp:inline distT="0" distB="0" distL="0" distR="0" wp14:anchorId="71A0D2AE" wp14:editId="41BF3E8B">
            <wp:extent cx="5493664" cy="2515581"/>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14261" cy="2525012"/>
                    </a:xfrm>
                    <a:prstGeom prst="rect">
                      <a:avLst/>
                    </a:prstGeom>
                  </pic:spPr>
                </pic:pic>
              </a:graphicData>
            </a:graphic>
          </wp:inline>
        </w:drawing>
      </w:r>
    </w:p>
    <w:p w14:paraId="375807F3" w14:textId="77777777" w:rsidR="003D3692" w:rsidRPr="004B1319" w:rsidRDefault="003D3692" w:rsidP="003D3692">
      <w:r w:rsidRPr="004B1319">
        <w:br w:type="page"/>
      </w:r>
    </w:p>
    <w:p w14:paraId="5E430E33" w14:textId="6EC8B215" w:rsidR="003D3692" w:rsidRPr="004B1319" w:rsidRDefault="00F75D0C" w:rsidP="003D3692">
      <w:pPr>
        <w:pStyle w:val="Heading3"/>
      </w:pPr>
      <w:r>
        <w:lastRenderedPageBreak/>
        <w:t xml:space="preserve">Supplementary Table </w:t>
      </w:r>
      <w:r w:rsidR="003D3692">
        <w:t>9.</w:t>
      </w:r>
    </w:p>
    <w:p w14:paraId="631D264B" w14:textId="49B2434F" w:rsidR="00F75D0C" w:rsidRDefault="00F75D0C" w:rsidP="00F75D0C">
      <w:pPr>
        <w:pStyle w:val="Figures"/>
        <w:spacing w:line="480" w:lineRule="auto"/>
      </w:pPr>
      <w:r w:rsidRPr="00F75D0C">
        <w:rPr>
          <w:b/>
          <w:bCs/>
        </w:rPr>
        <w:t>Supplementary Table 9</w:t>
      </w:r>
      <w:r w:rsidRPr="004B1319">
        <w:t xml:space="preserve"> </w:t>
      </w:r>
      <w:r>
        <w:t>Full LME model results for</w:t>
      </w:r>
      <w:r w:rsidRPr="00E10886">
        <w:t xml:space="preserve"> </w:t>
      </w:r>
      <w:r w:rsidRPr="004B1319">
        <w:t>C</w:t>
      </w:r>
      <w:r w:rsidRPr="00E72DC1">
        <w:rPr>
          <w:vertAlign w:val="subscript"/>
        </w:rPr>
        <w:t>aggregate</w:t>
      </w:r>
      <w:r w:rsidRPr="004B1319">
        <w:t>/C</w:t>
      </w:r>
      <w:r w:rsidRPr="00E72DC1">
        <w:rPr>
          <w:vertAlign w:val="subscript"/>
        </w:rPr>
        <w:t>bulk</w:t>
      </w:r>
      <w:r>
        <w:t>, including</w:t>
      </w:r>
      <w:r w:rsidRPr="004B1319">
        <w:t xml:space="preserve"> degrees of freedom (Kenworth-</w:t>
      </w:r>
      <w:proofErr w:type="gramStart"/>
      <w:r w:rsidRPr="004B1319">
        <w:t>Rogers</w:t>
      </w:r>
      <w:proofErr w:type="gramEnd"/>
      <w:r w:rsidRPr="004B1319">
        <w:t xml:space="preserve"> approximation) for the global </w:t>
      </w:r>
      <w:r>
        <w:t xml:space="preserve">and </w:t>
      </w:r>
      <w:r w:rsidRPr="004B1319">
        <w:t>reduced model</w:t>
      </w:r>
      <w:r>
        <w:t>s for all aggregate size classes</w:t>
      </w:r>
      <w:r w:rsidRPr="004B1319">
        <w:t xml:space="preserve">. Standard error (se) </w:t>
      </w:r>
      <w:r>
        <w:t>or</w:t>
      </w:r>
      <w:r w:rsidRPr="004B1319">
        <w:t xml:space="preserve"> standard deviation (</w:t>
      </w:r>
      <w:proofErr w:type="spellStart"/>
      <w:r w:rsidRPr="004B1319">
        <w:t>sd</w:t>
      </w:r>
      <w:proofErr w:type="spellEnd"/>
      <w:r w:rsidRPr="004B1319">
        <w:t xml:space="preserve">) are presented with parameter estimates. </w:t>
      </w:r>
      <w:r>
        <w:t>Horizon class indicates comparisons among the first and second mineral horizon</w:t>
      </w:r>
    </w:p>
    <w:p w14:paraId="4D8491AB" w14:textId="77777777" w:rsidR="003D3692" w:rsidRPr="004B1319" w:rsidRDefault="003D3692" w:rsidP="003D3692">
      <w:pPr>
        <w:pStyle w:val="Figures"/>
      </w:pPr>
      <w:r w:rsidRPr="004B1319">
        <w:rPr>
          <w:noProof/>
        </w:rPr>
        <w:drawing>
          <wp:inline distT="0" distB="0" distL="0" distR="0" wp14:anchorId="5D67D806" wp14:editId="73D75949">
            <wp:extent cx="5427133" cy="3208734"/>
            <wp:effectExtent l="0" t="0" r="254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37267" cy="3214725"/>
                    </a:xfrm>
                    <a:prstGeom prst="rect">
                      <a:avLst/>
                    </a:prstGeom>
                  </pic:spPr>
                </pic:pic>
              </a:graphicData>
            </a:graphic>
          </wp:inline>
        </w:drawing>
      </w:r>
    </w:p>
    <w:p w14:paraId="71D53079" w14:textId="77777777" w:rsidR="003D3692" w:rsidRPr="004B1319" w:rsidRDefault="003D3692" w:rsidP="003D3692">
      <w:pPr>
        <w:pStyle w:val="Figures"/>
      </w:pPr>
      <w:r w:rsidRPr="004B1319">
        <w:rPr>
          <w:noProof/>
        </w:rPr>
        <w:drawing>
          <wp:inline distT="0" distB="0" distL="0" distR="0" wp14:anchorId="27893012" wp14:editId="5505E167">
            <wp:extent cx="5399314" cy="313056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11820" cy="3137815"/>
                    </a:xfrm>
                    <a:prstGeom prst="rect">
                      <a:avLst/>
                    </a:prstGeom>
                  </pic:spPr>
                </pic:pic>
              </a:graphicData>
            </a:graphic>
          </wp:inline>
        </w:drawing>
      </w:r>
    </w:p>
    <w:p w14:paraId="286C4A37" w14:textId="77777777" w:rsidR="003D3692" w:rsidRDefault="003D3692" w:rsidP="003D3692">
      <w:pPr>
        <w:spacing w:after="160" w:line="259" w:lineRule="auto"/>
        <w:ind w:firstLine="0"/>
        <w:rPr>
          <w:i/>
          <w:iCs/>
        </w:rPr>
      </w:pPr>
      <w:r>
        <w:br w:type="page"/>
      </w:r>
    </w:p>
    <w:p w14:paraId="291081BF" w14:textId="2D43506A" w:rsidR="002B77B1" w:rsidRPr="004B1319" w:rsidRDefault="00F75D0C" w:rsidP="002B77B1">
      <w:pPr>
        <w:pStyle w:val="Heading3"/>
      </w:pPr>
      <w:r>
        <w:lastRenderedPageBreak/>
        <w:t xml:space="preserve">Supplementary Table </w:t>
      </w:r>
      <w:r w:rsidR="003D3692">
        <w:t>10</w:t>
      </w:r>
      <w:r w:rsidR="002B77B1">
        <w:t>.</w:t>
      </w:r>
    </w:p>
    <w:p w14:paraId="794E400B" w14:textId="38729B70" w:rsidR="002B77B1" w:rsidRPr="004B1319" w:rsidRDefault="00F75D0C" w:rsidP="00F75D0C">
      <w:pPr>
        <w:pStyle w:val="Figures"/>
        <w:spacing w:line="480" w:lineRule="auto"/>
      </w:pPr>
      <w:r w:rsidRPr="00F75D0C">
        <w:rPr>
          <w:b/>
          <w:bCs/>
        </w:rPr>
        <w:t>Supplementary Table 10</w:t>
      </w:r>
      <w:r w:rsidRPr="004B1319">
        <w:t xml:space="preserve"> </w:t>
      </w:r>
      <w:r>
        <w:t>Full LME model results including</w:t>
      </w:r>
      <w:r w:rsidRPr="004B1319">
        <w:t xml:space="preserve"> degrees of freedom (Kenworth-</w:t>
      </w:r>
      <w:proofErr w:type="gramStart"/>
      <w:r w:rsidRPr="004B1319">
        <w:t>Rogers</w:t>
      </w:r>
      <w:proofErr w:type="gramEnd"/>
      <w:r w:rsidRPr="004B1319">
        <w:t xml:space="preserve"> approximation) for the global </w:t>
      </w:r>
      <w:r>
        <w:t xml:space="preserve">and </w:t>
      </w:r>
      <w:r w:rsidRPr="004B1319">
        <w:t>reduced model</w:t>
      </w:r>
      <w:r>
        <w:t xml:space="preserve">s for </w:t>
      </w:r>
      <w:r w:rsidRPr="004B1319">
        <w:t>Fe</w:t>
      </w:r>
      <w:r w:rsidRPr="00F75D0C">
        <w:t>Dit-HCl</w:t>
      </w:r>
      <w:r>
        <w:t xml:space="preserve"> concentrations, separated into frequently and rarely saturated soils by a mean water level of ≤ -0.5</w:t>
      </w:r>
      <w:r w:rsidRPr="004B1319">
        <w:t xml:space="preserve">. Standard error (se) </w:t>
      </w:r>
      <w:r>
        <w:t>or</w:t>
      </w:r>
      <w:r w:rsidRPr="004B1319">
        <w:t xml:space="preserve"> standard deviation (</w:t>
      </w:r>
      <w:proofErr w:type="spellStart"/>
      <w:r w:rsidRPr="004B1319">
        <w:t>sd</w:t>
      </w:r>
      <w:proofErr w:type="spellEnd"/>
      <w:r w:rsidRPr="004B1319">
        <w:t xml:space="preserve">) are presented with parameter estimates. </w:t>
      </w:r>
      <w:r>
        <w:t>Horizon class indicates comparisons among the first and second mineral horizon</w:t>
      </w:r>
      <w:r w:rsidRPr="004B1319">
        <w:t xml:space="preserve"> </w:t>
      </w:r>
      <w:r w:rsidR="0097100A">
        <w:rPr>
          <w:noProof/>
        </w:rPr>
        <w:drawing>
          <wp:inline distT="0" distB="0" distL="0" distR="0" wp14:anchorId="4062C56C" wp14:editId="448BC1C3">
            <wp:extent cx="5451980" cy="325730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75678" cy="3271464"/>
                    </a:xfrm>
                    <a:prstGeom prst="rect">
                      <a:avLst/>
                    </a:prstGeom>
                  </pic:spPr>
                </pic:pic>
              </a:graphicData>
            </a:graphic>
          </wp:inline>
        </w:drawing>
      </w:r>
    </w:p>
    <w:p w14:paraId="49FBE706" w14:textId="61F1A86D" w:rsidR="002B77B1" w:rsidRDefault="002B77B1" w:rsidP="002B77B1">
      <w:pPr>
        <w:pStyle w:val="Figures"/>
      </w:pPr>
    </w:p>
    <w:p w14:paraId="5FDAA2ED" w14:textId="2566A445" w:rsidR="002B77B1" w:rsidRPr="004B1319" w:rsidRDefault="002B77B1" w:rsidP="002B77B1">
      <w:pPr>
        <w:pStyle w:val="Figures"/>
        <w:spacing w:line="480" w:lineRule="auto"/>
      </w:pPr>
      <w:r w:rsidRPr="004B1319">
        <w:br w:type="page"/>
      </w:r>
    </w:p>
    <w:p w14:paraId="61A93E74" w14:textId="35E6B9F2" w:rsidR="002B77B1" w:rsidRPr="004B1319" w:rsidRDefault="00F75D0C" w:rsidP="002B77B1">
      <w:pPr>
        <w:pStyle w:val="Heading3"/>
      </w:pPr>
      <w:r>
        <w:lastRenderedPageBreak/>
        <w:t xml:space="preserve">Supplementary Table </w:t>
      </w:r>
      <w:r w:rsidR="003D3692">
        <w:t>11</w:t>
      </w:r>
      <w:r w:rsidR="002B77B1">
        <w:t>.</w:t>
      </w:r>
    </w:p>
    <w:p w14:paraId="280335F9" w14:textId="33A1B01F" w:rsidR="00F75D0C" w:rsidRDefault="00F75D0C" w:rsidP="00F75D0C">
      <w:pPr>
        <w:pStyle w:val="Figures"/>
        <w:spacing w:line="480" w:lineRule="auto"/>
      </w:pPr>
      <w:r w:rsidRPr="00F75D0C">
        <w:rPr>
          <w:b/>
          <w:bCs/>
        </w:rPr>
        <w:t>Supplementary Table 11</w:t>
      </w:r>
      <w:r w:rsidRPr="004B1319">
        <w:t xml:space="preserve"> </w:t>
      </w:r>
      <w:r>
        <w:t xml:space="preserve">Full LME model results of total </w:t>
      </w:r>
      <w:r w:rsidRPr="004B1319">
        <w:t>Fe</w:t>
      </w:r>
      <w:r>
        <w:rPr>
          <w:vertAlign w:val="subscript"/>
        </w:rPr>
        <w:t>DCB</w:t>
      </w:r>
      <w:r>
        <w:t xml:space="preserve"> concentration, including</w:t>
      </w:r>
      <w:r w:rsidRPr="004B1319">
        <w:t xml:space="preserve"> degrees of freedom (Kenworth-</w:t>
      </w:r>
      <w:proofErr w:type="gramStart"/>
      <w:r w:rsidRPr="004B1319">
        <w:t>Rogers</w:t>
      </w:r>
      <w:proofErr w:type="gramEnd"/>
      <w:r w:rsidRPr="004B1319">
        <w:t xml:space="preserve"> approximation)</w:t>
      </w:r>
      <w:r>
        <w:t>, separated into frequently and rarely saturated soils by a mean water level of ≤ -0.5</w:t>
      </w:r>
      <w:r w:rsidRPr="004B1319">
        <w:t xml:space="preserve">. Standard error (se) </w:t>
      </w:r>
      <w:r>
        <w:t>or</w:t>
      </w:r>
      <w:r w:rsidRPr="004B1319">
        <w:t xml:space="preserve"> standard deviation (</w:t>
      </w:r>
      <w:proofErr w:type="spellStart"/>
      <w:r w:rsidRPr="004B1319">
        <w:t>sd</w:t>
      </w:r>
      <w:proofErr w:type="spellEnd"/>
      <w:r w:rsidRPr="004B1319">
        <w:t xml:space="preserve">) are presented with parameter estimates. </w:t>
      </w:r>
      <w:r>
        <w:t>Horizon class indicates comparisons among the first and second mineral horizon</w:t>
      </w:r>
    </w:p>
    <w:p w14:paraId="34CDD89C" w14:textId="26098EAC" w:rsidR="002B77B1" w:rsidRDefault="0097100A" w:rsidP="002B77B1">
      <w:pPr>
        <w:pStyle w:val="Figures"/>
      </w:pPr>
      <w:r>
        <w:rPr>
          <w:noProof/>
        </w:rPr>
        <w:drawing>
          <wp:inline distT="0" distB="0" distL="0" distR="0" wp14:anchorId="57B31414" wp14:editId="30B1DFA0">
            <wp:extent cx="5525645" cy="179327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43204" cy="1798974"/>
                    </a:xfrm>
                    <a:prstGeom prst="rect">
                      <a:avLst/>
                    </a:prstGeom>
                  </pic:spPr>
                </pic:pic>
              </a:graphicData>
            </a:graphic>
          </wp:inline>
        </w:drawing>
      </w:r>
    </w:p>
    <w:p w14:paraId="6BEE14ED" w14:textId="77777777" w:rsidR="002B77B1" w:rsidRDefault="002B77B1" w:rsidP="002B77B1">
      <w:pPr>
        <w:pStyle w:val="Figures"/>
      </w:pPr>
    </w:p>
    <w:p w14:paraId="27A5BABD" w14:textId="77777777" w:rsidR="002B77B1" w:rsidRPr="004B1319" w:rsidRDefault="002B77B1" w:rsidP="002B77B1">
      <w:pPr>
        <w:pStyle w:val="Figures"/>
      </w:pPr>
    </w:p>
    <w:p w14:paraId="1BF9BB34" w14:textId="77777777" w:rsidR="002B77B1" w:rsidRDefault="002B77B1" w:rsidP="002B77B1">
      <w:pPr>
        <w:spacing w:after="160" w:line="259" w:lineRule="auto"/>
        <w:ind w:firstLine="0"/>
        <w:rPr>
          <w:i/>
          <w:iCs/>
        </w:rPr>
      </w:pPr>
      <w:r>
        <w:br w:type="page"/>
      </w:r>
    </w:p>
    <w:p w14:paraId="568F8BDC" w14:textId="125F25CC" w:rsidR="002B77B1" w:rsidRPr="004B1319" w:rsidRDefault="00F75D0C" w:rsidP="002B77B1">
      <w:pPr>
        <w:pStyle w:val="Heading3"/>
      </w:pPr>
      <w:r>
        <w:lastRenderedPageBreak/>
        <w:t xml:space="preserve">Supplementary Table </w:t>
      </w:r>
      <w:r w:rsidR="003D3692">
        <w:t>12</w:t>
      </w:r>
      <w:r w:rsidR="002B77B1">
        <w:t>.</w:t>
      </w:r>
    </w:p>
    <w:p w14:paraId="45ACCE16" w14:textId="48285C68" w:rsidR="00F75D0C" w:rsidRDefault="00F75D0C" w:rsidP="00F75D0C">
      <w:pPr>
        <w:pStyle w:val="Figures"/>
        <w:spacing w:line="480" w:lineRule="auto"/>
      </w:pPr>
      <w:r w:rsidRPr="00F75D0C">
        <w:rPr>
          <w:b/>
          <w:bCs/>
        </w:rPr>
        <w:t>Supplementary Table 12</w:t>
      </w:r>
      <w:r w:rsidRPr="004B1319">
        <w:t xml:space="preserve"> </w:t>
      </w:r>
      <w:r>
        <w:t xml:space="preserve">Full LME model results of poorly-crystalline </w:t>
      </w:r>
      <w:r w:rsidRPr="004B1319">
        <w:t>Fe</w:t>
      </w:r>
      <w:r w:rsidRPr="00E72DC1">
        <w:rPr>
          <w:vertAlign w:val="subscript"/>
        </w:rPr>
        <w:t>AAO</w:t>
      </w:r>
      <w:r>
        <w:t xml:space="preserve"> concentration, including</w:t>
      </w:r>
      <w:r w:rsidRPr="004B1319">
        <w:t xml:space="preserve"> degrees of freedom (Kenworth-</w:t>
      </w:r>
      <w:proofErr w:type="gramStart"/>
      <w:r w:rsidRPr="004B1319">
        <w:t>Rogers</w:t>
      </w:r>
      <w:proofErr w:type="gramEnd"/>
      <w:r w:rsidRPr="004B1319">
        <w:t xml:space="preserve"> approximation)</w:t>
      </w:r>
      <w:r>
        <w:t>, separated into frequently and rarely saturated soils by a mean water level of ≤ -0.5</w:t>
      </w:r>
      <w:r w:rsidRPr="004B1319">
        <w:t xml:space="preserve">. Standard error (se) </w:t>
      </w:r>
      <w:r>
        <w:t>or</w:t>
      </w:r>
      <w:r w:rsidRPr="004B1319">
        <w:t xml:space="preserve"> standard deviation (</w:t>
      </w:r>
      <w:proofErr w:type="spellStart"/>
      <w:r w:rsidRPr="004B1319">
        <w:t>sd</w:t>
      </w:r>
      <w:proofErr w:type="spellEnd"/>
      <w:r w:rsidRPr="004B1319">
        <w:t xml:space="preserve">) are presented with parameter estimates. </w:t>
      </w:r>
      <w:r>
        <w:t xml:space="preserve">Horizon class indicates comparisons among the first and second mineral horizon </w:t>
      </w:r>
      <w:r w:rsidRPr="004B1319">
        <w:t xml:space="preserve"> </w:t>
      </w:r>
    </w:p>
    <w:p w14:paraId="5BF56C2F" w14:textId="37CA6697" w:rsidR="002B77B1" w:rsidRDefault="0097100A" w:rsidP="002B77B1">
      <w:pPr>
        <w:pStyle w:val="Figures"/>
      </w:pPr>
      <w:r>
        <w:rPr>
          <w:noProof/>
        </w:rPr>
        <w:drawing>
          <wp:inline distT="0" distB="0" distL="0" distR="0" wp14:anchorId="6ACE79DB" wp14:editId="12A5D1C7">
            <wp:extent cx="5392213" cy="145706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45251" cy="1471394"/>
                    </a:xfrm>
                    <a:prstGeom prst="rect">
                      <a:avLst/>
                    </a:prstGeom>
                  </pic:spPr>
                </pic:pic>
              </a:graphicData>
            </a:graphic>
          </wp:inline>
        </w:drawing>
      </w:r>
    </w:p>
    <w:p w14:paraId="5F3950F6" w14:textId="77777777" w:rsidR="002B77B1" w:rsidRPr="004B1319" w:rsidRDefault="002B77B1" w:rsidP="002B77B1">
      <w:pPr>
        <w:pStyle w:val="Figures"/>
      </w:pPr>
    </w:p>
    <w:p w14:paraId="34E3D1B2" w14:textId="77777777" w:rsidR="002B77B1" w:rsidRDefault="002B77B1" w:rsidP="002B77B1">
      <w:pPr>
        <w:spacing w:after="160" w:line="259" w:lineRule="auto"/>
        <w:ind w:firstLine="0"/>
        <w:rPr>
          <w:i/>
          <w:iCs/>
        </w:rPr>
      </w:pPr>
      <w:r>
        <w:br w:type="page"/>
      </w:r>
    </w:p>
    <w:p w14:paraId="22F07BD2" w14:textId="560ED9BF" w:rsidR="002B77B1" w:rsidRPr="004B1319" w:rsidRDefault="00F75D0C" w:rsidP="002B77B1">
      <w:pPr>
        <w:pStyle w:val="Heading3"/>
      </w:pPr>
      <w:r>
        <w:lastRenderedPageBreak/>
        <w:t xml:space="preserve">Supplementary Table </w:t>
      </w:r>
      <w:r w:rsidR="002B77B1">
        <w:t>1</w:t>
      </w:r>
      <w:r w:rsidR="003D3692">
        <w:t>3</w:t>
      </w:r>
      <w:r w:rsidR="002B77B1">
        <w:t>.</w:t>
      </w:r>
    </w:p>
    <w:p w14:paraId="33214522" w14:textId="722A7193" w:rsidR="00F75D0C" w:rsidRDefault="00F75D0C" w:rsidP="00F75D0C">
      <w:pPr>
        <w:pStyle w:val="Figures"/>
        <w:spacing w:line="480" w:lineRule="auto"/>
      </w:pPr>
      <w:r w:rsidRPr="00F75D0C">
        <w:rPr>
          <w:b/>
          <w:bCs/>
        </w:rPr>
        <w:t>Supplementary Table 13</w:t>
      </w:r>
      <w:r w:rsidRPr="004B1319">
        <w:t xml:space="preserve"> LME global model of Fe</w:t>
      </w:r>
      <w:r w:rsidRPr="00E72DC1">
        <w:rPr>
          <w:vertAlign w:val="subscript"/>
        </w:rPr>
        <w:t>AAO</w:t>
      </w:r>
      <w:r w:rsidRPr="004B1319">
        <w:t>/Fe</w:t>
      </w:r>
      <w:r w:rsidRPr="00E72DC1">
        <w:rPr>
          <w:vertAlign w:val="subscript"/>
        </w:rPr>
        <w:t>DCB</w:t>
      </w:r>
      <w:r w:rsidRPr="004B1319">
        <w:t xml:space="preserve"> in upper horizons</w:t>
      </w:r>
      <w:r>
        <w:t>. Results include</w:t>
      </w:r>
      <w:r w:rsidRPr="004B1319">
        <w:t xml:space="preserve"> degrees of freedom (Kenworth-Rogers approximation). Standard error (se) </w:t>
      </w:r>
      <w:r>
        <w:t>or</w:t>
      </w:r>
      <w:r w:rsidRPr="004B1319">
        <w:t xml:space="preserve"> standard deviation (</w:t>
      </w:r>
      <w:proofErr w:type="spellStart"/>
      <w:r w:rsidRPr="004B1319">
        <w:t>sd</w:t>
      </w:r>
      <w:proofErr w:type="spellEnd"/>
      <w:r w:rsidRPr="004B1319">
        <w:t xml:space="preserve">) are presented with parameter estimates. </w:t>
      </w:r>
      <w:r>
        <w:t>Horizon class indicates comparisons among the first and second mineral horizon</w:t>
      </w:r>
    </w:p>
    <w:p w14:paraId="7ECAFF2D" w14:textId="77777777" w:rsidR="002B77B1" w:rsidRDefault="002B77B1" w:rsidP="002B77B1">
      <w:pPr>
        <w:pStyle w:val="Figures"/>
      </w:pPr>
      <w:r>
        <w:rPr>
          <w:noProof/>
        </w:rPr>
        <w:drawing>
          <wp:inline distT="0" distB="0" distL="0" distR="0" wp14:anchorId="285F7EE8" wp14:editId="57E037F7">
            <wp:extent cx="3895976" cy="1769933"/>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7366"/>
                    <a:stretch/>
                  </pic:blipFill>
                  <pic:spPr bwMode="auto">
                    <a:xfrm>
                      <a:off x="0" y="0"/>
                      <a:ext cx="3938547" cy="1789273"/>
                    </a:xfrm>
                    <a:prstGeom prst="rect">
                      <a:avLst/>
                    </a:prstGeom>
                    <a:ln>
                      <a:noFill/>
                    </a:ln>
                    <a:extLst>
                      <a:ext uri="{53640926-AAD7-44D8-BBD7-CCE9431645EC}">
                        <a14:shadowObscured xmlns:a14="http://schemas.microsoft.com/office/drawing/2010/main"/>
                      </a:ext>
                    </a:extLst>
                  </pic:spPr>
                </pic:pic>
              </a:graphicData>
            </a:graphic>
          </wp:inline>
        </w:drawing>
      </w:r>
    </w:p>
    <w:p w14:paraId="0C860BA1" w14:textId="77777777" w:rsidR="002B77B1" w:rsidRPr="004B1319" w:rsidRDefault="002B77B1" w:rsidP="002B77B1">
      <w:pPr>
        <w:pStyle w:val="Figures"/>
      </w:pPr>
      <w:r w:rsidRPr="004B1319">
        <w:br w:type="page"/>
      </w:r>
    </w:p>
    <w:p w14:paraId="0D78E3FA" w14:textId="54AC1390" w:rsidR="002B77B1" w:rsidRPr="004B1319" w:rsidRDefault="00F75D0C" w:rsidP="002B77B1">
      <w:pPr>
        <w:pStyle w:val="Heading3"/>
      </w:pPr>
      <w:r>
        <w:lastRenderedPageBreak/>
        <w:t xml:space="preserve">Supplementary Table </w:t>
      </w:r>
      <w:r w:rsidR="002B77B1">
        <w:t>1</w:t>
      </w:r>
      <w:r w:rsidR="003D3692">
        <w:t>4</w:t>
      </w:r>
      <w:r w:rsidR="002B77B1">
        <w:t>.</w:t>
      </w:r>
    </w:p>
    <w:p w14:paraId="71CEA20B" w14:textId="218B4EF2" w:rsidR="002B77B1" w:rsidRDefault="00F75D0C" w:rsidP="002B77B1">
      <w:pPr>
        <w:pStyle w:val="Figures"/>
        <w:tabs>
          <w:tab w:val="left" w:pos="1260"/>
        </w:tabs>
        <w:spacing w:line="480" w:lineRule="auto"/>
      </w:pPr>
      <w:r w:rsidRPr="00F75D0C">
        <w:rPr>
          <w:b/>
          <w:bCs/>
        </w:rPr>
        <w:t>Supplementary Table 14</w:t>
      </w:r>
      <w:r w:rsidRPr="004B1319">
        <w:t xml:space="preserve"> </w:t>
      </w:r>
      <w:r>
        <w:t>Full LME model results including</w:t>
      </w:r>
      <w:r w:rsidRPr="004B1319">
        <w:t xml:space="preserve"> degrees of freedom (Kenworth-</w:t>
      </w:r>
      <w:proofErr w:type="gramStart"/>
      <w:r w:rsidRPr="004B1319">
        <w:t>Rogers</w:t>
      </w:r>
      <w:proofErr w:type="gramEnd"/>
      <w:r w:rsidRPr="004B1319">
        <w:t xml:space="preserve"> approximation) for the global </w:t>
      </w:r>
      <w:r>
        <w:t xml:space="preserve">and </w:t>
      </w:r>
      <w:r w:rsidRPr="004B1319">
        <w:t>reduced model</w:t>
      </w:r>
      <w:r>
        <w:t xml:space="preserve">s for concentrations of </w:t>
      </w:r>
      <w:r w:rsidRPr="004B1319">
        <w:t>C</w:t>
      </w:r>
      <w:r w:rsidRPr="00E72DC1">
        <w:rPr>
          <w:vertAlign w:val="subscript"/>
        </w:rPr>
        <w:t>Dit-HCl</w:t>
      </w:r>
      <w:r>
        <w:t>, separated into frequently and rarely saturated soils by a mean water level of ≤ -0.5</w:t>
      </w:r>
      <w:r w:rsidRPr="004B1319">
        <w:t xml:space="preserve">. Standard error (se) </w:t>
      </w:r>
      <w:r>
        <w:t>or</w:t>
      </w:r>
      <w:r w:rsidRPr="004B1319">
        <w:t xml:space="preserve"> standard deviation (</w:t>
      </w:r>
      <w:proofErr w:type="spellStart"/>
      <w:r w:rsidRPr="004B1319">
        <w:t>sd</w:t>
      </w:r>
      <w:proofErr w:type="spellEnd"/>
      <w:r w:rsidRPr="004B1319">
        <w:t xml:space="preserve">) are presented with parameter estimates. </w:t>
      </w:r>
      <w:r>
        <w:t>Horizon class indicates comparisons among the first and second mineral horizon</w:t>
      </w:r>
      <w:r w:rsidR="003F475F">
        <w:rPr>
          <w:noProof/>
        </w:rPr>
        <w:drawing>
          <wp:inline distT="0" distB="0" distL="0" distR="0" wp14:anchorId="0C814132" wp14:editId="4F00A06B">
            <wp:extent cx="5456109" cy="330439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88320" cy="3323906"/>
                    </a:xfrm>
                    <a:prstGeom prst="rect">
                      <a:avLst/>
                    </a:prstGeom>
                  </pic:spPr>
                </pic:pic>
              </a:graphicData>
            </a:graphic>
          </wp:inline>
        </w:drawing>
      </w:r>
      <w:r w:rsidR="002B77B1" w:rsidRPr="00E10886">
        <w:t xml:space="preserve"> </w:t>
      </w:r>
    </w:p>
    <w:p w14:paraId="1F2B70FE" w14:textId="1A719251" w:rsidR="002B77B1" w:rsidRDefault="002B77B1" w:rsidP="002B77B1">
      <w:pPr>
        <w:pStyle w:val="Figures"/>
        <w:spacing w:line="480" w:lineRule="auto"/>
      </w:pPr>
      <w:r>
        <w:br w:type="page"/>
      </w:r>
    </w:p>
    <w:p w14:paraId="609A7073" w14:textId="35438EC8" w:rsidR="002B77B1" w:rsidRPr="004B1319" w:rsidRDefault="00F75D0C" w:rsidP="002B77B1">
      <w:pPr>
        <w:pStyle w:val="Heading3"/>
      </w:pPr>
      <w:r>
        <w:lastRenderedPageBreak/>
        <w:t xml:space="preserve">Supplementary Table </w:t>
      </w:r>
      <w:r w:rsidR="002B77B1">
        <w:t>1</w:t>
      </w:r>
      <w:r w:rsidR="003D3692">
        <w:t>5</w:t>
      </w:r>
      <w:r w:rsidR="002B77B1">
        <w:t>.</w:t>
      </w:r>
    </w:p>
    <w:p w14:paraId="3FD4EAAD" w14:textId="6A854BB3" w:rsidR="00F75D0C" w:rsidRDefault="00F75D0C" w:rsidP="00F75D0C">
      <w:pPr>
        <w:pStyle w:val="Figures"/>
        <w:spacing w:line="480" w:lineRule="auto"/>
      </w:pPr>
      <w:r w:rsidRPr="00F75D0C">
        <w:rPr>
          <w:b/>
          <w:bCs/>
        </w:rPr>
        <w:t>Supplementary Table 15</w:t>
      </w:r>
      <w:r>
        <w:rPr>
          <w:b/>
          <w:bCs/>
        </w:rPr>
        <w:t xml:space="preserve"> </w:t>
      </w:r>
      <w:r>
        <w:t>Full LME model results including</w:t>
      </w:r>
      <w:r w:rsidRPr="004B1319">
        <w:t xml:space="preserve"> degrees of freedom (Kenworth-</w:t>
      </w:r>
      <w:proofErr w:type="gramStart"/>
      <w:r w:rsidRPr="004B1319">
        <w:t>Rogers</w:t>
      </w:r>
      <w:proofErr w:type="gramEnd"/>
      <w:r w:rsidRPr="004B1319">
        <w:t xml:space="preserve"> approximation) for the global </w:t>
      </w:r>
      <w:r>
        <w:t xml:space="preserve">and </w:t>
      </w:r>
      <w:r w:rsidRPr="004B1319">
        <w:t>reduced model</w:t>
      </w:r>
      <w:r>
        <w:t>s for normalized C extracted by sodium dithionite-HCl (</w:t>
      </w:r>
      <w:r w:rsidRPr="004B1319">
        <w:t>C</w:t>
      </w:r>
      <w:r w:rsidRPr="00E72DC1">
        <w:rPr>
          <w:vertAlign w:val="subscript"/>
        </w:rPr>
        <w:t>Dit-HCl</w:t>
      </w:r>
      <w:r w:rsidRPr="004B1319">
        <w:t>/C</w:t>
      </w:r>
      <w:r w:rsidRPr="00E72DC1">
        <w:rPr>
          <w:vertAlign w:val="subscript"/>
        </w:rPr>
        <w:t>bulk</w:t>
      </w:r>
      <w:r>
        <w:t>), separated into frequently and rarely saturated soils by a mean water level of ≤ -0.5</w:t>
      </w:r>
      <w:r w:rsidRPr="004B1319">
        <w:t xml:space="preserve">. Standard error (se) </w:t>
      </w:r>
      <w:r>
        <w:t>or</w:t>
      </w:r>
      <w:r w:rsidRPr="004B1319">
        <w:t xml:space="preserve"> standard deviation (</w:t>
      </w:r>
      <w:proofErr w:type="spellStart"/>
      <w:r w:rsidRPr="004B1319">
        <w:t>sd</w:t>
      </w:r>
      <w:proofErr w:type="spellEnd"/>
      <w:r w:rsidRPr="004B1319">
        <w:t xml:space="preserve">) are presented with parameter estimates. </w:t>
      </w:r>
      <w:r>
        <w:t>Horizon class indicates comparisons among the first and second mineral horizon</w:t>
      </w:r>
    </w:p>
    <w:p w14:paraId="1FD8E41D" w14:textId="6A5CF4F7" w:rsidR="002B77B1" w:rsidRPr="004B1319" w:rsidRDefault="003F475F" w:rsidP="002B77B1">
      <w:pPr>
        <w:pStyle w:val="Figures"/>
      </w:pPr>
      <w:r>
        <w:rPr>
          <w:noProof/>
        </w:rPr>
        <w:drawing>
          <wp:inline distT="0" distB="0" distL="0" distR="0" wp14:anchorId="0B2E9D72" wp14:editId="157CFB53">
            <wp:extent cx="5320651" cy="3249456"/>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29511" cy="3254867"/>
                    </a:xfrm>
                    <a:prstGeom prst="rect">
                      <a:avLst/>
                    </a:prstGeom>
                  </pic:spPr>
                </pic:pic>
              </a:graphicData>
            </a:graphic>
          </wp:inline>
        </w:drawing>
      </w:r>
    </w:p>
    <w:p w14:paraId="39C1B56E" w14:textId="77777777" w:rsidR="002B77B1" w:rsidRDefault="002B77B1" w:rsidP="002B77B1">
      <w:pPr>
        <w:spacing w:after="160" w:line="259" w:lineRule="auto"/>
        <w:ind w:firstLine="0"/>
        <w:rPr>
          <w:i/>
          <w:iCs/>
        </w:rPr>
      </w:pPr>
      <w:r>
        <w:br w:type="page"/>
      </w:r>
    </w:p>
    <w:p w14:paraId="3AA12E09" w14:textId="1EF1CD04" w:rsidR="002B77B1" w:rsidRPr="00EC7925" w:rsidRDefault="00F75D0C" w:rsidP="002B77B1">
      <w:pPr>
        <w:pStyle w:val="Heading3"/>
      </w:pPr>
      <w:r>
        <w:lastRenderedPageBreak/>
        <w:t xml:space="preserve">Supplementary Table </w:t>
      </w:r>
      <w:r w:rsidR="002B77B1">
        <w:t>1</w:t>
      </w:r>
      <w:r w:rsidR="006259CF">
        <w:t>6</w:t>
      </w:r>
      <w:r w:rsidR="002B77B1">
        <w:t>.</w:t>
      </w:r>
    </w:p>
    <w:p w14:paraId="3AE6556C" w14:textId="70443E20" w:rsidR="00F75D0C" w:rsidRDefault="00F75D0C" w:rsidP="00F75D0C">
      <w:pPr>
        <w:pStyle w:val="Figures"/>
        <w:spacing w:line="480" w:lineRule="auto"/>
      </w:pPr>
      <w:r w:rsidRPr="00F75D0C">
        <w:rPr>
          <w:b/>
          <w:bCs/>
        </w:rPr>
        <w:t>Supplementary Table 16</w:t>
      </w:r>
      <w:r>
        <w:rPr>
          <w:b/>
          <w:bCs/>
        </w:rPr>
        <w:t xml:space="preserve"> </w:t>
      </w:r>
      <w:r>
        <w:t>Full model results for the s</w:t>
      </w:r>
      <w:r w:rsidRPr="004B1319">
        <w:t>imple linear regression</w:t>
      </w:r>
      <w:r>
        <w:t xml:space="preserve"> </w:t>
      </w:r>
      <w:r w:rsidRPr="004B1319">
        <w:t>between C and Fe</w:t>
      </w:r>
      <w:r>
        <w:t xml:space="preserve"> for extraction Fe</w:t>
      </w:r>
      <w:r w:rsidRPr="00E10886">
        <w:rPr>
          <w:vertAlign w:val="subscript"/>
        </w:rPr>
        <w:t xml:space="preserve">Dit-HCl </w:t>
      </w:r>
      <w:r>
        <w:t>separately</w:t>
      </w:r>
      <w:r w:rsidRPr="004B1319">
        <w:t>, separated by mean water level of -0.5 m</w:t>
      </w:r>
    </w:p>
    <w:p w14:paraId="546FF1F3" w14:textId="583DC224" w:rsidR="002B77B1" w:rsidRDefault="003F475F" w:rsidP="002B77B1">
      <w:pPr>
        <w:pStyle w:val="Figures"/>
      </w:pPr>
      <w:r>
        <w:rPr>
          <w:noProof/>
        </w:rPr>
        <w:drawing>
          <wp:inline distT="0" distB="0" distL="0" distR="0" wp14:anchorId="544DD683" wp14:editId="25AC5AB3">
            <wp:extent cx="5105036" cy="3174891"/>
            <wp:effectExtent l="0" t="0" r="63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20124" cy="3184275"/>
                    </a:xfrm>
                    <a:prstGeom prst="rect">
                      <a:avLst/>
                    </a:prstGeom>
                  </pic:spPr>
                </pic:pic>
              </a:graphicData>
            </a:graphic>
          </wp:inline>
        </w:drawing>
      </w:r>
    </w:p>
    <w:p w14:paraId="1EA9EB54" w14:textId="7325C023" w:rsidR="002B77B1" w:rsidRPr="00D42D91" w:rsidRDefault="002B77B1" w:rsidP="00D42D91">
      <w:pPr>
        <w:pStyle w:val="Figures"/>
      </w:pPr>
      <w:r w:rsidRPr="004B1319">
        <w:br w:type="page"/>
      </w:r>
    </w:p>
    <w:p w14:paraId="00BE0A35" w14:textId="571D7087" w:rsidR="00B34F3F" w:rsidRPr="004B1319" w:rsidRDefault="00F75D0C" w:rsidP="00B34F3F">
      <w:pPr>
        <w:pStyle w:val="Heading2"/>
      </w:pPr>
      <w:r>
        <w:lastRenderedPageBreak/>
        <w:t>Supplementary</w:t>
      </w:r>
      <w:r w:rsidR="002B77B1" w:rsidRPr="004B1319">
        <w:t xml:space="preserve"> </w:t>
      </w:r>
      <w:r w:rsidR="002B77B1">
        <w:t>Figures</w:t>
      </w:r>
    </w:p>
    <w:p w14:paraId="628FF95E" w14:textId="77B65EE7" w:rsidR="000B3590" w:rsidRPr="004B1319" w:rsidRDefault="00F75D0C" w:rsidP="005F49B8">
      <w:pPr>
        <w:pStyle w:val="Heading3"/>
      </w:pPr>
      <w:bookmarkStart w:id="5" w:name="_Toc22318228"/>
      <w:bookmarkStart w:id="6" w:name="_Toc22318227"/>
      <w:r>
        <w:t xml:space="preserve">Supplementary Fig. </w:t>
      </w:r>
      <w:r w:rsidR="000B3590">
        <w:t>1</w:t>
      </w:r>
      <w:bookmarkEnd w:id="5"/>
      <w:r w:rsidR="00301374">
        <w:t>.</w:t>
      </w:r>
      <w:r w:rsidR="000B3590" w:rsidRPr="004B1319">
        <w:t xml:space="preserve"> </w:t>
      </w:r>
    </w:p>
    <w:p w14:paraId="485E67FC" w14:textId="320F96C0" w:rsidR="000B3590" w:rsidRPr="004B1319" w:rsidRDefault="006D163A" w:rsidP="008D3202">
      <w:pPr>
        <w:pStyle w:val="Figures"/>
      </w:pPr>
      <w:r>
        <w:rPr>
          <w:noProof/>
        </w:rPr>
        <w:drawing>
          <wp:inline distT="0" distB="0" distL="0" distR="0" wp14:anchorId="14ACA13E" wp14:editId="3B5C336A">
            <wp:extent cx="5317648" cy="2660672"/>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60738" cy="2682232"/>
                    </a:xfrm>
                    <a:prstGeom prst="rect">
                      <a:avLst/>
                    </a:prstGeom>
                    <a:noFill/>
                    <a:ln>
                      <a:noFill/>
                    </a:ln>
                  </pic:spPr>
                </pic:pic>
              </a:graphicData>
            </a:graphic>
          </wp:inline>
        </w:drawing>
      </w:r>
    </w:p>
    <w:p w14:paraId="5D442C25" w14:textId="0AA08719" w:rsidR="001C5C37" w:rsidRDefault="00F75D0C" w:rsidP="000B3590">
      <w:pPr>
        <w:ind w:firstLine="0"/>
      </w:pPr>
      <w:r w:rsidRPr="00F75D0C">
        <w:rPr>
          <w:b/>
          <w:bCs/>
        </w:rPr>
        <w:t xml:space="preserve">Supplementary Fig. </w:t>
      </w:r>
      <w:r w:rsidR="009B5AC6" w:rsidRPr="00F75D0C">
        <w:rPr>
          <w:b/>
          <w:bCs/>
        </w:rPr>
        <w:t>1</w:t>
      </w:r>
      <w:r>
        <w:t xml:space="preserve"> </w:t>
      </w:r>
      <w:r w:rsidR="009B5AC6">
        <w:t>Observed and average temperature and precipitation i</w:t>
      </w:r>
      <w:r w:rsidR="006D163A">
        <w:t>n water year 2018</w:t>
      </w:r>
      <w:r w:rsidR="009B5AC6">
        <w:t>. T</w:t>
      </w:r>
      <w:r w:rsidR="000B3590" w:rsidRPr="004B1319">
        <w:t>emperature and precipitation were within expected 30-year normal</w:t>
      </w:r>
      <w:r w:rsidR="000B3590">
        <w:t>s</w:t>
      </w:r>
      <w:r w:rsidR="000B3590" w:rsidRPr="004B1319">
        <w:t>, though rainfall was slightly higher than expected in summer</w:t>
      </w:r>
      <w:r w:rsidR="001C5C37">
        <w:br w:type="page"/>
      </w:r>
    </w:p>
    <w:p w14:paraId="4AA412B5" w14:textId="77777777" w:rsidR="001C5C37" w:rsidRDefault="001C5C37" w:rsidP="00301374">
      <w:pPr>
        <w:pStyle w:val="Heading3"/>
        <w:sectPr w:rsidR="001C5C37" w:rsidSect="001C5C37">
          <w:pgSz w:w="12240" w:h="15840"/>
          <w:pgMar w:top="1440" w:right="1440" w:bottom="1440" w:left="2160" w:header="720" w:footer="720" w:gutter="0"/>
          <w:cols w:space="720"/>
          <w:docGrid w:linePitch="360"/>
        </w:sectPr>
      </w:pPr>
    </w:p>
    <w:p w14:paraId="04BA1DDE" w14:textId="50C3A6DF" w:rsidR="00301374" w:rsidRPr="004B1319" w:rsidRDefault="00F75D0C" w:rsidP="00301374">
      <w:pPr>
        <w:pStyle w:val="Heading3"/>
      </w:pPr>
      <w:r>
        <w:lastRenderedPageBreak/>
        <w:t xml:space="preserve">Supplementary Fig. </w:t>
      </w:r>
      <w:r w:rsidR="00301374">
        <w:t>2.</w:t>
      </w:r>
    </w:p>
    <w:p w14:paraId="7318822C" w14:textId="5D1A5F25" w:rsidR="00301374" w:rsidRDefault="003F475F" w:rsidP="00301374">
      <w:pPr>
        <w:pStyle w:val="Figures"/>
        <w:spacing w:line="480" w:lineRule="auto"/>
      </w:pPr>
      <w:r>
        <w:rPr>
          <w:noProof/>
        </w:rPr>
        <w:drawing>
          <wp:inline distT="0" distB="0" distL="0" distR="0" wp14:anchorId="36BF64BA" wp14:editId="7D706D34">
            <wp:extent cx="8221980" cy="280225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21980" cy="2802255"/>
                    </a:xfrm>
                    <a:prstGeom prst="rect">
                      <a:avLst/>
                    </a:prstGeom>
                    <a:noFill/>
                    <a:ln>
                      <a:noFill/>
                    </a:ln>
                  </pic:spPr>
                </pic:pic>
              </a:graphicData>
            </a:graphic>
          </wp:inline>
        </w:drawing>
      </w:r>
    </w:p>
    <w:p w14:paraId="0E46B87D" w14:textId="130731D5" w:rsidR="00301374" w:rsidRDefault="00F75D0C" w:rsidP="00301374">
      <w:pPr>
        <w:pStyle w:val="Figures"/>
        <w:spacing w:line="480" w:lineRule="auto"/>
      </w:pPr>
      <w:r w:rsidRPr="00F75D0C">
        <w:rPr>
          <w:b/>
          <w:bCs/>
        </w:rPr>
        <w:t xml:space="preserve">Supplementary Fig. </w:t>
      </w:r>
      <w:r w:rsidR="00301374" w:rsidRPr="00F75D0C">
        <w:rPr>
          <w:b/>
          <w:bCs/>
        </w:rPr>
        <w:t>2</w:t>
      </w:r>
      <w:r>
        <w:t xml:space="preserve"> </w:t>
      </w:r>
      <w:r w:rsidR="00301374" w:rsidRPr="00096DF5">
        <w:t xml:space="preserve">Soil properties by horizon vs. mean water level for </w:t>
      </w:r>
      <w:r w:rsidR="00301374">
        <w:t xml:space="preserve">% clay, </w:t>
      </w:r>
      <w:r w:rsidR="00301374" w:rsidRPr="00096DF5">
        <w:t>C:N</w:t>
      </w:r>
      <w:r w:rsidR="00301374" w:rsidRPr="00B71543">
        <w:rPr>
          <w:vertAlign w:val="subscript"/>
        </w:rPr>
        <w:t>bulk</w:t>
      </w:r>
      <w:r w:rsidR="00301374">
        <w:t xml:space="preserve">, </w:t>
      </w:r>
      <w:r w:rsidR="00301374" w:rsidRPr="00096DF5">
        <w:t>and pH</w:t>
      </w:r>
      <w:r w:rsidR="00301374">
        <w:t xml:space="preserve"> in 0.01</w:t>
      </w:r>
      <w:r w:rsidR="00301374">
        <w:rPr>
          <w:i/>
          <w:iCs/>
        </w:rPr>
        <w:t xml:space="preserve"> M</w:t>
      </w:r>
      <w:r w:rsidR="00301374">
        <w:t xml:space="preserve"> calcium chloride solution</w:t>
      </w:r>
      <w:r w:rsidR="00301374" w:rsidRPr="00096DF5">
        <w:t xml:space="preserve"> (</w:t>
      </w:r>
      <w:r w:rsidR="00301374">
        <w:t>Panel C</w:t>
      </w:r>
      <w:r w:rsidR="00301374" w:rsidRPr="00096DF5">
        <w:t xml:space="preserve">) to </w:t>
      </w:r>
      <w:r w:rsidR="00301374">
        <w:t>0.5 m</w:t>
      </w:r>
      <w:r w:rsidR="00301374" w:rsidRPr="00096DF5">
        <w:t xml:space="preserve"> soil depth (upper soils). Horizon class is ordered by depth within a core to compare pedogenic horizons across different soil types. Significant models are presented as solid lines (P &lt;</w:t>
      </w:r>
      <w:r w:rsidR="00D45DD3">
        <w:t xml:space="preserve"> </w:t>
      </w:r>
      <w:r w:rsidR="00301374" w:rsidRPr="00096DF5">
        <w:t>0.05). Where horizon class was not significant, only one model is presented (black line)</w:t>
      </w:r>
    </w:p>
    <w:p w14:paraId="4A205978" w14:textId="77777777" w:rsidR="00301374" w:rsidRDefault="00301374" w:rsidP="00301374">
      <w:pPr>
        <w:pStyle w:val="Figures"/>
        <w:spacing w:line="480" w:lineRule="auto"/>
      </w:pPr>
    </w:p>
    <w:p w14:paraId="56152410" w14:textId="77777777" w:rsidR="00301374" w:rsidRPr="004B1319" w:rsidRDefault="00301374" w:rsidP="00301374">
      <w:pPr>
        <w:pStyle w:val="Figures"/>
        <w:spacing w:line="480" w:lineRule="auto"/>
        <w:rPr>
          <w:rFonts w:eastAsiaTheme="majorEastAsia"/>
        </w:rPr>
      </w:pPr>
      <w:r w:rsidRPr="004B1319">
        <w:br w:type="page"/>
      </w:r>
    </w:p>
    <w:p w14:paraId="041560FE" w14:textId="77777777" w:rsidR="00301374" w:rsidRDefault="00301374" w:rsidP="00301374">
      <w:pPr>
        <w:pStyle w:val="Heading3"/>
        <w:sectPr w:rsidR="00301374" w:rsidSect="001C5C37">
          <w:pgSz w:w="15840" w:h="12240" w:orient="landscape"/>
          <w:pgMar w:top="2160" w:right="1440" w:bottom="1440" w:left="1440" w:header="720" w:footer="720" w:gutter="0"/>
          <w:cols w:space="720"/>
          <w:docGrid w:linePitch="360"/>
        </w:sectPr>
      </w:pPr>
    </w:p>
    <w:p w14:paraId="4B8D9BC6" w14:textId="104A1104" w:rsidR="0006467C" w:rsidRDefault="00F75D0C" w:rsidP="0006467C">
      <w:pPr>
        <w:pStyle w:val="Heading3"/>
      </w:pPr>
      <w:r>
        <w:lastRenderedPageBreak/>
        <w:t xml:space="preserve">Supplementary Fig. </w:t>
      </w:r>
      <w:r w:rsidR="0006467C">
        <w:t>3</w:t>
      </w:r>
      <w:r w:rsidR="003D3692">
        <w:t>.</w:t>
      </w:r>
    </w:p>
    <w:p w14:paraId="129DE1FF" w14:textId="77777777" w:rsidR="0006467C" w:rsidRDefault="0006467C" w:rsidP="0006467C">
      <w:pPr>
        <w:spacing w:after="160" w:line="259" w:lineRule="auto"/>
        <w:ind w:firstLine="0"/>
      </w:pPr>
      <w:r w:rsidRPr="00421E95">
        <w:rPr>
          <w:noProof/>
        </w:rPr>
        <w:drawing>
          <wp:inline distT="0" distB="0" distL="0" distR="0" wp14:anchorId="17289B0F" wp14:editId="0BD150C4">
            <wp:extent cx="5943600" cy="5062855"/>
            <wp:effectExtent l="0" t="0" r="0" b="4445"/>
            <wp:docPr id="4" name="Picture 5">
              <a:extLst xmlns:a="http://schemas.openxmlformats.org/drawingml/2006/main">
                <a:ext uri="{FF2B5EF4-FFF2-40B4-BE49-F238E27FC236}">
                  <a16:creationId xmlns:a16="http://schemas.microsoft.com/office/drawing/2014/main" id="{D4F76C5F-31E9-445F-AEB1-B016720D46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D4F76C5F-31E9-445F-AEB1-B016720D4698}"/>
                        </a:ext>
                      </a:extLst>
                    </pic:cNvPr>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5062855"/>
                    </a:xfrm>
                    <a:prstGeom prst="rect">
                      <a:avLst/>
                    </a:prstGeom>
                    <a:noFill/>
                    <a:ln>
                      <a:noFill/>
                    </a:ln>
                  </pic:spPr>
                </pic:pic>
              </a:graphicData>
            </a:graphic>
          </wp:inline>
        </w:drawing>
      </w:r>
    </w:p>
    <w:p w14:paraId="4DF3B460" w14:textId="6A35DD2E" w:rsidR="0006467C" w:rsidRPr="00421E95" w:rsidRDefault="00F75D0C" w:rsidP="0006467C">
      <w:pPr>
        <w:ind w:firstLine="0"/>
      </w:pPr>
      <w:r w:rsidRPr="00F75D0C">
        <w:rPr>
          <w:b/>
          <w:bCs/>
        </w:rPr>
        <w:t xml:space="preserve">Supplementary Fig. </w:t>
      </w:r>
      <w:r w:rsidR="0006467C" w:rsidRPr="00F75D0C">
        <w:rPr>
          <w:b/>
          <w:bCs/>
        </w:rPr>
        <w:t>3</w:t>
      </w:r>
      <w:r>
        <w:t xml:space="preserve"> </w:t>
      </w:r>
      <w:r w:rsidR="0006467C" w:rsidRPr="00421E95">
        <w:t>Soil colors and elevations relative to wetland center. Blue dots represent soil sample relative elevation on transect. Horizon designations, colors, and percent redoximorphic concentrations are indicated below each transect point</w:t>
      </w:r>
    </w:p>
    <w:p w14:paraId="195B9E52" w14:textId="77777777" w:rsidR="0006467C" w:rsidRDefault="0006467C" w:rsidP="0006467C">
      <w:pPr>
        <w:spacing w:after="160" w:line="259" w:lineRule="auto"/>
        <w:ind w:firstLine="0"/>
      </w:pPr>
      <w:r>
        <w:br w:type="page"/>
      </w:r>
    </w:p>
    <w:p w14:paraId="6AD5624A" w14:textId="77777777" w:rsidR="0006467C" w:rsidRDefault="0006467C" w:rsidP="0006467C">
      <w:pPr>
        <w:pStyle w:val="Figures"/>
        <w:spacing w:line="480" w:lineRule="auto"/>
        <w:sectPr w:rsidR="0006467C" w:rsidSect="008D3202">
          <w:footerReference w:type="default" r:id="rId28"/>
          <w:pgSz w:w="12240" w:h="15840"/>
          <w:pgMar w:top="1440" w:right="1440" w:bottom="1440" w:left="1440" w:header="720" w:footer="720" w:gutter="0"/>
          <w:cols w:space="720"/>
          <w:docGrid w:linePitch="360"/>
        </w:sectPr>
      </w:pPr>
    </w:p>
    <w:p w14:paraId="4F5FB545" w14:textId="7780150B" w:rsidR="00B34F3F" w:rsidRPr="004B1319" w:rsidRDefault="00F75D0C" w:rsidP="00B34F3F">
      <w:pPr>
        <w:pStyle w:val="Heading3"/>
      </w:pPr>
      <w:r>
        <w:lastRenderedPageBreak/>
        <w:t xml:space="preserve">Supplementary Fig. </w:t>
      </w:r>
      <w:bookmarkEnd w:id="6"/>
      <w:r w:rsidR="0006467C">
        <w:t>4</w:t>
      </w:r>
      <w:r w:rsidR="003D3692">
        <w:t>.</w:t>
      </w:r>
      <w:r w:rsidR="00B34F3F" w:rsidRPr="004B1319">
        <w:t xml:space="preserve"> </w:t>
      </w:r>
    </w:p>
    <w:p w14:paraId="25B9F98D" w14:textId="24AFEF78" w:rsidR="00B34F3F" w:rsidRPr="004B1319" w:rsidRDefault="007C56DF" w:rsidP="00B34F3F">
      <w:pPr>
        <w:pStyle w:val="Figures"/>
      </w:pPr>
      <w:r>
        <w:rPr>
          <w:noProof/>
          <w:sz w:val="16"/>
          <w:szCs w:val="16"/>
        </w:rPr>
        <w:drawing>
          <wp:inline distT="0" distB="0" distL="0" distR="0" wp14:anchorId="0C82A451" wp14:editId="2C0A5A42">
            <wp:extent cx="3339718" cy="4007662"/>
            <wp:effectExtent l="0" t="0" r="0" b="0"/>
            <wp:docPr id="6"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1_Supplemental1_17june2020.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40553" cy="4008664"/>
                    </a:xfrm>
                    <a:prstGeom prst="rect">
                      <a:avLst/>
                    </a:prstGeom>
                  </pic:spPr>
                </pic:pic>
              </a:graphicData>
            </a:graphic>
          </wp:inline>
        </w:drawing>
      </w:r>
    </w:p>
    <w:p w14:paraId="0BBE2936" w14:textId="700BAEC5" w:rsidR="00421E95" w:rsidRDefault="00F75D0C" w:rsidP="00B34F3F">
      <w:pPr>
        <w:pStyle w:val="Figures"/>
        <w:spacing w:line="480" w:lineRule="auto"/>
      </w:pPr>
      <w:r w:rsidRPr="00F75D0C">
        <w:rPr>
          <w:b/>
          <w:bCs/>
        </w:rPr>
        <w:t xml:space="preserve">Supplementary Fig. </w:t>
      </w:r>
      <w:r w:rsidR="0006467C" w:rsidRPr="00F75D0C">
        <w:rPr>
          <w:b/>
          <w:bCs/>
        </w:rPr>
        <w:t>4</w:t>
      </w:r>
      <w:r w:rsidR="00B34F3F" w:rsidRPr="004B1319">
        <w:t xml:space="preserve"> Simple linear regression of water level measured at transect points biweekly from May to August 2018 and interpolated </w:t>
      </w:r>
      <w:r w:rsidR="00B34F3F">
        <w:t xml:space="preserve">daily </w:t>
      </w:r>
      <w:r w:rsidR="00B34F3F" w:rsidRPr="004B1319">
        <w:t>water level</w:t>
      </w:r>
      <w:r w:rsidR="00B34F3F">
        <w:t xml:space="preserve">s </w:t>
      </w:r>
      <w:r w:rsidR="00B34F3F" w:rsidRPr="004B1319">
        <w:t>to validate mean water level interpolation (Simple linear regression</w:t>
      </w:r>
      <w:r w:rsidR="004D04CB">
        <w:t xml:space="preserve"> line in gray</w:t>
      </w:r>
      <w:r w:rsidR="00B34F3F" w:rsidRPr="004B1319">
        <w:t>, F(1,25)</w:t>
      </w:r>
      <w:r w:rsidR="00D45DD3">
        <w:t xml:space="preserve"> </w:t>
      </w:r>
      <w:r w:rsidR="00B34F3F" w:rsidRPr="004B1319">
        <w:t>=</w:t>
      </w:r>
      <w:r w:rsidR="00D45DD3">
        <w:t xml:space="preserve"> </w:t>
      </w:r>
      <w:r w:rsidR="00B34F3F" w:rsidRPr="004B1319">
        <w:t>174, P = 9.0∙10</w:t>
      </w:r>
      <w:r w:rsidR="00B34F3F" w:rsidRPr="004B1319">
        <w:rPr>
          <w:vertAlign w:val="superscript"/>
        </w:rPr>
        <w:t>-13</w:t>
      </w:r>
      <w:r w:rsidR="00B34F3F" w:rsidRPr="004B1319">
        <w:t>).</w:t>
      </w:r>
      <w:r w:rsidR="007C56DF">
        <w:t xml:space="preserve"> </w:t>
      </w:r>
      <w:r w:rsidR="004D04CB">
        <w:t>Dashed line indicates 1:1</w:t>
      </w:r>
    </w:p>
    <w:p w14:paraId="1E03A666" w14:textId="77777777" w:rsidR="00421E95" w:rsidRDefault="00421E95">
      <w:pPr>
        <w:spacing w:after="160" w:line="259" w:lineRule="auto"/>
        <w:ind w:firstLine="0"/>
      </w:pPr>
      <w:r>
        <w:br w:type="page"/>
      </w:r>
    </w:p>
    <w:p w14:paraId="770E343B" w14:textId="6D98A6CA" w:rsidR="00B34F3F" w:rsidRDefault="00F75D0C" w:rsidP="00B34F3F">
      <w:pPr>
        <w:pStyle w:val="Heading3"/>
      </w:pPr>
      <w:r>
        <w:lastRenderedPageBreak/>
        <w:t xml:space="preserve">Supplementary Fig. </w:t>
      </w:r>
      <w:r w:rsidR="002B77B1">
        <w:t>5</w:t>
      </w:r>
      <w:r w:rsidR="003D3692">
        <w:t>.</w:t>
      </w:r>
      <w:r w:rsidR="00B34F3F" w:rsidRPr="004B1319">
        <w:t xml:space="preserve"> </w:t>
      </w:r>
    </w:p>
    <w:p w14:paraId="4F685F0F" w14:textId="18922303" w:rsidR="000B3590" w:rsidRPr="000B3590" w:rsidRDefault="003F475F" w:rsidP="008D3202">
      <w:pPr>
        <w:ind w:firstLine="0"/>
      </w:pPr>
      <w:r>
        <w:rPr>
          <w:noProof/>
        </w:rPr>
        <w:drawing>
          <wp:inline distT="0" distB="0" distL="0" distR="0" wp14:anchorId="147EA175" wp14:editId="1BEB899C">
            <wp:extent cx="5109541" cy="488988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12642" cy="4892849"/>
                    </a:xfrm>
                    <a:prstGeom prst="rect">
                      <a:avLst/>
                    </a:prstGeom>
                    <a:noFill/>
                    <a:ln>
                      <a:noFill/>
                    </a:ln>
                  </pic:spPr>
                </pic:pic>
              </a:graphicData>
            </a:graphic>
          </wp:inline>
        </w:drawing>
      </w:r>
    </w:p>
    <w:p w14:paraId="094924ED" w14:textId="6D177F7B" w:rsidR="006259CF" w:rsidRDefault="00F75D0C" w:rsidP="00D42D91">
      <w:pPr>
        <w:pStyle w:val="Figures"/>
        <w:spacing w:line="480" w:lineRule="auto"/>
      </w:pPr>
      <w:bookmarkStart w:id="7" w:name="_Hlk26177734"/>
      <w:r w:rsidRPr="00F75D0C">
        <w:rPr>
          <w:b/>
          <w:bCs/>
        </w:rPr>
        <w:t xml:space="preserve">Supplementary Fig. </w:t>
      </w:r>
      <w:r w:rsidR="002B77B1" w:rsidRPr="00F75D0C">
        <w:rPr>
          <w:b/>
          <w:bCs/>
        </w:rPr>
        <w:t>5</w:t>
      </w:r>
      <w:r w:rsidR="000B3590" w:rsidRPr="004B1319">
        <w:t xml:space="preserve"> Mean Fe</w:t>
      </w:r>
      <w:r w:rsidR="000B3590" w:rsidRPr="004B1319">
        <w:rPr>
          <w:vertAlign w:val="subscript"/>
        </w:rPr>
        <w:t xml:space="preserve">AAO </w:t>
      </w:r>
      <w:r w:rsidR="000B3590" w:rsidRPr="004B1319">
        <w:t>and Fe</w:t>
      </w:r>
      <w:r w:rsidR="000B3590" w:rsidRPr="004B1319">
        <w:rPr>
          <w:vertAlign w:val="subscript"/>
        </w:rPr>
        <w:t>DCB</w:t>
      </w:r>
      <w:r w:rsidR="000B3590" w:rsidRPr="004B1319">
        <w:t xml:space="preserve"> concentrations for upper horizons (Panel A). </w:t>
      </w:r>
      <w:r w:rsidR="000B3590">
        <w:t>D</w:t>
      </w:r>
      <w:r w:rsidR="000B3590" w:rsidRPr="004B1319">
        <w:t>ata was separated into two groups for analysis: samples from soils with a mean water level &gt;</w:t>
      </w:r>
      <w:r w:rsidR="00D45DD3">
        <w:t xml:space="preserve"> </w:t>
      </w:r>
      <w:r w:rsidR="000B3590" w:rsidRPr="004B1319">
        <w:t>-0.5 m (</w:t>
      </w:r>
      <w:r w:rsidR="003F475F">
        <w:t>frequently saturated</w:t>
      </w:r>
      <w:r w:rsidR="000B3590" w:rsidRPr="004B1319">
        <w:t xml:space="preserve"> soils) and samples from soils with mean water level ≤ -0.5 m (</w:t>
      </w:r>
      <w:r w:rsidR="003F475F">
        <w:t>rarely saturated</w:t>
      </w:r>
      <w:r w:rsidR="000B3590" w:rsidRPr="004B1319">
        <w:t xml:space="preserve"> soils). Panel B shows the percent</w:t>
      </w:r>
      <w:r w:rsidR="00B71543">
        <w:t xml:space="preserve"> of Fe that is</w:t>
      </w:r>
      <w:r w:rsidR="000B3590" w:rsidRPr="004B1319">
        <w:t xml:space="preserve"> </w:t>
      </w:r>
      <w:r w:rsidR="000B3590">
        <w:t>poorly</w:t>
      </w:r>
      <w:r w:rsidR="00057E64">
        <w:t xml:space="preserve"> </w:t>
      </w:r>
      <w:r w:rsidR="000B3590">
        <w:t>crystalline</w:t>
      </w:r>
      <w:r w:rsidR="000B3590" w:rsidRPr="004B1319">
        <w:t xml:space="preserve"> (Fe</w:t>
      </w:r>
      <w:r w:rsidR="000B3590" w:rsidRPr="004B1319">
        <w:rPr>
          <w:vertAlign w:val="subscript"/>
        </w:rPr>
        <w:t>AAO</w:t>
      </w:r>
      <w:r w:rsidR="000B3590" w:rsidRPr="004B1319">
        <w:t>/</w:t>
      </w:r>
      <w:r w:rsidR="000B3590" w:rsidRPr="004B1319">
        <w:rPr>
          <w:color w:val="000000" w:themeColor="text1"/>
        </w:rPr>
        <w:t>Fe</w:t>
      </w:r>
      <w:r w:rsidR="000B3590" w:rsidRPr="004B1319">
        <w:rPr>
          <w:color w:val="000000" w:themeColor="text1"/>
          <w:vertAlign w:val="subscript"/>
        </w:rPr>
        <w:t>DCB</w:t>
      </w:r>
      <w:r w:rsidR="000B3590" w:rsidRPr="004B1319">
        <w:t xml:space="preserve">). Non-significant models </w:t>
      </w:r>
      <w:r w:rsidR="000B3590">
        <w:t>not shown</w:t>
      </w:r>
      <w:r w:rsidR="00B71543">
        <w:t>.</w:t>
      </w:r>
      <w:r w:rsidR="007A25AD">
        <w:t xml:space="preserve"> </w:t>
      </w:r>
      <w:r w:rsidR="007A25AD" w:rsidRPr="002B77B1">
        <w:t xml:space="preserve">Full statistics in </w:t>
      </w:r>
      <w:r>
        <w:t xml:space="preserve">Supplementary Tables </w:t>
      </w:r>
      <w:r w:rsidR="003D3692">
        <w:t>11</w:t>
      </w:r>
      <w:r w:rsidR="004D04CB" w:rsidRPr="002B77B1">
        <w:t>–</w:t>
      </w:r>
      <w:bookmarkStart w:id="8" w:name="_Toc22318231"/>
      <w:bookmarkEnd w:id="7"/>
      <w:r w:rsidR="003D3692">
        <w:t>13</w:t>
      </w:r>
    </w:p>
    <w:p w14:paraId="2E88CA86" w14:textId="77777777" w:rsidR="006259CF" w:rsidRDefault="006259CF">
      <w:pPr>
        <w:spacing w:after="160" w:line="259" w:lineRule="auto"/>
        <w:ind w:firstLine="0"/>
      </w:pPr>
      <w:r>
        <w:br w:type="page"/>
      </w:r>
    </w:p>
    <w:p w14:paraId="304F4302" w14:textId="58109BCE" w:rsidR="006259CF" w:rsidRDefault="00F75D0C" w:rsidP="006259CF">
      <w:pPr>
        <w:pStyle w:val="Heading3"/>
      </w:pPr>
      <w:r>
        <w:lastRenderedPageBreak/>
        <w:t xml:space="preserve">Supplementary Fig. </w:t>
      </w:r>
      <w:r w:rsidR="006259CF">
        <w:t>6</w:t>
      </w:r>
      <w:r w:rsidR="003D3692">
        <w:t>.</w:t>
      </w:r>
      <w:r w:rsidR="006259CF" w:rsidRPr="004B1319">
        <w:t xml:space="preserve"> </w:t>
      </w:r>
    </w:p>
    <w:p w14:paraId="416B7EC7" w14:textId="2E5044F1" w:rsidR="006259CF" w:rsidRPr="006259CF" w:rsidRDefault="00976957" w:rsidP="00D42D91">
      <w:pPr>
        <w:pStyle w:val="Figures"/>
        <w:spacing w:line="480" w:lineRule="auto"/>
        <w:rPr>
          <w:i/>
          <w:iCs/>
        </w:rPr>
      </w:pPr>
      <w:r>
        <w:rPr>
          <w:noProof/>
        </w:rPr>
        <w:drawing>
          <wp:inline distT="0" distB="0" distL="0" distR="0" wp14:anchorId="09DE81F7" wp14:editId="58719369">
            <wp:extent cx="5941060" cy="369697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1060" cy="3696970"/>
                    </a:xfrm>
                    <a:prstGeom prst="rect">
                      <a:avLst/>
                    </a:prstGeom>
                    <a:noFill/>
                    <a:ln>
                      <a:noFill/>
                    </a:ln>
                  </pic:spPr>
                </pic:pic>
              </a:graphicData>
            </a:graphic>
          </wp:inline>
        </w:drawing>
      </w:r>
    </w:p>
    <w:p w14:paraId="0141CEF8" w14:textId="5DF8E7AE" w:rsidR="00421E95" w:rsidRDefault="00F75D0C" w:rsidP="00976957">
      <w:pPr>
        <w:spacing w:after="160"/>
        <w:ind w:firstLine="0"/>
        <w:rPr>
          <w:i/>
          <w:iCs/>
        </w:rPr>
      </w:pPr>
      <w:r w:rsidRPr="00F75D0C">
        <w:rPr>
          <w:b/>
          <w:bCs/>
        </w:rPr>
        <w:t xml:space="preserve">Supplementary Fig. </w:t>
      </w:r>
      <w:r w:rsidR="006259CF" w:rsidRPr="00F75D0C">
        <w:rPr>
          <w:b/>
          <w:bCs/>
        </w:rPr>
        <w:t>6</w:t>
      </w:r>
      <w:r w:rsidR="006259CF">
        <w:t xml:space="preserve"> </w:t>
      </w:r>
      <w:r w:rsidR="00976957">
        <w:t>Bulk soil % carbon (C</w:t>
      </w:r>
      <w:r w:rsidR="00976957">
        <w:rPr>
          <w:vertAlign w:val="subscript"/>
        </w:rPr>
        <w:t>bulk</w:t>
      </w:r>
      <w:r w:rsidR="00976957">
        <w:t xml:space="preserve">) </w:t>
      </w:r>
      <w:r w:rsidR="009171E2">
        <w:t>versus</w:t>
      </w:r>
      <w:r w:rsidR="00976957">
        <w:t xml:space="preserve"> bulk soil % clay for each of the upper mineral horizons, by transect point. All models were non-significant and therefore are not shown</w:t>
      </w:r>
      <w:r w:rsidR="00421E95">
        <w:br w:type="page"/>
      </w:r>
    </w:p>
    <w:p w14:paraId="5E375862" w14:textId="77777777" w:rsidR="00622E9E" w:rsidRDefault="00622E9E" w:rsidP="000B3590">
      <w:pPr>
        <w:pStyle w:val="Heading2"/>
        <w:sectPr w:rsidR="00622E9E" w:rsidSect="001C5C37">
          <w:footerReference w:type="default" r:id="rId32"/>
          <w:pgSz w:w="12240" w:h="15840"/>
          <w:pgMar w:top="1440" w:right="1440" w:bottom="1440" w:left="1440" w:header="720" w:footer="720" w:gutter="0"/>
          <w:cols w:space="720"/>
          <w:docGrid w:linePitch="360"/>
        </w:sectPr>
      </w:pPr>
    </w:p>
    <w:p w14:paraId="531D6311" w14:textId="32F78F0B" w:rsidR="000B3590" w:rsidRDefault="000B3590" w:rsidP="000B3590">
      <w:pPr>
        <w:pStyle w:val="Heading2"/>
      </w:pPr>
      <w:r>
        <w:lastRenderedPageBreak/>
        <w:t>Appendix</w:t>
      </w:r>
    </w:p>
    <w:p w14:paraId="66FC99EE" w14:textId="3C4D429C" w:rsidR="00855C3C" w:rsidRDefault="006259CF" w:rsidP="00CE0C11">
      <w:pPr>
        <w:pStyle w:val="Heading3"/>
      </w:pPr>
      <w:r>
        <w:t xml:space="preserve">Appendix </w:t>
      </w:r>
      <w:r w:rsidR="00855C3C">
        <w:t>A</w:t>
      </w:r>
      <w:r w:rsidR="00CE0C11">
        <w:t xml:space="preserve">: </w:t>
      </w:r>
      <w:r w:rsidR="00855C3C">
        <w:t>IRIS</w:t>
      </w:r>
      <w:r w:rsidR="00CE0C11">
        <w:t xml:space="preserve"> Films Analysis</w:t>
      </w:r>
    </w:p>
    <w:p w14:paraId="07A31645" w14:textId="6B0AFF4D" w:rsidR="00855C3C" w:rsidRPr="004B1319" w:rsidRDefault="00855C3C" w:rsidP="00CE0C11">
      <w:pPr>
        <w:ind w:firstLine="0"/>
      </w:pPr>
      <w:bookmarkStart w:id="9" w:name="_Hlk50470618"/>
      <w:r w:rsidRPr="004B1319">
        <w:t xml:space="preserve">Reducing conditions were measured </w:t>
      </w:r>
      <w:r>
        <w:t xml:space="preserve">by </w:t>
      </w:r>
      <w:r w:rsidRPr="004B1319">
        <w:t xml:space="preserve">Fe-oxide painted Indicator of Reduction In Soils (IRIS) films </w:t>
      </w:r>
      <w:r>
        <w:t xml:space="preserve">installation </w:t>
      </w:r>
      <w:r w:rsidRPr="004B1319">
        <w:fldChar w:fldCharType="begin"/>
      </w:r>
      <w:r>
        <w:instrText xml:space="preserve"> ADDIN ZOTERO_ITEM CSL_CITATION {"citationID":"63qssWto","properties":{"formattedCitation":"(Rabenhorst 2018)","plainCitation":"(Rabenhorst 2018)","noteIndex":0},"citationItems":[{"id":850,"uris":["http://zotero.org/users/local/JMxK7Wmo/items/SXXM5RXJ"],"uri":["http://zotero.org/users/local/JMxK7Wmo/items/SXXM5RXJ"],"itemData":{"id":850,"type":"article-journal","title":"A System for Making and Deploying Oxide-Coated Plastic Films for Environmental Assessment of Soils","container-title":"Soil Science Society of America Journal","page":"1301","volume":"82","issue":"5","source":"Crossref","DOI":"10.2136/sssaj2018.05.0178","ISSN":"0361-5995","language":"en","author":[{"family":"Rabenhorst","given":"Martin C."}],"issued":{"date-parts":[["2018"]]}}}],"schema":"https://github.com/citation-style-language/schema/raw/master/csl-citation.json"} </w:instrText>
      </w:r>
      <w:r w:rsidRPr="004B1319">
        <w:fldChar w:fldCharType="separate"/>
      </w:r>
      <w:r w:rsidRPr="00D156BC">
        <w:t>(Rabenhorst 2018)</w:t>
      </w:r>
      <w:r w:rsidRPr="004B1319">
        <w:fldChar w:fldCharType="end"/>
      </w:r>
      <w:r>
        <w:t xml:space="preserve"> and analysis (</w:t>
      </w:r>
      <w:r w:rsidRPr="004B1319">
        <w:rPr>
          <w:i/>
        </w:rPr>
        <w:fldChar w:fldCharType="begin"/>
      </w:r>
      <w:r w:rsidRPr="004B1319">
        <w:rPr>
          <w:i/>
        </w:rPr>
        <w:instrText xml:space="preserve"> ADDIN ZOTERO_ITEM CSL_CITATION {"citationID":"l8eDC7sC","properties":{"formattedCitation":"(Castenson and Rabenhorst 2006)","plainCitation":"(Castenson and Rabenhorst 2006)","dontUpdate":true,"noteIndex":0},"citationItems":[{"id":238,"uris":["http://zotero.org/users/local/JMxK7Wmo/items/6LU8ZHWT"],"uri":["http://zotero.org/users/local/JMxK7Wmo/items/6LU8ZHWT"],"itemData":{"id":238,"type":"article-journal","title":"Indicator of Reduction in Soil (IRIS)","container-title":"Soil Science Society of America Journal","page":"1222","volume":"70","issue":"4","source":"Crossref","abstract":"Research and management of wetlands often requires the documentation of reducing soil conditions. Documentation of reduction in soils by measuring oxidation–reduction (redox) potentials using Pt electrodes is often difficult because of the time and cost involved in employing these techniques. This study evaluated a new procedure called Indicator of Reduction in Soil (IRIS) that has been recently developed to assist in the detection of reduced soil conditions. Polyvinyl-chloride (PVC) tubes coated with a ferrihydrite paint were inserted into the upper 50 cm of the soil for periods of 12 to 32 d. Soil redox potentials, water table height, and soil temperature were measured concurrently. Upon removal, the tubes were analyzed to assess the loss of ferrihydrite paint from the tube surface. When ferrhydrite paint was substantially depleted from 20% of the area of the IRIS tube, 87% of the observations at the corresponding depth indicated the soil was reduced. When ferrhydrite paint was substantially depleted from 30% of the area of the IRIS tube, essentially all of the soil observations at corresponding depths showed that the soil was reduced. Although not without complications, IRIS tubes appear to be a promising new alternative to traditional methods used to identify reducing conditions in soil.","DOI":"10.2136/sssaj2005.0130","ISSN":"1435-0661","language":"en","author":[{"family":"Castenson","given":"Karen L."},{"family":"Rabenhorst","given":"Martin C."}],"issued":{"date-parts":[["2006"]]}}}],"schema":"https://github.com/citation-style-language/schema/raw/master/csl-citation.json"} </w:instrText>
      </w:r>
      <w:r w:rsidRPr="004B1319">
        <w:rPr>
          <w:i/>
        </w:rPr>
        <w:fldChar w:fldCharType="separate"/>
      </w:r>
      <w:r w:rsidRPr="004B1319">
        <w:t>Castenson and Rabenhorst 2006)</w:t>
      </w:r>
      <w:r w:rsidRPr="004B1319">
        <w:rPr>
          <w:i/>
        </w:rPr>
        <w:fldChar w:fldCharType="end"/>
      </w:r>
      <w:r w:rsidRPr="004B1319">
        <w:t xml:space="preserve">. </w:t>
      </w:r>
      <w:bookmarkEnd w:id="9"/>
      <w:r w:rsidRPr="004B1319">
        <w:t>At transect points A</w:t>
      </w:r>
      <w:r>
        <w:t>–</w:t>
      </w:r>
      <w:r w:rsidRPr="004B1319">
        <w:t xml:space="preserve">D, five replicate films were installed to </w:t>
      </w:r>
      <w:r w:rsidR="00550871">
        <w:t xml:space="preserve">0.5 </w:t>
      </w:r>
      <w:r w:rsidRPr="004B1319">
        <w:t>m depth on April 5</w:t>
      </w:r>
      <w:r w:rsidR="00630375">
        <w:t>–</w:t>
      </w:r>
      <w:r w:rsidRPr="004B1319">
        <w:t>6, 2019 and removed after 30 days</w:t>
      </w:r>
      <w:r>
        <w:t xml:space="preserve"> to determine the presence of reducing conditions as indicated by Fe oxide paint removal</w:t>
      </w:r>
      <w:r w:rsidRPr="004B1319">
        <w:t xml:space="preserve">. </w:t>
      </w:r>
      <w:r>
        <w:t>A</w:t>
      </w:r>
      <w:r w:rsidRPr="004B1319">
        <w:t xml:space="preserve"> preliminary study in April 2018 found no paint removal at transect points D and E</w:t>
      </w:r>
      <w:r>
        <w:t>; t</w:t>
      </w:r>
      <w:r w:rsidRPr="004B1319">
        <w:t xml:space="preserve">herefore, we assumed 0% oxide paint removal at transect point E in April 2019. </w:t>
      </w:r>
    </w:p>
    <w:p w14:paraId="3455F474" w14:textId="77777777" w:rsidR="00855C3C" w:rsidRPr="00855C3C" w:rsidRDefault="00855C3C" w:rsidP="00855C3C">
      <w:pPr>
        <w:ind w:firstLine="0"/>
      </w:pPr>
    </w:p>
    <w:p w14:paraId="6DD35503" w14:textId="0F1E1E82" w:rsidR="00301374" w:rsidRPr="006259CF" w:rsidRDefault="00301374" w:rsidP="006259CF">
      <w:pPr>
        <w:spacing w:after="160" w:line="259" w:lineRule="auto"/>
        <w:ind w:firstLine="0"/>
        <w:rPr>
          <w:i/>
          <w:iCs/>
        </w:rPr>
      </w:pPr>
      <w:r>
        <w:rPr>
          <w:i/>
          <w:iCs/>
        </w:rPr>
        <w:br w:type="page"/>
      </w:r>
    </w:p>
    <w:p w14:paraId="3ED989E2" w14:textId="7BBFCE4D" w:rsidR="0060256E" w:rsidRDefault="006259CF" w:rsidP="00CE0C11">
      <w:pPr>
        <w:pStyle w:val="Heading3"/>
      </w:pPr>
      <w:r>
        <w:lastRenderedPageBreak/>
        <w:t xml:space="preserve">Appendix </w:t>
      </w:r>
      <w:r w:rsidR="00F57FF6">
        <w:t>B</w:t>
      </w:r>
      <w:r w:rsidR="00CE0C11">
        <w:t xml:space="preserve">: Calculations with </w:t>
      </w:r>
      <w:r w:rsidR="0060256E">
        <w:t xml:space="preserve">Aggregate </w:t>
      </w:r>
      <w:r w:rsidR="00CE0C11">
        <w:t>Size Classes</w:t>
      </w:r>
    </w:p>
    <w:p w14:paraId="4F638059" w14:textId="7460FAED" w:rsidR="006259CF" w:rsidRDefault="00BA7ABB" w:rsidP="0060256E">
      <w:pPr>
        <w:pStyle w:val="Equations"/>
        <w:ind w:left="0"/>
      </w:pPr>
      <w:r w:rsidRPr="004B1319">
        <w:t>For aggregates, we calculated both aggregate mass (mass</w:t>
      </w:r>
      <w:r w:rsidRPr="004B1319">
        <w:rPr>
          <w:vertAlign w:val="subscript"/>
        </w:rPr>
        <w:t>aggregate</w:t>
      </w:r>
      <w:r w:rsidRPr="004B1319">
        <w:t>) and sand-corrected aggregate mass (mass</w:t>
      </w:r>
      <w:r w:rsidRPr="004B1319">
        <w:rPr>
          <w:vertAlign w:val="subscript"/>
        </w:rPr>
        <w:t>aggregate, sand-free</w:t>
      </w:r>
      <w:r w:rsidRPr="004B1319">
        <w:t>). Aggregate associated C (C</w:t>
      </w:r>
      <w:r w:rsidRPr="004B1319">
        <w:rPr>
          <w:vertAlign w:val="subscript"/>
        </w:rPr>
        <w:t>aggregate</w:t>
      </w:r>
      <w:r w:rsidRPr="004B1319">
        <w:t>) is expressed on a mass basis out of bulk soil excluding rocks &gt;</w:t>
      </w:r>
      <w:r w:rsidR="00D45DD3">
        <w:t xml:space="preserve"> </w:t>
      </w:r>
      <w:r w:rsidRPr="004B1319">
        <w:t>1 mm (mass</w:t>
      </w:r>
      <w:r w:rsidRPr="004B1319">
        <w:rPr>
          <w:vertAlign w:val="subscript"/>
        </w:rPr>
        <w:t>total</w:t>
      </w:r>
      <w:r w:rsidRPr="004B1319">
        <w:t xml:space="preserve">), equivalent to the concentration of aggregate-associated C. We </w:t>
      </w:r>
      <w:r w:rsidR="00301374">
        <w:t xml:space="preserve">also </w:t>
      </w:r>
      <w:r w:rsidRPr="004B1319">
        <w:t>corrected aggregate C measured by dry-combustion (</w:t>
      </w:r>
      <w:r w:rsidR="00301374" w:rsidRPr="004B1319">
        <w:t>C</w:t>
      </w:r>
      <w:r w:rsidR="00301374" w:rsidRPr="004B1319">
        <w:rPr>
          <w:vertAlign w:val="subscript"/>
        </w:rPr>
        <w:t>aggregate</w:t>
      </w:r>
      <w:r w:rsidRPr="004B1319">
        <w:t>) for sand content</w:t>
      </w:r>
      <w:r w:rsidR="0060256E">
        <w:t xml:space="preserve">. </w:t>
      </w:r>
      <w:r w:rsidRPr="004B1319">
        <w:t xml:space="preserve">Sand correction is useful to interpret C across samples of varying sand content </w:t>
      </w:r>
      <w:r w:rsidRPr="004B1319">
        <w:fldChar w:fldCharType="begin"/>
      </w:r>
      <w:r>
        <w:instrText xml:space="preserve"> ADDIN ZOTERO_ITEM CSL_CITATION {"citationID":"Gy0nugwd","properties":{"formattedCitation":"(M\\uc0\\u225{}rquez et al. 2004)","plainCitation":"(Márquez et al. 2004)","noteIndex":0},"citationItems":[{"id":406,"uris":["http://zotero.org/users/local/JMxK7Wmo/items/JVGGMXKN"],"uri":["http://zotero.org/users/local/JMxK7Wmo/items/JVGGMXKN"],"itemData":{"id":406,"type":"article-journal","title":"Aggregate-Size Stability Distribution and Soil Stability","container-title":"Soil Science Society of America Journal","page":"725","volume":"68","issue":"3","source":"Crossref","abstract":"A new theoretical and experimental framework that permits an accurate determination of aggregate-size stability distribution is presented. The size-stability distribution in addition to estimating aggregate-size distribution distinguishes between amounts of stable and unstable macroaggregates (&gt;250 μm). The determination of aggregate-size stability distribution involves the assumptions that soil aggregates can be categorized in terms of their size and water stability (slaking resistance). Experimentally this procedure involves the slaked and capillary-wetted pretreatments; and a subsequent slaking treatment of aggregates &gt;250 μm in size. We also propose the stable aggregates index (SAI) and the stable macroaggregates index (SMaI) for studying soil stability based on aggregate resistance to slaking. These indices account for the total weighted average of stable aggregates and the total weighted average of stable macroaggregates, respectively. Both the SAI and the SMaI indices were shown to be sensitive to the effects of vegetation on soil stability under different riparian buffer communities. The SAI and the SMaI indices were higher in surface soils under coolseason grass than any of the other treatments. These soils samples are well aggregated with SAI = 74% and SMaI = 56% followed by SAI = 55% and SMaI = 37% under existing riparian forest, SAI = 40% and SMaI = 21% under 7-yr switchgrass and SAI = 36% and SMaI = 18% under cropped system.","DOI":"10.2136/sssaj2004.7250","ISSN":"1435-0661","language":"en","author":[{"family":"Márquez","given":"C. O."},{"family":"Garcia","given":"V. J."},{"family":"Cambardella","given":"C. A."},{"family":"Schultz","given":"R. C."},{"family":"Isenhart","given":"T. M."}],"issued":{"date-parts":[["2004"]]}}}],"schema":"https://github.com/citation-style-language/schema/raw/master/csl-citation.json"} </w:instrText>
      </w:r>
      <w:r w:rsidRPr="004B1319">
        <w:fldChar w:fldCharType="separate"/>
      </w:r>
      <w:r w:rsidRPr="00801AF7">
        <w:rPr>
          <w:szCs w:val="24"/>
        </w:rPr>
        <w:t>(Márquez et al. 2004)</w:t>
      </w:r>
      <w:r w:rsidRPr="004B1319">
        <w:fldChar w:fldCharType="end"/>
      </w:r>
      <w:r w:rsidRPr="004B1319">
        <w:t xml:space="preserve">; however, we decided not to use sand-free values in calculations to compare </w:t>
      </w:r>
      <w:r w:rsidR="00301374">
        <w:t xml:space="preserve">aggregate-associated </w:t>
      </w:r>
      <w:r w:rsidRPr="004B1319">
        <w:t xml:space="preserve">C with </w:t>
      </w:r>
      <w:r w:rsidR="00301374">
        <w:t>Fe-</w:t>
      </w:r>
      <w:r w:rsidRPr="004B1319">
        <w:t>associat</w:t>
      </w:r>
      <w:r w:rsidR="00301374">
        <w:t>ed C</w:t>
      </w:r>
      <w:r w:rsidRPr="004B1319">
        <w:t>, which is out of bulk soil (e.g., not g C per g “sand-free” soil).</w:t>
      </w:r>
      <w:r w:rsidR="0060256E">
        <w:t xml:space="preserve"> </w:t>
      </w:r>
      <w:r w:rsidR="00301374">
        <w:t>To calculate the normalized aggregate associated C proportion out of bulk soil C</w:t>
      </w:r>
      <w:r w:rsidR="000B3590" w:rsidRPr="004B1319">
        <w:t>, we calculated Aggregate C * mass</w:t>
      </w:r>
      <w:r w:rsidR="000B3590" w:rsidRPr="004B1319">
        <w:rPr>
          <w:vertAlign w:val="subscript"/>
        </w:rPr>
        <w:t>aggregate</w:t>
      </w:r>
      <w:r w:rsidR="000B3590" w:rsidRPr="004B1319">
        <w:t xml:space="preserve"> for each size class, then we divided by the sum (total) of Aggregate C * mass</w:t>
      </w:r>
      <w:r w:rsidR="000B3590" w:rsidRPr="004B1319">
        <w:rPr>
          <w:vertAlign w:val="subscript"/>
        </w:rPr>
        <w:t>aggregate</w:t>
      </w:r>
      <w:r w:rsidR="000B3590" w:rsidRPr="004B1319">
        <w:t xml:space="preserve"> for the entire sample (C</w:t>
      </w:r>
      <w:r w:rsidR="000B3590" w:rsidRPr="004B1319">
        <w:rPr>
          <w:vertAlign w:val="subscript"/>
        </w:rPr>
        <w:t>aggregate</w:t>
      </w:r>
      <w:r w:rsidR="000B3590" w:rsidRPr="004B1319">
        <w:t>/C</w:t>
      </w:r>
      <w:r w:rsidR="000B3590" w:rsidRPr="004B1319">
        <w:rPr>
          <w:vertAlign w:val="subscript"/>
        </w:rPr>
        <w:t>bulk</w:t>
      </w:r>
      <w:r w:rsidR="00301374">
        <w:t>; Ta</w:t>
      </w:r>
      <w:r w:rsidR="000B3590" w:rsidRPr="004B1319">
        <w:t>ble 1</w:t>
      </w:r>
      <w:r w:rsidR="00301374">
        <w:t>,</w:t>
      </w:r>
      <w:r w:rsidR="0060256E">
        <w:t xml:space="preserve"> Eq. </w:t>
      </w:r>
      <w:r w:rsidR="00301374">
        <w:t>2</w:t>
      </w:r>
      <w:r w:rsidR="000B3590" w:rsidRPr="004B1319">
        <w:t>).</w:t>
      </w:r>
    </w:p>
    <w:p w14:paraId="5BC52E08" w14:textId="77777777" w:rsidR="006259CF" w:rsidRDefault="006259CF">
      <w:pPr>
        <w:spacing w:after="160" w:line="259" w:lineRule="auto"/>
        <w:ind w:firstLine="0"/>
      </w:pPr>
      <w:r>
        <w:br w:type="page"/>
      </w:r>
    </w:p>
    <w:p w14:paraId="3A158308" w14:textId="14534F66" w:rsidR="006259CF" w:rsidRPr="004B1319" w:rsidRDefault="006259CF" w:rsidP="006259CF">
      <w:pPr>
        <w:pStyle w:val="Heading3"/>
      </w:pPr>
      <w:r>
        <w:lastRenderedPageBreak/>
        <w:t>Appendix C: Comparison of Fe Extractions</w:t>
      </w:r>
    </w:p>
    <w:p w14:paraId="71F983F8" w14:textId="61028077" w:rsidR="000B3590" w:rsidRDefault="006259CF" w:rsidP="006259CF">
      <w:pPr>
        <w:pStyle w:val="Equations"/>
        <w:ind w:left="0"/>
      </w:pPr>
      <w:r w:rsidRPr="004B1319">
        <w:t>We compared Fe and C removal across extractions on upper soils to better understand extraction efficiency. A paired t-test between Fe</w:t>
      </w:r>
      <w:r w:rsidRPr="004B1319">
        <w:rPr>
          <w:vertAlign w:val="subscript"/>
        </w:rPr>
        <w:t>Dit-HCl</w:t>
      </w:r>
      <w:r w:rsidRPr="004B1319">
        <w:t xml:space="preserve"> and Fe</w:t>
      </w:r>
      <w:r w:rsidRPr="004B1319">
        <w:rPr>
          <w:vertAlign w:val="subscript"/>
        </w:rPr>
        <w:t>DCB</w:t>
      </w:r>
      <w:r w:rsidRPr="004B1319">
        <w:t xml:space="preserve"> revealed no significant difference in Fe extracted by the inorganic (Dit-HCl) and organic (DCB) extractions (paired t-test, t(97.6)</w:t>
      </w:r>
      <w:r w:rsidR="00D45DD3">
        <w:t xml:space="preserve"> </w:t>
      </w:r>
      <w:r w:rsidRPr="004B1319">
        <w:t>=</w:t>
      </w:r>
      <w:r w:rsidR="00D45DD3">
        <w:t xml:space="preserve"> </w:t>
      </w:r>
      <w:r w:rsidRPr="004B1319">
        <w:t>-0.51, P</w:t>
      </w:r>
      <w:r w:rsidR="00D45DD3">
        <w:t xml:space="preserve"> </w:t>
      </w:r>
      <w:r w:rsidRPr="004B1319">
        <w:t>=</w:t>
      </w:r>
      <w:r w:rsidR="00D45DD3">
        <w:t xml:space="preserve"> </w:t>
      </w:r>
      <w:r w:rsidRPr="004B1319">
        <w:t>0.61). The mean extraction efficiency for total Fe (Fe</w:t>
      </w:r>
      <w:r w:rsidRPr="004B1319">
        <w:rPr>
          <w:vertAlign w:val="subscript"/>
        </w:rPr>
        <w:t>Dit-HCl</w:t>
      </w:r>
      <w:r w:rsidRPr="004B1319">
        <w:t>/Fe</w:t>
      </w:r>
      <w:r w:rsidRPr="004B1319">
        <w:rPr>
          <w:vertAlign w:val="subscript"/>
        </w:rPr>
        <w:t>DCB</w:t>
      </w:r>
      <w:r w:rsidRPr="004B1319">
        <w:t>) was 88.9% (standard error</w:t>
      </w:r>
      <w:r w:rsidR="00D45DD3">
        <w:t xml:space="preserve"> </w:t>
      </w:r>
      <w:r w:rsidRPr="004B1319">
        <w:t>=</w:t>
      </w:r>
      <w:r w:rsidR="00D45DD3">
        <w:t xml:space="preserve"> </w:t>
      </w:r>
      <w:r w:rsidRPr="004B1319">
        <w:t>2.3), with a median of 99.4%.</w:t>
      </w:r>
    </w:p>
    <w:bookmarkEnd w:id="8"/>
    <w:p w14:paraId="52EC6BAE" w14:textId="473F8C96" w:rsidR="00440066" w:rsidRDefault="00440066">
      <w:pPr>
        <w:spacing w:after="160" w:line="259" w:lineRule="auto"/>
        <w:ind w:firstLine="0"/>
        <w:rPr>
          <w:i/>
          <w:iCs/>
        </w:rPr>
      </w:pPr>
    </w:p>
    <w:sectPr w:rsidR="00440066" w:rsidSect="008D320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170B63" w14:textId="77777777" w:rsidR="00BE2DC9" w:rsidRDefault="00BE2DC9">
      <w:pPr>
        <w:spacing w:line="240" w:lineRule="auto"/>
      </w:pPr>
      <w:r>
        <w:separator/>
      </w:r>
    </w:p>
  </w:endnote>
  <w:endnote w:type="continuationSeparator" w:id="0">
    <w:p w14:paraId="4047E588" w14:textId="77777777" w:rsidR="00BE2DC9" w:rsidRDefault="00BE2D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0455503"/>
      <w:docPartObj>
        <w:docPartGallery w:val="Page Numbers (Bottom of Page)"/>
        <w:docPartUnique/>
      </w:docPartObj>
    </w:sdtPr>
    <w:sdtEndPr>
      <w:rPr>
        <w:noProof/>
      </w:rPr>
    </w:sdtEndPr>
    <w:sdtContent>
      <w:p w14:paraId="5A37290F" w14:textId="536DE816" w:rsidR="00F75D0C" w:rsidRDefault="00F75D0C">
        <w:pPr>
          <w:pStyle w:val="Footer"/>
        </w:pPr>
        <w:r>
          <w:fldChar w:fldCharType="begin"/>
        </w:r>
        <w:r>
          <w:instrText xml:space="preserve"> PAGE   \* MERGEFORMAT </w:instrText>
        </w:r>
        <w:r>
          <w:fldChar w:fldCharType="separate"/>
        </w:r>
        <w:r>
          <w:rPr>
            <w:noProof/>
          </w:rPr>
          <w:t>2</w:t>
        </w:r>
        <w:r>
          <w:rPr>
            <w:noProof/>
          </w:rPr>
          <w:fldChar w:fldCharType="end"/>
        </w:r>
      </w:p>
    </w:sdtContent>
  </w:sdt>
  <w:p w14:paraId="46788170" w14:textId="77777777" w:rsidR="00F75D0C" w:rsidRDefault="00F75D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5692652"/>
      <w:docPartObj>
        <w:docPartGallery w:val="Page Numbers (Bottom of Page)"/>
        <w:docPartUnique/>
      </w:docPartObj>
    </w:sdtPr>
    <w:sdtEndPr>
      <w:rPr>
        <w:noProof/>
      </w:rPr>
    </w:sdtEndPr>
    <w:sdtContent>
      <w:p w14:paraId="096CE979" w14:textId="77777777" w:rsidR="0006467C" w:rsidRDefault="0006467C">
        <w:pPr>
          <w:pStyle w:val="Footer"/>
        </w:pPr>
        <w:r>
          <w:fldChar w:fldCharType="begin"/>
        </w:r>
        <w:r>
          <w:instrText xml:space="preserve"> PAGE  \* Arabic  \* MERGEFORMAT </w:instrText>
        </w:r>
        <w:r>
          <w:fldChar w:fldCharType="separate"/>
        </w:r>
        <w:r>
          <w:rPr>
            <w:noProof/>
          </w:rPr>
          <w:t>2</w:t>
        </w:r>
        <w:r>
          <w:fldChar w:fldCharType="end"/>
        </w:r>
      </w:p>
    </w:sdtContent>
  </w:sdt>
  <w:p w14:paraId="32457184" w14:textId="77777777" w:rsidR="0006467C" w:rsidRDefault="000646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85844364"/>
      <w:docPartObj>
        <w:docPartGallery w:val="Page Numbers (Bottom of Page)"/>
        <w:docPartUnique/>
      </w:docPartObj>
    </w:sdtPr>
    <w:sdtEndPr>
      <w:rPr>
        <w:noProof/>
      </w:rPr>
    </w:sdtEndPr>
    <w:sdtContent>
      <w:p w14:paraId="5919E593" w14:textId="22C4E930" w:rsidR="00A03585" w:rsidRDefault="006D163A">
        <w:pPr>
          <w:pStyle w:val="Footer"/>
        </w:pPr>
        <w:r>
          <w:fldChar w:fldCharType="begin"/>
        </w:r>
        <w:r>
          <w:instrText xml:space="preserve"> PAGE  \* Arabic  \* MERGEFORMAT </w:instrText>
        </w:r>
        <w:r>
          <w:fldChar w:fldCharType="separate"/>
        </w:r>
        <w:r w:rsidR="00651B18">
          <w:rPr>
            <w:noProof/>
          </w:rPr>
          <w:t>2</w:t>
        </w:r>
        <w:r>
          <w:fldChar w:fldCharType="end"/>
        </w:r>
      </w:p>
    </w:sdtContent>
  </w:sdt>
  <w:p w14:paraId="51892041" w14:textId="77777777" w:rsidR="00A03585" w:rsidRDefault="00A035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E8A776" w14:textId="77777777" w:rsidR="00BE2DC9" w:rsidRDefault="00BE2DC9">
      <w:pPr>
        <w:spacing w:line="240" w:lineRule="auto"/>
      </w:pPr>
      <w:r>
        <w:separator/>
      </w:r>
    </w:p>
  </w:footnote>
  <w:footnote w:type="continuationSeparator" w:id="0">
    <w:p w14:paraId="76CD1F47" w14:textId="77777777" w:rsidR="00BE2DC9" w:rsidRDefault="00BE2DC9">
      <w:pPr>
        <w:spacing w:line="240" w:lineRule="auto"/>
      </w:pPr>
      <w:r>
        <w:continuationSeparator/>
      </w:r>
    </w:p>
  </w:footnote>
  <w:footnote w:id="1">
    <w:p w14:paraId="5F2DE302" w14:textId="77777777" w:rsidR="00D6231B" w:rsidRPr="00761440" w:rsidRDefault="00D6231B" w:rsidP="00D6231B">
      <w:pPr>
        <w:pStyle w:val="FootnoteText"/>
        <w:ind w:firstLine="0"/>
        <w:rPr>
          <w:rStyle w:val="FootnoteReference"/>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4F3F"/>
    <w:rsid w:val="00015B4E"/>
    <w:rsid w:val="00057E64"/>
    <w:rsid w:val="0006467C"/>
    <w:rsid w:val="00075283"/>
    <w:rsid w:val="000822CD"/>
    <w:rsid w:val="000B3590"/>
    <w:rsid w:val="000C04C6"/>
    <w:rsid w:val="000D0E0C"/>
    <w:rsid w:val="000D6617"/>
    <w:rsid w:val="000E7446"/>
    <w:rsid w:val="001026F0"/>
    <w:rsid w:val="001263FE"/>
    <w:rsid w:val="001538C9"/>
    <w:rsid w:val="00160857"/>
    <w:rsid w:val="00165606"/>
    <w:rsid w:val="001659A9"/>
    <w:rsid w:val="001672F2"/>
    <w:rsid w:val="001B5860"/>
    <w:rsid w:val="001C3CDA"/>
    <w:rsid w:val="001C5C37"/>
    <w:rsid w:val="001D46D9"/>
    <w:rsid w:val="002038B4"/>
    <w:rsid w:val="00212D64"/>
    <w:rsid w:val="00216490"/>
    <w:rsid w:val="00252C3E"/>
    <w:rsid w:val="00256CF3"/>
    <w:rsid w:val="002613F1"/>
    <w:rsid w:val="002A5A93"/>
    <w:rsid w:val="002B77B1"/>
    <w:rsid w:val="002D796D"/>
    <w:rsid w:val="002E31D3"/>
    <w:rsid w:val="002E49C6"/>
    <w:rsid w:val="00301374"/>
    <w:rsid w:val="00314993"/>
    <w:rsid w:val="00321F7E"/>
    <w:rsid w:val="0038759A"/>
    <w:rsid w:val="00392852"/>
    <w:rsid w:val="003C38B8"/>
    <w:rsid w:val="003D03B2"/>
    <w:rsid w:val="003D1664"/>
    <w:rsid w:val="003D3692"/>
    <w:rsid w:val="003F475F"/>
    <w:rsid w:val="00403215"/>
    <w:rsid w:val="0040660A"/>
    <w:rsid w:val="004152F3"/>
    <w:rsid w:val="00421E95"/>
    <w:rsid w:val="0043566F"/>
    <w:rsid w:val="00440066"/>
    <w:rsid w:val="00461243"/>
    <w:rsid w:val="0048313A"/>
    <w:rsid w:val="004A131D"/>
    <w:rsid w:val="004A213F"/>
    <w:rsid w:val="004B7F44"/>
    <w:rsid w:val="004C7A9F"/>
    <w:rsid w:val="004D04CB"/>
    <w:rsid w:val="004D3E26"/>
    <w:rsid w:val="004E18A8"/>
    <w:rsid w:val="004E361B"/>
    <w:rsid w:val="0051015C"/>
    <w:rsid w:val="00550871"/>
    <w:rsid w:val="00554918"/>
    <w:rsid w:val="005A06E3"/>
    <w:rsid w:val="005A476A"/>
    <w:rsid w:val="005D520A"/>
    <w:rsid w:val="005E274B"/>
    <w:rsid w:val="005F2570"/>
    <w:rsid w:val="005F49B8"/>
    <w:rsid w:val="00601B5F"/>
    <w:rsid w:val="0060256E"/>
    <w:rsid w:val="006161FA"/>
    <w:rsid w:val="00616725"/>
    <w:rsid w:val="00617FD2"/>
    <w:rsid w:val="00622E9E"/>
    <w:rsid w:val="006259CF"/>
    <w:rsid w:val="00630375"/>
    <w:rsid w:val="00633896"/>
    <w:rsid w:val="00644224"/>
    <w:rsid w:val="00651B18"/>
    <w:rsid w:val="0067114C"/>
    <w:rsid w:val="00671349"/>
    <w:rsid w:val="00675884"/>
    <w:rsid w:val="006961FE"/>
    <w:rsid w:val="006A1ED6"/>
    <w:rsid w:val="006A2FF5"/>
    <w:rsid w:val="006A41FC"/>
    <w:rsid w:val="006B5B77"/>
    <w:rsid w:val="006B7C5A"/>
    <w:rsid w:val="006C6965"/>
    <w:rsid w:val="006D163A"/>
    <w:rsid w:val="00737328"/>
    <w:rsid w:val="00784CE4"/>
    <w:rsid w:val="00786C1B"/>
    <w:rsid w:val="007A25AD"/>
    <w:rsid w:val="007C3766"/>
    <w:rsid w:val="007C56DF"/>
    <w:rsid w:val="007F4EA2"/>
    <w:rsid w:val="00822722"/>
    <w:rsid w:val="008229C1"/>
    <w:rsid w:val="00835077"/>
    <w:rsid w:val="0083652D"/>
    <w:rsid w:val="008368AA"/>
    <w:rsid w:val="00847398"/>
    <w:rsid w:val="00855C3C"/>
    <w:rsid w:val="00891CCD"/>
    <w:rsid w:val="008D3202"/>
    <w:rsid w:val="008E2901"/>
    <w:rsid w:val="008E2CAC"/>
    <w:rsid w:val="008E5BE3"/>
    <w:rsid w:val="009171E2"/>
    <w:rsid w:val="00925789"/>
    <w:rsid w:val="00942EA9"/>
    <w:rsid w:val="00946768"/>
    <w:rsid w:val="00953BDC"/>
    <w:rsid w:val="00967B89"/>
    <w:rsid w:val="0097100A"/>
    <w:rsid w:val="00976957"/>
    <w:rsid w:val="009A124C"/>
    <w:rsid w:val="009A4462"/>
    <w:rsid w:val="009B2307"/>
    <w:rsid w:val="009B4D7A"/>
    <w:rsid w:val="009B5AC6"/>
    <w:rsid w:val="009C6757"/>
    <w:rsid w:val="009F2032"/>
    <w:rsid w:val="009F4826"/>
    <w:rsid w:val="009F5EC2"/>
    <w:rsid w:val="009F6CC4"/>
    <w:rsid w:val="00A03585"/>
    <w:rsid w:val="00A0748B"/>
    <w:rsid w:val="00A27E72"/>
    <w:rsid w:val="00A31687"/>
    <w:rsid w:val="00A31865"/>
    <w:rsid w:val="00A367B1"/>
    <w:rsid w:val="00A5629C"/>
    <w:rsid w:val="00A63E10"/>
    <w:rsid w:val="00A71077"/>
    <w:rsid w:val="00AA0F36"/>
    <w:rsid w:val="00AB5F98"/>
    <w:rsid w:val="00AF668C"/>
    <w:rsid w:val="00B0698F"/>
    <w:rsid w:val="00B07685"/>
    <w:rsid w:val="00B13ECE"/>
    <w:rsid w:val="00B34F3F"/>
    <w:rsid w:val="00B71543"/>
    <w:rsid w:val="00B75B3B"/>
    <w:rsid w:val="00BA7ABB"/>
    <w:rsid w:val="00BB05DA"/>
    <w:rsid w:val="00BB401C"/>
    <w:rsid w:val="00BC0122"/>
    <w:rsid w:val="00BE2DC9"/>
    <w:rsid w:val="00C0539D"/>
    <w:rsid w:val="00C30F06"/>
    <w:rsid w:val="00C35FB2"/>
    <w:rsid w:val="00C532FD"/>
    <w:rsid w:val="00C602D8"/>
    <w:rsid w:val="00C81390"/>
    <w:rsid w:val="00CE0C11"/>
    <w:rsid w:val="00D0113C"/>
    <w:rsid w:val="00D06A85"/>
    <w:rsid w:val="00D14DF3"/>
    <w:rsid w:val="00D2658F"/>
    <w:rsid w:val="00D40986"/>
    <w:rsid w:val="00D40C5B"/>
    <w:rsid w:val="00D42D91"/>
    <w:rsid w:val="00D45DD3"/>
    <w:rsid w:val="00D52DCB"/>
    <w:rsid w:val="00D579CE"/>
    <w:rsid w:val="00D6231B"/>
    <w:rsid w:val="00D71784"/>
    <w:rsid w:val="00D75960"/>
    <w:rsid w:val="00D75CE9"/>
    <w:rsid w:val="00DA7829"/>
    <w:rsid w:val="00DB1701"/>
    <w:rsid w:val="00DB7C06"/>
    <w:rsid w:val="00E02055"/>
    <w:rsid w:val="00E10886"/>
    <w:rsid w:val="00E1296B"/>
    <w:rsid w:val="00E144FC"/>
    <w:rsid w:val="00E3318D"/>
    <w:rsid w:val="00E8011F"/>
    <w:rsid w:val="00EC7925"/>
    <w:rsid w:val="00EF78C9"/>
    <w:rsid w:val="00F20D92"/>
    <w:rsid w:val="00F3744D"/>
    <w:rsid w:val="00F506CF"/>
    <w:rsid w:val="00F53E30"/>
    <w:rsid w:val="00F54441"/>
    <w:rsid w:val="00F55AB5"/>
    <w:rsid w:val="00F57FF6"/>
    <w:rsid w:val="00F75D0C"/>
    <w:rsid w:val="00F80B45"/>
    <w:rsid w:val="00FA0CBE"/>
    <w:rsid w:val="00FA5E32"/>
    <w:rsid w:val="00FA7B2D"/>
    <w:rsid w:val="00FB5E5D"/>
    <w:rsid w:val="00FD2AD7"/>
    <w:rsid w:val="00FD6B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122C2"/>
  <w15:chartTrackingRefBased/>
  <w15:docId w15:val="{71D1E089-86DD-4138-8E18-9279ADB1A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4F3F"/>
    <w:pPr>
      <w:spacing w:after="0" w:line="480" w:lineRule="auto"/>
      <w:ind w:firstLine="720"/>
    </w:pPr>
    <w:rPr>
      <w:rFonts w:ascii="Times New Roman" w:hAnsi="Times New Roman" w:cs="Times New Roman"/>
    </w:rPr>
  </w:style>
  <w:style w:type="paragraph" w:styleId="Heading1">
    <w:name w:val="heading 1"/>
    <w:basedOn w:val="Normal"/>
    <w:next w:val="Normal"/>
    <w:link w:val="Heading1Char"/>
    <w:uiPriority w:val="9"/>
    <w:qFormat/>
    <w:rsid w:val="00D6231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34F3F"/>
    <w:pPr>
      <w:keepNext/>
      <w:keepLines/>
      <w:ind w:firstLine="0"/>
      <w:outlineLvl w:val="1"/>
    </w:pPr>
    <w:rPr>
      <w:rFonts w:eastAsiaTheme="majorEastAsia"/>
      <w:b/>
      <w:bCs/>
    </w:rPr>
  </w:style>
  <w:style w:type="paragraph" w:styleId="Heading3">
    <w:name w:val="heading 3"/>
    <w:basedOn w:val="Normal"/>
    <w:next w:val="Normal"/>
    <w:link w:val="Heading3Char"/>
    <w:uiPriority w:val="9"/>
    <w:unhideWhenUsed/>
    <w:qFormat/>
    <w:rsid w:val="00B34F3F"/>
    <w:pPr>
      <w:ind w:firstLine="0"/>
      <w:outlineLvl w:val="2"/>
    </w:pPr>
    <w:rPr>
      <w:i/>
      <w:iCs/>
    </w:rPr>
  </w:style>
  <w:style w:type="paragraph" w:styleId="Heading4">
    <w:name w:val="heading 4"/>
    <w:basedOn w:val="Normal"/>
    <w:next w:val="Normal"/>
    <w:link w:val="Heading4Char"/>
    <w:uiPriority w:val="9"/>
    <w:unhideWhenUsed/>
    <w:qFormat/>
    <w:rsid w:val="00D40C5B"/>
    <w:pPr>
      <w:ind w:firstLine="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34F3F"/>
    <w:rPr>
      <w:rFonts w:ascii="Times New Roman" w:eastAsiaTheme="majorEastAsia" w:hAnsi="Times New Roman" w:cs="Times New Roman"/>
      <w:b/>
      <w:bCs/>
    </w:rPr>
  </w:style>
  <w:style w:type="character" w:customStyle="1" w:styleId="Heading3Char">
    <w:name w:val="Heading 3 Char"/>
    <w:basedOn w:val="DefaultParagraphFont"/>
    <w:link w:val="Heading3"/>
    <w:uiPriority w:val="9"/>
    <w:rsid w:val="00B34F3F"/>
    <w:rPr>
      <w:rFonts w:ascii="Times New Roman" w:hAnsi="Times New Roman" w:cs="Times New Roman"/>
      <w:i/>
      <w:iCs/>
    </w:rPr>
  </w:style>
  <w:style w:type="paragraph" w:styleId="Footer">
    <w:name w:val="footer"/>
    <w:basedOn w:val="Normal"/>
    <w:link w:val="FooterChar"/>
    <w:uiPriority w:val="99"/>
    <w:unhideWhenUsed/>
    <w:rsid w:val="00B34F3F"/>
    <w:pPr>
      <w:tabs>
        <w:tab w:val="center" w:pos="4680"/>
        <w:tab w:val="right" w:pos="9360"/>
      </w:tabs>
      <w:spacing w:line="240" w:lineRule="auto"/>
    </w:pPr>
  </w:style>
  <w:style w:type="character" w:customStyle="1" w:styleId="FooterChar">
    <w:name w:val="Footer Char"/>
    <w:basedOn w:val="DefaultParagraphFont"/>
    <w:link w:val="Footer"/>
    <w:uiPriority w:val="99"/>
    <w:rsid w:val="00B34F3F"/>
    <w:rPr>
      <w:rFonts w:ascii="Times New Roman" w:hAnsi="Times New Roman" w:cs="Times New Roman"/>
    </w:rPr>
  </w:style>
  <w:style w:type="paragraph" w:customStyle="1" w:styleId="Equations">
    <w:name w:val="Equations"/>
    <w:basedOn w:val="Normal"/>
    <w:link w:val="EquationsChar"/>
    <w:qFormat/>
    <w:rsid w:val="00B34F3F"/>
    <w:pPr>
      <w:tabs>
        <w:tab w:val="left" w:pos="720"/>
        <w:tab w:val="right" w:pos="9360"/>
      </w:tabs>
      <w:ind w:left="720" w:firstLine="0"/>
    </w:pPr>
  </w:style>
  <w:style w:type="character" w:customStyle="1" w:styleId="EquationsChar">
    <w:name w:val="Equations Char"/>
    <w:basedOn w:val="DefaultParagraphFont"/>
    <w:link w:val="Equations"/>
    <w:rsid w:val="00B34F3F"/>
    <w:rPr>
      <w:rFonts w:ascii="Times New Roman" w:hAnsi="Times New Roman" w:cs="Times New Roman"/>
    </w:rPr>
  </w:style>
  <w:style w:type="paragraph" w:customStyle="1" w:styleId="Figures">
    <w:name w:val="Figures"/>
    <w:basedOn w:val="Normal"/>
    <w:link w:val="FiguresChar"/>
    <w:qFormat/>
    <w:rsid w:val="00B34F3F"/>
    <w:pPr>
      <w:spacing w:line="276" w:lineRule="auto"/>
      <w:ind w:firstLine="0"/>
    </w:pPr>
  </w:style>
  <w:style w:type="character" w:customStyle="1" w:styleId="FiguresChar">
    <w:name w:val="Figures Char"/>
    <w:basedOn w:val="DefaultParagraphFont"/>
    <w:link w:val="Figures"/>
    <w:rsid w:val="00B34F3F"/>
    <w:rPr>
      <w:rFonts w:ascii="Times New Roman" w:hAnsi="Times New Roman" w:cs="Times New Roman"/>
    </w:rPr>
  </w:style>
  <w:style w:type="paragraph" w:styleId="BalloonText">
    <w:name w:val="Balloon Text"/>
    <w:basedOn w:val="Normal"/>
    <w:link w:val="BalloonTextChar"/>
    <w:uiPriority w:val="99"/>
    <w:semiHidden/>
    <w:unhideWhenUsed/>
    <w:rsid w:val="000B359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3590"/>
    <w:rPr>
      <w:rFonts w:ascii="Segoe UI" w:hAnsi="Segoe UI" w:cs="Segoe UI"/>
      <w:sz w:val="18"/>
      <w:szCs w:val="18"/>
    </w:rPr>
  </w:style>
  <w:style w:type="character" w:styleId="CommentReference">
    <w:name w:val="annotation reference"/>
    <w:basedOn w:val="DefaultParagraphFont"/>
    <w:uiPriority w:val="99"/>
    <w:semiHidden/>
    <w:unhideWhenUsed/>
    <w:rsid w:val="00855C3C"/>
    <w:rPr>
      <w:sz w:val="16"/>
      <w:szCs w:val="16"/>
    </w:rPr>
  </w:style>
  <w:style w:type="paragraph" w:styleId="CommentText">
    <w:name w:val="annotation text"/>
    <w:basedOn w:val="Normal"/>
    <w:link w:val="CommentTextChar"/>
    <w:uiPriority w:val="99"/>
    <w:unhideWhenUsed/>
    <w:rsid w:val="00855C3C"/>
    <w:pPr>
      <w:spacing w:line="240" w:lineRule="auto"/>
    </w:pPr>
    <w:rPr>
      <w:sz w:val="20"/>
      <w:szCs w:val="20"/>
    </w:rPr>
  </w:style>
  <w:style w:type="character" w:customStyle="1" w:styleId="CommentTextChar">
    <w:name w:val="Comment Text Char"/>
    <w:basedOn w:val="DefaultParagraphFont"/>
    <w:link w:val="CommentText"/>
    <w:uiPriority w:val="99"/>
    <w:rsid w:val="00855C3C"/>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E18A8"/>
    <w:rPr>
      <w:b/>
      <w:bCs/>
    </w:rPr>
  </w:style>
  <w:style w:type="character" w:customStyle="1" w:styleId="CommentSubjectChar">
    <w:name w:val="Comment Subject Char"/>
    <w:basedOn w:val="CommentTextChar"/>
    <w:link w:val="CommentSubject"/>
    <w:uiPriority w:val="99"/>
    <w:semiHidden/>
    <w:rsid w:val="004E18A8"/>
    <w:rPr>
      <w:rFonts w:ascii="Times New Roman" w:hAnsi="Times New Roman" w:cs="Times New Roman"/>
      <w:b/>
      <w:bCs/>
      <w:sz w:val="20"/>
      <w:szCs w:val="20"/>
    </w:rPr>
  </w:style>
  <w:style w:type="paragraph" w:styleId="Header">
    <w:name w:val="header"/>
    <w:basedOn w:val="Normal"/>
    <w:link w:val="HeaderChar"/>
    <w:uiPriority w:val="99"/>
    <w:unhideWhenUsed/>
    <w:rsid w:val="006D163A"/>
    <w:pPr>
      <w:tabs>
        <w:tab w:val="center" w:pos="4680"/>
        <w:tab w:val="right" w:pos="9360"/>
      </w:tabs>
      <w:spacing w:line="240" w:lineRule="auto"/>
    </w:pPr>
  </w:style>
  <w:style w:type="character" w:customStyle="1" w:styleId="HeaderChar">
    <w:name w:val="Header Char"/>
    <w:basedOn w:val="DefaultParagraphFont"/>
    <w:link w:val="Header"/>
    <w:uiPriority w:val="99"/>
    <w:rsid w:val="006D163A"/>
    <w:rPr>
      <w:rFonts w:ascii="Times New Roman" w:hAnsi="Times New Roman" w:cs="Times New Roman"/>
    </w:rPr>
  </w:style>
  <w:style w:type="character" w:customStyle="1" w:styleId="Heading4Char">
    <w:name w:val="Heading 4 Char"/>
    <w:basedOn w:val="DefaultParagraphFont"/>
    <w:link w:val="Heading4"/>
    <w:uiPriority w:val="9"/>
    <w:rsid w:val="00D40C5B"/>
    <w:rPr>
      <w:rFonts w:ascii="Times New Roman" w:hAnsi="Times New Roman" w:cs="Times New Roman"/>
    </w:rPr>
  </w:style>
  <w:style w:type="character" w:customStyle="1" w:styleId="Heading1Char">
    <w:name w:val="Heading 1 Char"/>
    <w:basedOn w:val="DefaultParagraphFont"/>
    <w:link w:val="Heading1"/>
    <w:uiPriority w:val="9"/>
    <w:rsid w:val="00D6231B"/>
    <w:rPr>
      <w:rFonts w:asciiTheme="majorHAnsi" w:eastAsiaTheme="majorEastAsia" w:hAnsiTheme="majorHAnsi" w:cstheme="majorBidi"/>
      <w:color w:val="2F5496" w:themeColor="accent1" w:themeShade="BF"/>
      <w:sz w:val="32"/>
      <w:szCs w:val="32"/>
    </w:rPr>
  </w:style>
  <w:style w:type="character" w:customStyle="1" w:styleId="FootnoteTextChar">
    <w:name w:val="Footnote Text Char"/>
    <w:basedOn w:val="DefaultParagraphFont"/>
    <w:link w:val="FootnoteText"/>
    <w:uiPriority w:val="99"/>
    <w:semiHidden/>
    <w:rsid w:val="00D6231B"/>
    <w:rPr>
      <w:rFonts w:ascii="Times New Roman" w:hAnsi="Times New Roman"/>
      <w:sz w:val="20"/>
      <w:szCs w:val="20"/>
    </w:rPr>
  </w:style>
  <w:style w:type="paragraph" w:styleId="FootnoteText">
    <w:name w:val="footnote text"/>
    <w:basedOn w:val="Normal"/>
    <w:link w:val="FootnoteTextChar"/>
    <w:uiPriority w:val="99"/>
    <w:semiHidden/>
    <w:unhideWhenUsed/>
    <w:rsid w:val="00D6231B"/>
    <w:pPr>
      <w:spacing w:line="240" w:lineRule="auto"/>
    </w:pPr>
    <w:rPr>
      <w:rFonts w:cstheme="minorBidi"/>
      <w:sz w:val="20"/>
      <w:szCs w:val="20"/>
    </w:rPr>
  </w:style>
  <w:style w:type="character" w:customStyle="1" w:styleId="FootnoteTextChar1">
    <w:name w:val="Footnote Text Char1"/>
    <w:basedOn w:val="DefaultParagraphFont"/>
    <w:uiPriority w:val="99"/>
    <w:semiHidden/>
    <w:rsid w:val="00D6231B"/>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D6231B"/>
    <w:rPr>
      <w:vertAlign w:val="superscript"/>
    </w:rPr>
  </w:style>
  <w:style w:type="character" w:styleId="LineNumber">
    <w:name w:val="line number"/>
    <w:basedOn w:val="DefaultParagraphFont"/>
    <w:uiPriority w:val="99"/>
    <w:semiHidden/>
    <w:unhideWhenUsed/>
    <w:rsid w:val="00F75D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9313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3.jpe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26</Pages>
  <Words>2431</Words>
  <Characters>13860</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Kottkamp</dc:creator>
  <cp:keywords/>
  <dc:description/>
  <cp:lastModifiedBy>Anna Kottkamp</cp:lastModifiedBy>
  <cp:revision>6</cp:revision>
  <dcterms:created xsi:type="dcterms:W3CDTF">2021-03-18T18:01:00Z</dcterms:created>
  <dcterms:modified xsi:type="dcterms:W3CDTF">2021-03-20T18:34:00Z</dcterms:modified>
</cp:coreProperties>
</file>