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4FE54" w14:textId="77777777" w:rsidR="00FA42AF" w:rsidRDefault="00FA42AF" w:rsidP="00FA42AF">
      <w:pPr>
        <w:pStyle w:val="Heading1"/>
        <w:spacing w:line="480" w:lineRule="auto"/>
      </w:pPr>
      <w:r w:rsidRPr="63A3A6C7">
        <w:rPr>
          <w:sz w:val="24"/>
          <w:szCs w:val="24"/>
        </w:rPr>
        <w:t>Cytokine release syndrome in a patient with colorectal cancer following</w:t>
      </w:r>
      <w:r>
        <w:rPr>
          <w:sz w:val="24"/>
          <w:szCs w:val="24"/>
        </w:rPr>
        <w:t xml:space="preserve"> </w:t>
      </w:r>
      <w:r w:rsidRPr="63A3A6C7">
        <w:rPr>
          <w:sz w:val="24"/>
          <w:szCs w:val="24"/>
        </w:rPr>
        <w:t>vaccination with BNT162b2</w:t>
      </w:r>
      <w:r>
        <w:rPr>
          <w:sz w:val="24"/>
          <w:szCs w:val="24"/>
        </w:rPr>
        <w:t xml:space="preserve"> (</w:t>
      </w:r>
      <w:proofErr w:type="spellStart"/>
      <w:r w:rsidRPr="63A3A6C7">
        <w:rPr>
          <w:sz w:val="24"/>
          <w:szCs w:val="24"/>
        </w:rPr>
        <w:t>tozinameran</w:t>
      </w:r>
      <w:proofErr w:type="spellEnd"/>
      <w:r>
        <w:rPr>
          <w:sz w:val="24"/>
          <w:szCs w:val="24"/>
        </w:rPr>
        <w:t>)</w:t>
      </w:r>
    </w:p>
    <w:p w14:paraId="298DC365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</w:rPr>
        <w:t>Lewis Au,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1,2,13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Annika Fendler,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1,13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Scott Shepherd,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Karolina Rzeniewicz,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Maddalena Cerrone,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Fiona Byrne,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Eleanor Carlyle,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Kim Edmonds,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Lyra Del Rosario,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John Shon,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4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Winston A Haynes,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4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Barry Ward,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Ben Shum,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William Gordon,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Camille L Gerard,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1,5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E1136">
        <w:rPr>
          <w:rFonts w:asciiTheme="minorHAnsi" w:hAnsiTheme="minorHAnsi" w:cstheme="minorHAnsi"/>
          <w:color w:val="000000"/>
          <w:sz w:val="22"/>
          <w:szCs w:val="22"/>
        </w:rPr>
        <w:t>Wenyi</w:t>
      </w:r>
      <w:proofErr w:type="spellEnd"/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Xie,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E1136">
        <w:rPr>
          <w:rFonts w:asciiTheme="minorHAnsi" w:hAnsiTheme="minorHAnsi" w:cstheme="minorHAnsi"/>
          <w:color w:val="000000"/>
          <w:sz w:val="22"/>
          <w:szCs w:val="22"/>
        </w:rPr>
        <w:t>Nalinie</w:t>
      </w:r>
      <w:proofErr w:type="spellEnd"/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Joharatnam-Hogan,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Kate Young,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Andrew Furness,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Lisa Pickering,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James Larkin,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Ruth Harvey,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6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George Kassiotis,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7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Sonia Ghandi,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8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Charles Swanton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9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on behalf of the Crick COVID-19 Consortium, Charlotte Fribbens,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10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Katalin A Wilkinson,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Robert J Wilkinson,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3,11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David K Lau,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E1136">
        <w:rPr>
          <w:rFonts w:asciiTheme="minorHAnsi" w:hAnsiTheme="minorHAnsi" w:cstheme="minorHAnsi"/>
          <w:color w:val="000000"/>
          <w:sz w:val="22"/>
          <w:szCs w:val="22"/>
        </w:rPr>
        <w:t>Naureen</w:t>
      </w:r>
      <w:proofErr w:type="spellEnd"/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Starling,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Ian Chau,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Samra Turajlic,</w:t>
      </w: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1,2*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 on behalf of the CAPTURE Consortium</w:t>
      </w:r>
    </w:p>
    <w:p w14:paraId="3E8DBC3A" w14:textId="77777777" w:rsidR="00FA42AF" w:rsidRPr="001E1136" w:rsidRDefault="00FA42AF" w:rsidP="00FA42AF">
      <w:pPr>
        <w:rPr>
          <w:rFonts w:cstheme="minorHAnsi"/>
          <w:sz w:val="22"/>
          <w:szCs w:val="22"/>
        </w:rPr>
      </w:pPr>
    </w:p>
    <w:p w14:paraId="5E7AE24C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Cancer Dynamics Laboratory, The Francis Crick Institute, London, NW1 1AT, UK</w:t>
      </w:r>
    </w:p>
    <w:p w14:paraId="2B4866A9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Skin and Renal Units, The Royal Marsden NHS Foundation Trust, London, SW3 6JJ, UK</w:t>
      </w:r>
    </w:p>
    <w:p w14:paraId="13972E33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Tuberculosis Laboratory, The Francis Crick Institute, London, NW1 1AT, UK</w:t>
      </w:r>
    </w:p>
    <w:p w14:paraId="29D414F9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4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Serimmune, Inc., Goleta, CA, USA</w:t>
      </w:r>
    </w:p>
    <w:p w14:paraId="48356202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5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 xml:space="preserve">Precision Oncology </w:t>
      </w:r>
      <w:proofErr w:type="spellStart"/>
      <w:r w:rsidRPr="001E1136">
        <w:rPr>
          <w:rFonts w:asciiTheme="minorHAnsi" w:hAnsiTheme="minorHAnsi" w:cstheme="minorHAnsi"/>
          <w:color w:val="000000"/>
          <w:sz w:val="22"/>
          <w:szCs w:val="22"/>
        </w:rPr>
        <w:t>Center</w:t>
      </w:r>
      <w:proofErr w:type="spellEnd"/>
      <w:r w:rsidRPr="001E1136">
        <w:rPr>
          <w:rFonts w:asciiTheme="minorHAnsi" w:hAnsiTheme="minorHAnsi" w:cstheme="minorHAnsi"/>
          <w:color w:val="000000"/>
          <w:sz w:val="22"/>
          <w:szCs w:val="22"/>
        </w:rPr>
        <w:t>, Lausanne University Hospital (CHUV), Switzerland</w:t>
      </w:r>
    </w:p>
    <w:p w14:paraId="42FDC07E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6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Worldwide Influenza Centre, The Francis Crick Institute, London, NW1 1AT, UK </w:t>
      </w:r>
    </w:p>
    <w:p w14:paraId="1BCE6C7B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7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Retroviral Immunology Laboratory, The Francis Crick Institute, London, NW1 1AT, UK</w:t>
      </w:r>
    </w:p>
    <w:p w14:paraId="592461D4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8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Neurodegeneration Biology Laboratory, The Francis Crick Institute, London, NW1 1AT, UK</w:t>
      </w:r>
    </w:p>
    <w:p w14:paraId="63C9F63A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9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Cancer Evolution and Genome Instability Laboratory, The Francis Crick Institute, London, NW1 1AT, UK</w:t>
      </w:r>
    </w:p>
    <w:p w14:paraId="55F804B5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10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Acute Oncology Service, The Royal Marsden NHS Foundation Trust, London, SW3 6JJ, UK</w:t>
      </w:r>
    </w:p>
    <w:p w14:paraId="26D97457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11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Department of Infectious Disease, Imperial College London, London, W12 0NN, UK</w:t>
      </w:r>
    </w:p>
    <w:p w14:paraId="7F50E63F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12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Gastrointestinal Unit, The Royal Marsden NHS Foundation Trust, London and Surrey SM2 5PT</w:t>
      </w:r>
    </w:p>
    <w:p w14:paraId="5D9E0B60" w14:textId="77777777" w:rsidR="00FA42AF" w:rsidRPr="001E1136" w:rsidRDefault="00FA42AF" w:rsidP="00FA42AF">
      <w:pPr>
        <w:pStyle w:val="NormalWeb"/>
        <w:spacing w:before="0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1E113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13</w:t>
      </w:r>
      <w:r w:rsidRPr="001E1136">
        <w:rPr>
          <w:rFonts w:asciiTheme="minorHAnsi" w:hAnsiTheme="minorHAnsi" w:cstheme="minorHAnsi"/>
          <w:color w:val="000000"/>
          <w:sz w:val="22"/>
          <w:szCs w:val="22"/>
        </w:rPr>
        <w:t>Equal Contribution</w:t>
      </w:r>
    </w:p>
    <w:p w14:paraId="132751E5" w14:textId="77777777" w:rsidR="00FA42AF" w:rsidRPr="001E1136" w:rsidRDefault="00FA42AF" w:rsidP="00FA42AF">
      <w:pPr>
        <w:rPr>
          <w:rFonts w:cstheme="minorHAnsi"/>
          <w:sz w:val="22"/>
          <w:szCs w:val="22"/>
        </w:rPr>
      </w:pPr>
      <w:r w:rsidRPr="001E1136">
        <w:rPr>
          <w:rFonts w:cstheme="minorHAnsi"/>
          <w:b/>
          <w:bCs/>
          <w:color w:val="000000"/>
          <w:sz w:val="22"/>
          <w:szCs w:val="22"/>
        </w:rPr>
        <w:t>*Corresponding author:</w:t>
      </w:r>
      <w:r w:rsidRPr="001E1136">
        <w:rPr>
          <w:rFonts w:cstheme="minorHAnsi"/>
          <w:color w:val="000000"/>
          <w:sz w:val="22"/>
          <w:szCs w:val="22"/>
        </w:rPr>
        <w:t xml:space="preserve"> Samra Turajlic (</w:t>
      </w:r>
      <w:hyperlink r:id="rId6" w:history="1">
        <w:r w:rsidRPr="001E1136">
          <w:rPr>
            <w:rStyle w:val="Hyperlink"/>
            <w:rFonts w:cstheme="minorHAnsi"/>
            <w:color w:val="1155CC"/>
            <w:sz w:val="22"/>
            <w:szCs w:val="22"/>
          </w:rPr>
          <w:t>samra.turajlic@crick.ac.uk</w:t>
        </w:r>
      </w:hyperlink>
      <w:r w:rsidRPr="001E1136">
        <w:rPr>
          <w:rFonts w:cstheme="minorHAnsi"/>
          <w:color w:val="000000"/>
          <w:sz w:val="22"/>
          <w:szCs w:val="22"/>
        </w:rPr>
        <w:t xml:space="preserve">) </w:t>
      </w:r>
    </w:p>
    <w:p w14:paraId="4E4BDA24" w14:textId="77777777" w:rsidR="008D23FB" w:rsidRDefault="008D23FB" w:rsidP="008D23FB">
      <w:pPr>
        <w:pStyle w:val="Heading1"/>
        <w:spacing w:line="48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8342123" w14:textId="21FEFD65" w:rsidR="008D23FB" w:rsidRPr="008D23FB" w:rsidRDefault="008D23FB" w:rsidP="008D23FB">
      <w:pPr>
        <w:pStyle w:val="Heading1"/>
        <w:spacing w:line="48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D23FB">
        <w:rPr>
          <w:rFonts w:asciiTheme="minorHAnsi" w:hAnsiTheme="minorHAnsi" w:cstheme="minorHAnsi"/>
          <w:sz w:val="24"/>
          <w:szCs w:val="24"/>
        </w:rPr>
        <w:t>Supplementary Files</w:t>
      </w:r>
    </w:p>
    <w:p w14:paraId="6EB7A16D" w14:textId="77777777" w:rsidR="008D23FB" w:rsidRDefault="008D23FB">
      <w:pPr>
        <w:rPr>
          <w:b/>
          <w:bCs/>
          <w:sz w:val="20"/>
          <w:szCs w:val="20"/>
        </w:rPr>
      </w:pPr>
    </w:p>
    <w:p w14:paraId="78AA1A31" w14:textId="77777777" w:rsidR="00FA42AF" w:rsidRDefault="00FA42AF">
      <w:pPr>
        <w:rPr>
          <w:b/>
          <w:bCs/>
          <w:sz w:val="22"/>
          <w:szCs w:val="22"/>
        </w:rPr>
        <w:sectPr w:rsidR="00FA42AF" w:rsidSect="00D9030D">
          <w:footerReference w:type="even" r:id="rId7"/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F787F04" w14:textId="77777777" w:rsidR="00C6795B" w:rsidRDefault="00D86B7B">
      <w:pPr>
        <w:rPr>
          <w:b/>
          <w:bCs/>
          <w:sz w:val="22"/>
          <w:szCs w:val="22"/>
        </w:rPr>
      </w:pPr>
      <w:r w:rsidRPr="00D86B7B">
        <w:rPr>
          <w:b/>
          <w:bCs/>
          <w:sz w:val="22"/>
          <w:szCs w:val="22"/>
        </w:rPr>
        <w:lastRenderedPageBreak/>
        <w:t xml:space="preserve">Supplementary </w:t>
      </w:r>
      <w:r>
        <w:rPr>
          <w:b/>
          <w:bCs/>
          <w:sz w:val="22"/>
          <w:szCs w:val="22"/>
        </w:rPr>
        <w:t>Figures</w:t>
      </w:r>
    </w:p>
    <w:p w14:paraId="0E20223E" w14:textId="77777777" w:rsidR="00C6795B" w:rsidRDefault="00C6795B">
      <w:pPr>
        <w:rPr>
          <w:b/>
          <w:bCs/>
          <w:sz w:val="22"/>
          <w:szCs w:val="22"/>
        </w:rPr>
      </w:pPr>
    </w:p>
    <w:p w14:paraId="7A173DCC" w14:textId="4A2A5B03" w:rsidR="00956F95" w:rsidRDefault="00956F9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Figure S</w:t>
      </w:r>
      <w:r w:rsidR="00C6795B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. Gating strategy for T-cell </w:t>
      </w:r>
      <w:r w:rsidR="00C6795B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ssay </w:t>
      </w:r>
    </w:p>
    <w:p w14:paraId="77039346" w14:textId="77777777" w:rsidR="00956F95" w:rsidRDefault="00956F95">
      <w:pPr>
        <w:rPr>
          <w:b/>
          <w:bCs/>
          <w:sz w:val="22"/>
          <w:szCs w:val="22"/>
        </w:rPr>
      </w:pPr>
    </w:p>
    <w:p w14:paraId="55BCC193" w14:textId="622A2E9A" w:rsidR="005C2A12" w:rsidRDefault="00813425">
      <w:pPr>
        <w:rPr>
          <w:b/>
          <w:bCs/>
          <w:sz w:val="22"/>
          <w:szCs w:val="22"/>
        </w:rPr>
      </w:pPr>
      <w:r w:rsidRPr="00813425">
        <w:rPr>
          <w:b/>
          <w:bCs/>
          <w:noProof/>
          <w:sz w:val="22"/>
          <w:szCs w:val="22"/>
        </w:rPr>
        <w:drawing>
          <wp:inline distT="0" distB="0" distL="0" distR="0" wp14:anchorId="074AC2E2" wp14:editId="108706EF">
            <wp:extent cx="5727700" cy="4631055"/>
            <wp:effectExtent l="0" t="0" r="0" b="444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9D93" w14:textId="77777777" w:rsidR="005C2A12" w:rsidRDefault="005C2A12" w:rsidP="005C2A12">
      <w:pPr>
        <w:spacing w:line="48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A3B8291" w14:textId="272AD438" w:rsidR="00C6795B" w:rsidRDefault="00813425" w:rsidP="005C2A12">
      <w:pPr>
        <w:spacing w:line="480" w:lineRule="auto"/>
        <w:rPr>
          <w:rFonts w:ascii="Calibri" w:hAnsi="Calibri" w:cs="Calibri"/>
          <w:color w:val="000000"/>
          <w:sz w:val="22"/>
          <w:szCs w:val="22"/>
        </w:rPr>
        <w:sectPr w:rsidR="00C6795B" w:rsidSect="00D9030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</w:t>
      </w:r>
      <w:r w:rsidR="005C2A12" w:rsidRPr="005C2A12">
        <w:rPr>
          <w:rFonts w:ascii="Calibri" w:hAnsi="Calibri" w:cs="Calibri"/>
          <w:b/>
          <w:bCs/>
          <w:color w:val="000000"/>
          <w:sz w:val="22"/>
          <w:szCs w:val="22"/>
        </w:rPr>
        <w:t>)</w:t>
      </w:r>
      <w:r w:rsidR="005C2A12" w:rsidRPr="005C2A12">
        <w:rPr>
          <w:rFonts w:ascii="Calibri" w:hAnsi="Calibri" w:cs="Calibri"/>
          <w:color w:val="000000"/>
          <w:sz w:val="22"/>
          <w:szCs w:val="22"/>
        </w:rPr>
        <w:t xml:space="preserve"> CD4+ T-cell response to SEB in exemplary samples.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b</w:t>
      </w:r>
      <w:r w:rsidR="005C2A12" w:rsidRPr="005C2A12">
        <w:rPr>
          <w:rFonts w:ascii="Calibri" w:hAnsi="Calibri" w:cs="Calibri"/>
          <w:b/>
          <w:bCs/>
          <w:color w:val="000000"/>
          <w:sz w:val="22"/>
          <w:szCs w:val="22"/>
        </w:rPr>
        <w:t>)</w:t>
      </w:r>
      <w:r w:rsidR="005C2A12" w:rsidRPr="005C2A12">
        <w:rPr>
          <w:rFonts w:ascii="Calibri" w:hAnsi="Calibri" w:cs="Calibri"/>
          <w:color w:val="000000"/>
          <w:sz w:val="22"/>
          <w:szCs w:val="22"/>
        </w:rPr>
        <w:t xml:space="preserve"> CD8+ T-cell response to SEB in exemplary samples.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c</w:t>
      </w:r>
      <w:r w:rsidRPr="005C2A12">
        <w:rPr>
          <w:rFonts w:ascii="Calibri" w:hAnsi="Calibri" w:cs="Calibri"/>
          <w:b/>
          <w:bCs/>
          <w:color w:val="000000"/>
          <w:sz w:val="22"/>
          <w:szCs w:val="22"/>
        </w:rPr>
        <w:t>)</w:t>
      </w:r>
      <w:r w:rsidRPr="005C2A12">
        <w:rPr>
          <w:rFonts w:ascii="Calibri" w:hAnsi="Calibri" w:cs="Calibri"/>
          <w:color w:val="000000"/>
          <w:sz w:val="22"/>
          <w:szCs w:val="22"/>
        </w:rPr>
        <w:t xml:space="preserve"> Gating strategy for flow analysis of T-cell activation. </w:t>
      </w:r>
      <w:r w:rsidR="005C2A12" w:rsidRPr="005C2A12">
        <w:rPr>
          <w:rFonts w:ascii="Calibri" w:hAnsi="Calibri" w:cs="Calibri"/>
          <w:color w:val="000000"/>
          <w:sz w:val="22"/>
          <w:szCs w:val="22"/>
        </w:rPr>
        <w:t>PBMCs were stimulated with SEB for 24 hrs.  SEB, Staphylococcal enterotoxin</w:t>
      </w:r>
      <w:r w:rsidR="004944C6">
        <w:rPr>
          <w:rFonts w:ascii="Calibri" w:hAnsi="Calibri" w:cs="Calibri"/>
          <w:color w:val="000000"/>
          <w:sz w:val="22"/>
          <w:szCs w:val="22"/>
        </w:rPr>
        <w:t xml:space="preserve"> B</w:t>
      </w:r>
    </w:p>
    <w:p w14:paraId="480CD0D6" w14:textId="7EF5B7EC" w:rsidR="00C6795B" w:rsidRPr="00D86B7B" w:rsidRDefault="00C6795B" w:rsidP="00C6795B">
      <w:pPr>
        <w:spacing w:line="480" w:lineRule="auto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D86B7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lastRenderedPageBreak/>
        <w:t>Figure S</w:t>
      </w:r>
      <w: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2</w:t>
      </w:r>
      <w:r w:rsidRPr="00D86B7B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. </w:t>
      </w:r>
      <w: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en-GB"/>
        </w:rPr>
        <w:t>Antibody response to BNT162b2 according to SERA and PIWAS</w:t>
      </w:r>
    </w:p>
    <w:p w14:paraId="2EB48B9E" w14:textId="77777777" w:rsidR="00C6795B" w:rsidRDefault="00C6795B" w:rsidP="00C6795B">
      <w:pPr>
        <w:rPr>
          <w:rFonts w:ascii="Calibri" w:eastAsia="Times New Roman" w:hAnsi="Calibri" w:cs="Calibri"/>
          <w:color w:val="000000"/>
          <w:bdr w:val="none" w:sz="0" w:space="0" w:color="auto" w:frame="1"/>
          <w:lang w:eastAsia="en-GB"/>
        </w:rPr>
      </w:pPr>
      <w:r w:rsidRPr="00D375E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0CCE1A78" wp14:editId="59DA18E7">
            <wp:extent cx="3923007" cy="6612555"/>
            <wp:effectExtent l="0" t="0" r="1905" b="444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0037" cy="66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3E49" w14:textId="1FC7A426" w:rsidR="00956F95" w:rsidRPr="005C2A12" w:rsidRDefault="00C6795B" w:rsidP="00C6795B">
      <w:pPr>
        <w:spacing w:line="480" w:lineRule="auto"/>
        <w:rPr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a)</w:t>
      </w:r>
      <w:r w:rsidRPr="00D86B7B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D86B7B">
        <w:rPr>
          <w:rFonts w:ascii="Calibri" w:hAnsi="Calibri" w:cs="Calibri"/>
          <w:color w:val="000000"/>
          <w:sz w:val="22"/>
          <w:szCs w:val="22"/>
        </w:rPr>
        <w:t>Pre- and post-vaccination antibody levels against SARS-CoV-2 antigenic motifs.</w:t>
      </w:r>
      <w:r w:rsidRPr="00D86B7B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 w:rsidR="00A70493">
        <w:rPr>
          <w:rFonts w:ascii="Calibri" w:hAnsi="Calibri" w:cs="Calibri"/>
          <w:b/>
          <w:bCs/>
          <w:color w:val="000000"/>
          <w:sz w:val="22"/>
          <w:szCs w:val="22"/>
        </w:rPr>
        <w:t>b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)</w:t>
      </w:r>
      <w:r w:rsidRPr="00D86B7B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D86B7B">
        <w:rPr>
          <w:rFonts w:ascii="Calibri" w:hAnsi="Calibri" w:cs="Calibri"/>
          <w:color w:val="000000"/>
          <w:sz w:val="22"/>
          <w:szCs w:val="22"/>
        </w:rPr>
        <w:t>PIWAS values pre- and post-vaccination against non-spike sequences of the SARS-</w:t>
      </w:r>
      <w:proofErr w:type="spellStart"/>
      <w:r w:rsidRPr="00D86B7B">
        <w:rPr>
          <w:rFonts w:ascii="Calibri" w:hAnsi="Calibri" w:cs="Calibri"/>
          <w:color w:val="000000"/>
          <w:sz w:val="22"/>
          <w:szCs w:val="22"/>
        </w:rPr>
        <w:t>CoV</w:t>
      </w:r>
      <w:proofErr w:type="spellEnd"/>
      <w:r w:rsidRPr="00D86B7B">
        <w:rPr>
          <w:rFonts w:ascii="Calibri" w:hAnsi="Calibri" w:cs="Calibri"/>
          <w:color w:val="000000"/>
          <w:sz w:val="22"/>
          <w:szCs w:val="22"/>
        </w:rPr>
        <w:t xml:space="preserve">-proteome compared to patients with </w:t>
      </w:r>
      <w:r>
        <w:rPr>
          <w:rFonts w:ascii="Calibri" w:hAnsi="Calibri" w:cs="Calibri"/>
          <w:color w:val="000000"/>
          <w:sz w:val="22"/>
          <w:szCs w:val="22"/>
        </w:rPr>
        <w:t>SARS-CoV-2 positive subjects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ADDIN EN.CITE &lt;EndNote&gt;&lt;Cite&gt;&lt;Author&gt;Haynes&lt;/Author&gt;&lt;Year&gt;2020&lt;/Year&gt;&lt;RecNum&gt;28&lt;/RecNum&gt;&lt;DisplayText&gt;&lt;style face="superscript"&gt;1&lt;/style&gt;&lt;/DisplayText&gt;&lt;record&gt;&lt;rec-number&gt;28&lt;/rec-number&gt;&lt;foreign-keys&gt;&lt;key app="EN" db-id="ferpsfzd4dw5p2evae8xszsn0zf99t999ev2" timestamp="1616055776"&gt;28&lt;/key&gt;&lt;/foreign-keys&gt;&lt;ref-type name="Journal Article"&gt;17&lt;/ref-type&gt;&lt;contributors&gt;&lt;authors&gt;&lt;author&gt;Haynes, Winston A.&lt;/author&gt;&lt;author&gt;Kamath, Kathy&lt;/author&gt;&lt;author&gt;Bozekowski, Joel&lt;/author&gt;&lt;author&gt;Baum-Jones, Elisabeth&lt;/author&gt;&lt;author&gt;Campbell, Melissa&lt;/author&gt;&lt;author&gt;Casanovas-Massana, Arnau&lt;/author&gt;&lt;author&gt;Daugherty, Patrick S.&lt;/author&gt;&lt;author&gt;Dela Cruz, Charles S.&lt;/author&gt;&lt;author&gt;Dhal, Abhilash&lt;/author&gt;&lt;author&gt;Farhadian, Shelli F.&lt;/author&gt;&lt;author&gt;Fitzgibbons, Lynn&lt;/author&gt;&lt;author&gt;Fournier, John&lt;/author&gt;&lt;author&gt;Jhatro, Michael&lt;/author&gt;&lt;author&gt;Jordan, Gregory&lt;/author&gt;&lt;author&gt;Kessler, Debra&lt;/author&gt;&lt;author&gt;Klein, Jon&lt;/author&gt;&lt;author&gt;Lucas, Carolina&lt;/author&gt;&lt;author&gt;Luchsinger, Larry L.&lt;/author&gt;&lt;author&gt;Martinez, Brian&lt;/author&gt;&lt;author&gt;Muenker, Mary C.&lt;/author&gt;&lt;author&gt;Pischel, Lauren&lt;/author&gt;&lt;author&gt;Reifert, Jack&lt;/author&gt;&lt;author&gt;Sawyer, Jaymie R.&lt;/author&gt;&lt;author&gt;Waitz, Rebecca&lt;/author&gt;&lt;author&gt;Wunder, Elsio A.&lt;/author&gt;&lt;author&gt;Zhang, Minlu&lt;/author&gt;&lt;author&gt;Iwasaki, Akiko&lt;/author&gt;&lt;author&gt;Ko, Albert I.&lt;/author&gt;&lt;author&gt;Shon, John C.&lt;/author&gt;&lt;/authors&gt;&lt;/contributors&gt;&lt;titles&gt;&lt;title&gt;High-resolution mapping and characterization of epitopes in COVID-19 patients&lt;/title&gt;&lt;secondary-title&gt;medRxiv&lt;/secondary-title&gt;&lt;/titles&gt;&lt;periodical&gt;&lt;full-title&gt;medRxiv&lt;/full-title&gt;&lt;/periodical&gt;&lt;pages&gt;2020.11.23.20235002&lt;/pages&gt;&lt;dates&gt;&lt;year&gt;2020&lt;/year&gt;&lt;/dates&gt;&lt;urls&gt;&lt;related-urls&gt;&lt;url&gt;https://www.medrxiv.org/content/medrxiv/early/2020/11/26/2020.11.23.20235002.full.pdf&lt;/url&gt;&lt;/related-urls&gt;&lt;/urls&gt;&lt;electronic-resource-num&gt;10.1101/2020.11.23.20235002&lt;/electronic-resource-num&gt;&lt;/record&gt;&lt;/Cite&gt;&lt;/EndNote&gt;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D86B7B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1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D86B7B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(</w:t>
      </w:r>
      <w:r w:rsidRPr="00D86B7B"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>Method</w:t>
      </w:r>
      <w:r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>s</w:t>
      </w:r>
      <w:r w:rsidRPr="00D86B7B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). </w:t>
      </w: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PIWAS, </w:t>
      </w:r>
      <w:r>
        <w:rPr>
          <w:rFonts w:ascii="Calibri" w:eastAsia="Calibri" w:hAnsi="Calibri" w:cs="Calibri"/>
          <w:sz w:val="22"/>
          <w:szCs w:val="22"/>
        </w:rPr>
        <w:t xml:space="preserve">protein-based immunome wide association study; </w:t>
      </w: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SERA, </w:t>
      </w:r>
      <w:r>
        <w:rPr>
          <w:rFonts w:ascii="Calibri" w:eastAsia="Calibri" w:hAnsi="Calibri" w:cs="Calibri"/>
          <w:sz w:val="22"/>
          <w:szCs w:val="22"/>
        </w:rPr>
        <w:t xml:space="preserve">serum epitope repertoire analysis </w:t>
      </w:r>
      <w:r w:rsidR="00956F95" w:rsidRPr="005C2A12">
        <w:rPr>
          <w:sz w:val="22"/>
          <w:szCs w:val="22"/>
        </w:rPr>
        <w:br w:type="page"/>
      </w:r>
    </w:p>
    <w:p w14:paraId="77E485A3" w14:textId="1B73A78B" w:rsidR="00D86B7B" w:rsidRPr="00D86B7B" w:rsidRDefault="00D86B7B" w:rsidP="00D86B7B">
      <w:pPr>
        <w:rPr>
          <w:b/>
          <w:bCs/>
          <w:sz w:val="22"/>
          <w:szCs w:val="22"/>
        </w:rPr>
      </w:pPr>
      <w:r w:rsidRPr="00D86B7B">
        <w:rPr>
          <w:b/>
          <w:bCs/>
          <w:sz w:val="22"/>
          <w:szCs w:val="22"/>
        </w:rPr>
        <w:lastRenderedPageBreak/>
        <w:t xml:space="preserve">Supplementary </w:t>
      </w:r>
      <w:r>
        <w:rPr>
          <w:b/>
          <w:bCs/>
          <w:sz w:val="22"/>
          <w:szCs w:val="22"/>
        </w:rPr>
        <w:t>Tables</w:t>
      </w:r>
    </w:p>
    <w:p w14:paraId="5B19627F" w14:textId="77777777" w:rsidR="00D86B7B" w:rsidRDefault="00D86B7B">
      <w:pPr>
        <w:rPr>
          <w:b/>
          <w:bCs/>
          <w:sz w:val="22"/>
          <w:szCs w:val="22"/>
        </w:rPr>
      </w:pPr>
    </w:p>
    <w:p w14:paraId="21898F57" w14:textId="629DCEF4" w:rsidR="004D0EDD" w:rsidRPr="008D23FB" w:rsidRDefault="004D0EDD">
      <w:pPr>
        <w:rPr>
          <w:b/>
          <w:bCs/>
          <w:sz w:val="22"/>
          <w:szCs w:val="22"/>
        </w:rPr>
      </w:pPr>
      <w:r w:rsidRPr="008D23FB">
        <w:rPr>
          <w:b/>
          <w:bCs/>
          <w:sz w:val="22"/>
          <w:szCs w:val="22"/>
        </w:rPr>
        <w:t>Table S1: List of antibodies used in AIM assay</w:t>
      </w:r>
    </w:p>
    <w:p w14:paraId="6D0633D2" w14:textId="77777777" w:rsidR="008D23FB" w:rsidRPr="008D23FB" w:rsidRDefault="008D23FB">
      <w:pPr>
        <w:rPr>
          <w:b/>
          <w:bCs/>
          <w:sz w:val="22"/>
          <w:szCs w:val="22"/>
        </w:rPr>
      </w:pPr>
    </w:p>
    <w:tbl>
      <w:tblPr>
        <w:tblStyle w:val="GridTable1Light"/>
        <w:tblW w:w="5494" w:type="dxa"/>
        <w:tblLook w:val="04A0" w:firstRow="1" w:lastRow="0" w:firstColumn="1" w:lastColumn="0" w:noHBand="0" w:noVBand="1"/>
      </w:tblPr>
      <w:tblGrid>
        <w:gridCol w:w="1300"/>
        <w:gridCol w:w="1594"/>
        <w:gridCol w:w="1300"/>
        <w:gridCol w:w="1300"/>
      </w:tblGrid>
      <w:tr w:rsidR="004D0EDD" w:rsidRPr="008D23FB" w14:paraId="2FDDC7B6" w14:textId="77777777" w:rsidTr="008D23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B188482" w14:textId="77777777" w:rsidR="004D0EDD" w:rsidRPr="008D23FB" w:rsidRDefault="004D0EDD" w:rsidP="004D0ED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Antibody</w:t>
            </w:r>
          </w:p>
        </w:tc>
        <w:tc>
          <w:tcPr>
            <w:tcW w:w="1594" w:type="dxa"/>
            <w:noWrap/>
            <w:hideMark/>
          </w:tcPr>
          <w:p w14:paraId="76A059B2" w14:textId="77777777" w:rsidR="004D0EDD" w:rsidRPr="008D23FB" w:rsidRDefault="004D0EDD" w:rsidP="004D0E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Fluorochrome</w:t>
            </w:r>
          </w:p>
        </w:tc>
        <w:tc>
          <w:tcPr>
            <w:tcW w:w="1300" w:type="dxa"/>
            <w:noWrap/>
            <w:hideMark/>
          </w:tcPr>
          <w:p w14:paraId="009E0637" w14:textId="77777777" w:rsidR="004D0EDD" w:rsidRPr="008D23FB" w:rsidRDefault="004D0EDD" w:rsidP="004D0E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Clone</w:t>
            </w:r>
          </w:p>
        </w:tc>
        <w:tc>
          <w:tcPr>
            <w:tcW w:w="1300" w:type="dxa"/>
            <w:noWrap/>
            <w:hideMark/>
          </w:tcPr>
          <w:p w14:paraId="49612BE5" w14:textId="0AF2D95E" w:rsidR="004D0EDD" w:rsidRPr="008D23FB" w:rsidRDefault="004D0EDD" w:rsidP="004D0E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Vendor</w:t>
            </w:r>
          </w:p>
        </w:tc>
      </w:tr>
      <w:tr w:rsidR="004D0EDD" w:rsidRPr="008D23FB" w14:paraId="193C7BD8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A43560D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CD14</w:t>
            </w:r>
          </w:p>
        </w:tc>
        <w:tc>
          <w:tcPr>
            <w:tcW w:w="1594" w:type="dxa"/>
            <w:noWrap/>
            <w:hideMark/>
          </w:tcPr>
          <w:p w14:paraId="34490EC2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V500</w:t>
            </w:r>
          </w:p>
        </w:tc>
        <w:tc>
          <w:tcPr>
            <w:tcW w:w="1300" w:type="dxa"/>
            <w:noWrap/>
            <w:hideMark/>
          </w:tcPr>
          <w:p w14:paraId="71C800BD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M5E2</w:t>
            </w:r>
          </w:p>
        </w:tc>
        <w:tc>
          <w:tcPr>
            <w:tcW w:w="1300" w:type="dxa"/>
            <w:noWrap/>
            <w:hideMark/>
          </w:tcPr>
          <w:p w14:paraId="20D151D1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BD</w:t>
            </w:r>
          </w:p>
        </w:tc>
      </w:tr>
      <w:tr w:rsidR="004D0EDD" w:rsidRPr="008D23FB" w14:paraId="29B23051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067DACC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CD19</w:t>
            </w:r>
          </w:p>
        </w:tc>
        <w:tc>
          <w:tcPr>
            <w:tcW w:w="1594" w:type="dxa"/>
            <w:noWrap/>
            <w:hideMark/>
          </w:tcPr>
          <w:p w14:paraId="6B4188F7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V500</w:t>
            </w:r>
          </w:p>
        </w:tc>
        <w:tc>
          <w:tcPr>
            <w:tcW w:w="1300" w:type="dxa"/>
            <w:noWrap/>
            <w:hideMark/>
          </w:tcPr>
          <w:p w14:paraId="4C306929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HIB19</w:t>
            </w:r>
          </w:p>
        </w:tc>
        <w:tc>
          <w:tcPr>
            <w:tcW w:w="1300" w:type="dxa"/>
            <w:noWrap/>
            <w:hideMark/>
          </w:tcPr>
          <w:p w14:paraId="783F266E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BD</w:t>
            </w:r>
          </w:p>
        </w:tc>
      </w:tr>
      <w:tr w:rsidR="004D0EDD" w:rsidRPr="008D23FB" w14:paraId="3C36DA4D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C25F6DF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CD4</w:t>
            </w:r>
          </w:p>
        </w:tc>
        <w:tc>
          <w:tcPr>
            <w:tcW w:w="1594" w:type="dxa"/>
            <w:noWrap/>
            <w:hideMark/>
          </w:tcPr>
          <w:p w14:paraId="677CAED6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BV605</w:t>
            </w:r>
          </w:p>
        </w:tc>
        <w:tc>
          <w:tcPr>
            <w:tcW w:w="1300" w:type="dxa"/>
            <w:noWrap/>
            <w:hideMark/>
          </w:tcPr>
          <w:p w14:paraId="354C422D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OKT4</w:t>
            </w:r>
          </w:p>
        </w:tc>
        <w:tc>
          <w:tcPr>
            <w:tcW w:w="1300" w:type="dxa"/>
            <w:noWrap/>
            <w:hideMark/>
          </w:tcPr>
          <w:p w14:paraId="49938A8B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</w:tr>
      <w:tr w:rsidR="004D0EDD" w:rsidRPr="008D23FB" w14:paraId="6AB19F0C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F6193B7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CD8</w:t>
            </w:r>
          </w:p>
        </w:tc>
        <w:tc>
          <w:tcPr>
            <w:tcW w:w="1594" w:type="dxa"/>
            <w:noWrap/>
            <w:hideMark/>
          </w:tcPr>
          <w:p w14:paraId="7D6CA1DA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BV650</w:t>
            </w:r>
          </w:p>
        </w:tc>
        <w:tc>
          <w:tcPr>
            <w:tcW w:w="1300" w:type="dxa"/>
            <w:noWrap/>
            <w:hideMark/>
          </w:tcPr>
          <w:p w14:paraId="4B8A283F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RPA-T8</w:t>
            </w:r>
          </w:p>
        </w:tc>
        <w:tc>
          <w:tcPr>
            <w:tcW w:w="1300" w:type="dxa"/>
            <w:noWrap/>
            <w:hideMark/>
          </w:tcPr>
          <w:p w14:paraId="0E36E310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</w:tr>
      <w:tr w:rsidR="004D0EDD" w:rsidRPr="008D23FB" w14:paraId="1CB25E15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B2F7F14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CD69</w:t>
            </w:r>
          </w:p>
        </w:tc>
        <w:tc>
          <w:tcPr>
            <w:tcW w:w="1594" w:type="dxa"/>
            <w:noWrap/>
            <w:hideMark/>
          </w:tcPr>
          <w:p w14:paraId="282AF570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PE-CF594</w:t>
            </w:r>
          </w:p>
        </w:tc>
        <w:tc>
          <w:tcPr>
            <w:tcW w:w="1300" w:type="dxa"/>
            <w:noWrap/>
            <w:hideMark/>
          </w:tcPr>
          <w:p w14:paraId="131694FE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FN50</w:t>
            </w:r>
          </w:p>
        </w:tc>
        <w:tc>
          <w:tcPr>
            <w:tcW w:w="1300" w:type="dxa"/>
            <w:noWrap/>
            <w:hideMark/>
          </w:tcPr>
          <w:p w14:paraId="645E9CCD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BD</w:t>
            </w:r>
          </w:p>
        </w:tc>
      </w:tr>
      <w:tr w:rsidR="004D0EDD" w:rsidRPr="008D23FB" w14:paraId="6B53ADB1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1D01DE7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OX40</w:t>
            </w:r>
          </w:p>
        </w:tc>
        <w:tc>
          <w:tcPr>
            <w:tcW w:w="1594" w:type="dxa"/>
            <w:noWrap/>
            <w:hideMark/>
          </w:tcPr>
          <w:p w14:paraId="2817EB54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PE-Cy7</w:t>
            </w:r>
          </w:p>
        </w:tc>
        <w:tc>
          <w:tcPr>
            <w:tcW w:w="1300" w:type="dxa"/>
            <w:noWrap/>
            <w:hideMark/>
          </w:tcPr>
          <w:p w14:paraId="38ABC924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Ber-ACT35</w:t>
            </w:r>
          </w:p>
        </w:tc>
        <w:tc>
          <w:tcPr>
            <w:tcW w:w="1300" w:type="dxa"/>
            <w:noWrap/>
            <w:hideMark/>
          </w:tcPr>
          <w:p w14:paraId="31502978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</w:tr>
      <w:tr w:rsidR="004D0EDD" w:rsidRPr="008D23FB" w14:paraId="0958636B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43B5BFC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CD137</w:t>
            </w:r>
          </w:p>
        </w:tc>
        <w:tc>
          <w:tcPr>
            <w:tcW w:w="1594" w:type="dxa"/>
            <w:noWrap/>
            <w:hideMark/>
          </w:tcPr>
          <w:p w14:paraId="74448F9C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APC</w:t>
            </w:r>
          </w:p>
        </w:tc>
        <w:tc>
          <w:tcPr>
            <w:tcW w:w="1300" w:type="dxa"/>
            <w:noWrap/>
            <w:hideMark/>
          </w:tcPr>
          <w:p w14:paraId="0546554D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4B4-1</w:t>
            </w:r>
          </w:p>
        </w:tc>
        <w:tc>
          <w:tcPr>
            <w:tcW w:w="1300" w:type="dxa"/>
            <w:noWrap/>
            <w:hideMark/>
          </w:tcPr>
          <w:p w14:paraId="764327BD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</w:tr>
      <w:tr w:rsidR="004D0EDD" w:rsidRPr="008D23FB" w14:paraId="622C335D" w14:textId="77777777" w:rsidTr="008D23F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EEAA6C3" w14:textId="77777777" w:rsidR="004D0EDD" w:rsidRPr="008D23FB" w:rsidRDefault="004D0EDD" w:rsidP="004D0ED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CD3</w:t>
            </w:r>
          </w:p>
        </w:tc>
        <w:tc>
          <w:tcPr>
            <w:tcW w:w="1594" w:type="dxa"/>
            <w:noWrap/>
            <w:hideMark/>
          </w:tcPr>
          <w:p w14:paraId="2B0C44BB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AF700</w:t>
            </w:r>
          </w:p>
        </w:tc>
        <w:tc>
          <w:tcPr>
            <w:tcW w:w="1300" w:type="dxa"/>
            <w:noWrap/>
            <w:hideMark/>
          </w:tcPr>
          <w:p w14:paraId="10B59520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OKT3</w:t>
            </w:r>
          </w:p>
        </w:tc>
        <w:tc>
          <w:tcPr>
            <w:tcW w:w="1300" w:type="dxa"/>
            <w:noWrap/>
            <w:hideMark/>
          </w:tcPr>
          <w:p w14:paraId="2126A247" w14:textId="77777777" w:rsidR="004D0EDD" w:rsidRPr="008D23FB" w:rsidRDefault="004D0EDD" w:rsidP="004D0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8D23F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</w:tr>
    </w:tbl>
    <w:p w14:paraId="31F30931" w14:textId="0F310DCE" w:rsidR="00D86B7B" w:rsidRDefault="00D86B7B">
      <w:pPr>
        <w:rPr>
          <w:sz w:val="22"/>
          <w:szCs w:val="22"/>
        </w:rPr>
      </w:pPr>
    </w:p>
    <w:p w14:paraId="046305AD" w14:textId="77777777" w:rsidR="00D86B7B" w:rsidRDefault="00D86B7B">
      <w:pPr>
        <w:rPr>
          <w:sz w:val="22"/>
          <w:szCs w:val="22"/>
        </w:rPr>
        <w:sectPr w:rsidR="00D86B7B" w:rsidSect="00D9030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7EB4AA3" w14:textId="031FFF7A" w:rsidR="00D86B7B" w:rsidRPr="00D86B7B" w:rsidRDefault="00D86B7B">
      <w:pPr>
        <w:rPr>
          <w:b/>
          <w:bCs/>
          <w:sz w:val="22"/>
          <w:szCs w:val="22"/>
        </w:rPr>
      </w:pPr>
      <w:r w:rsidRPr="00D86B7B">
        <w:rPr>
          <w:b/>
          <w:bCs/>
          <w:sz w:val="22"/>
          <w:szCs w:val="22"/>
        </w:rPr>
        <w:lastRenderedPageBreak/>
        <w:t>Supplementary References</w:t>
      </w:r>
    </w:p>
    <w:p w14:paraId="49868DCC" w14:textId="77777777" w:rsidR="00D86B7B" w:rsidRDefault="00D86B7B">
      <w:pPr>
        <w:rPr>
          <w:sz w:val="22"/>
          <w:szCs w:val="22"/>
        </w:rPr>
      </w:pPr>
    </w:p>
    <w:p w14:paraId="477BD93F" w14:textId="77777777" w:rsidR="00C6795B" w:rsidRPr="00774A9D" w:rsidRDefault="00D86B7B" w:rsidP="00774A9D">
      <w:pPr>
        <w:pStyle w:val="EndNoteBibliography"/>
        <w:spacing w:line="480" w:lineRule="auto"/>
        <w:ind w:left="720" w:hanging="720"/>
        <w:rPr>
          <w:noProof/>
          <w:sz w:val="22"/>
          <w:szCs w:val="22"/>
        </w:rPr>
      </w:pPr>
      <w:r w:rsidRPr="00774A9D">
        <w:rPr>
          <w:sz w:val="22"/>
          <w:szCs w:val="22"/>
        </w:rPr>
        <w:fldChar w:fldCharType="begin"/>
      </w:r>
      <w:r w:rsidRPr="00774A9D">
        <w:rPr>
          <w:sz w:val="22"/>
          <w:szCs w:val="22"/>
        </w:rPr>
        <w:instrText xml:space="preserve"> ADDIN EN.REFLIST </w:instrText>
      </w:r>
      <w:r w:rsidRPr="00774A9D">
        <w:rPr>
          <w:sz w:val="22"/>
          <w:szCs w:val="22"/>
        </w:rPr>
        <w:fldChar w:fldCharType="separate"/>
      </w:r>
      <w:r w:rsidR="00C6795B" w:rsidRPr="00774A9D">
        <w:rPr>
          <w:noProof/>
          <w:sz w:val="22"/>
          <w:szCs w:val="22"/>
        </w:rPr>
        <w:t>1</w:t>
      </w:r>
      <w:r w:rsidR="00C6795B" w:rsidRPr="00774A9D">
        <w:rPr>
          <w:noProof/>
          <w:sz w:val="22"/>
          <w:szCs w:val="22"/>
        </w:rPr>
        <w:tab/>
        <w:t>Haynes, W. A.</w:t>
      </w:r>
      <w:r w:rsidR="00C6795B" w:rsidRPr="00774A9D">
        <w:rPr>
          <w:i/>
          <w:noProof/>
          <w:sz w:val="22"/>
          <w:szCs w:val="22"/>
        </w:rPr>
        <w:t xml:space="preserve"> et al.</w:t>
      </w:r>
      <w:r w:rsidR="00C6795B" w:rsidRPr="00774A9D">
        <w:rPr>
          <w:noProof/>
          <w:sz w:val="22"/>
          <w:szCs w:val="22"/>
        </w:rPr>
        <w:t xml:space="preserve"> High-resolution mapping and characterization of epitopes in COVID-19 patients. </w:t>
      </w:r>
      <w:r w:rsidR="00C6795B" w:rsidRPr="00774A9D">
        <w:rPr>
          <w:i/>
          <w:noProof/>
          <w:sz w:val="22"/>
          <w:szCs w:val="22"/>
        </w:rPr>
        <w:t>medRxiv</w:t>
      </w:r>
      <w:r w:rsidR="00C6795B" w:rsidRPr="00774A9D">
        <w:rPr>
          <w:noProof/>
          <w:sz w:val="22"/>
          <w:szCs w:val="22"/>
        </w:rPr>
        <w:t>, 2020.2011.2023.20235002, doi:10.1101/2020.11.23.20235002 (2020).</w:t>
      </w:r>
    </w:p>
    <w:p w14:paraId="7F309924" w14:textId="339DCADA" w:rsidR="00D64078" w:rsidRPr="008D23FB" w:rsidRDefault="00D86B7B" w:rsidP="00774A9D">
      <w:pPr>
        <w:spacing w:line="480" w:lineRule="auto"/>
        <w:rPr>
          <w:sz w:val="22"/>
          <w:szCs w:val="22"/>
        </w:rPr>
      </w:pPr>
      <w:r w:rsidRPr="00774A9D">
        <w:rPr>
          <w:sz w:val="22"/>
          <w:szCs w:val="22"/>
        </w:rPr>
        <w:fldChar w:fldCharType="end"/>
      </w:r>
    </w:p>
    <w:sectPr w:rsidR="00D64078" w:rsidRPr="008D23FB" w:rsidSect="00D903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D9965" w14:textId="77777777" w:rsidR="00D94B66" w:rsidRDefault="00D94B66" w:rsidP="008D23FB">
      <w:r>
        <w:separator/>
      </w:r>
    </w:p>
  </w:endnote>
  <w:endnote w:type="continuationSeparator" w:id="0">
    <w:p w14:paraId="0A11B696" w14:textId="77777777" w:rsidR="00D94B66" w:rsidRDefault="00D94B66" w:rsidP="008D2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493759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2B3887" w14:textId="6D1821BD" w:rsidR="008D23FB" w:rsidRDefault="008D23FB" w:rsidP="00C267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990395" w14:textId="77777777" w:rsidR="008D23FB" w:rsidRDefault="008D23FB" w:rsidP="008D23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47328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33DCEC" w14:textId="27DFFBAD" w:rsidR="008D23FB" w:rsidRDefault="008D23FB" w:rsidP="00C267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067E9C" w14:textId="77777777" w:rsidR="008D23FB" w:rsidRDefault="008D23FB" w:rsidP="008D23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53050" w14:textId="77777777" w:rsidR="00D94B66" w:rsidRDefault="00D94B66" w:rsidP="008D23FB">
      <w:r>
        <w:separator/>
      </w:r>
    </w:p>
  </w:footnote>
  <w:footnote w:type="continuationSeparator" w:id="0">
    <w:p w14:paraId="2B500717" w14:textId="77777777" w:rsidR="00D94B66" w:rsidRDefault="00D94B66" w:rsidP="008D2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rpsfzd4dw5p2evae8xszsn0zf99t999ev2&quot;&gt;CRS library&lt;record-ids&gt;&lt;item&gt;28&lt;/item&gt;&lt;/record-ids&gt;&lt;/item&gt;&lt;/Libraries&gt;"/>
  </w:docVars>
  <w:rsids>
    <w:rsidRoot w:val="004D0EDD"/>
    <w:rsid w:val="00000EBD"/>
    <w:rsid w:val="0001462E"/>
    <w:rsid w:val="00016E32"/>
    <w:rsid w:val="00022975"/>
    <w:rsid w:val="00027116"/>
    <w:rsid w:val="000544A4"/>
    <w:rsid w:val="00086809"/>
    <w:rsid w:val="000A6C49"/>
    <w:rsid w:val="000E0208"/>
    <w:rsid w:val="000E0F45"/>
    <w:rsid w:val="00120BCA"/>
    <w:rsid w:val="00134947"/>
    <w:rsid w:val="0015195A"/>
    <w:rsid w:val="00152146"/>
    <w:rsid w:val="00165C09"/>
    <w:rsid w:val="001711BA"/>
    <w:rsid w:val="0019364E"/>
    <w:rsid w:val="001B52F0"/>
    <w:rsid w:val="001E222E"/>
    <w:rsid w:val="001E49BB"/>
    <w:rsid w:val="001E5E85"/>
    <w:rsid w:val="001F3F04"/>
    <w:rsid w:val="00205AD1"/>
    <w:rsid w:val="00206343"/>
    <w:rsid w:val="00213BDD"/>
    <w:rsid w:val="00223037"/>
    <w:rsid w:val="0022584C"/>
    <w:rsid w:val="00225A0C"/>
    <w:rsid w:val="00245828"/>
    <w:rsid w:val="002B1FE2"/>
    <w:rsid w:val="002C73E8"/>
    <w:rsid w:val="002F7603"/>
    <w:rsid w:val="00306919"/>
    <w:rsid w:val="00315C6D"/>
    <w:rsid w:val="00320DAF"/>
    <w:rsid w:val="0032157C"/>
    <w:rsid w:val="00326194"/>
    <w:rsid w:val="003273AE"/>
    <w:rsid w:val="00345B4C"/>
    <w:rsid w:val="00372D9D"/>
    <w:rsid w:val="00376D11"/>
    <w:rsid w:val="0038353C"/>
    <w:rsid w:val="00387843"/>
    <w:rsid w:val="003A1558"/>
    <w:rsid w:val="003B16A5"/>
    <w:rsid w:val="003C0EB1"/>
    <w:rsid w:val="003C7432"/>
    <w:rsid w:val="003F520C"/>
    <w:rsid w:val="003F6037"/>
    <w:rsid w:val="00400B24"/>
    <w:rsid w:val="00434E73"/>
    <w:rsid w:val="004772DE"/>
    <w:rsid w:val="004918C9"/>
    <w:rsid w:val="004944C6"/>
    <w:rsid w:val="004A377C"/>
    <w:rsid w:val="004B22B0"/>
    <w:rsid w:val="004B6AD7"/>
    <w:rsid w:val="004D0EDD"/>
    <w:rsid w:val="004D4DEC"/>
    <w:rsid w:val="005034DD"/>
    <w:rsid w:val="00512396"/>
    <w:rsid w:val="005547FF"/>
    <w:rsid w:val="00561ED2"/>
    <w:rsid w:val="00565170"/>
    <w:rsid w:val="00567960"/>
    <w:rsid w:val="00594ACA"/>
    <w:rsid w:val="00596315"/>
    <w:rsid w:val="00597BAC"/>
    <w:rsid w:val="005A23DC"/>
    <w:rsid w:val="005A50CF"/>
    <w:rsid w:val="005C0A5A"/>
    <w:rsid w:val="005C2A12"/>
    <w:rsid w:val="005E3981"/>
    <w:rsid w:val="005F372E"/>
    <w:rsid w:val="005F4428"/>
    <w:rsid w:val="00606AD1"/>
    <w:rsid w:val="0061330C"/>
    <w:rsid w:val="00615762"/>
    <w:rsid w:val="006402AB"/>
    <w:rsid w:val="00642331"/>
    <w:rsid w:val="006643C7"/>
    <w:rsid w:val="00677D97"/>
    <w:rsid w:val="00683C4A"/>
    <w:rsid w:val="00694270"/>
    <w:rsid w:val="006D4FB5"/>
    <w:rsid w:val="006D6223"/>
    <w:rsid w:val="007043C2"/>
    <w:rsid w:val="0070697F"/>
    <w:rsid w:val="00731B6E"/>
    <w:rsid w:val="00731F62"/>
    <w:rsid w:val="00742E73"/>
    <w:rsid w:val="0076371E"/>
    <w:rsid w:val="007649A3"/>
    <w:rsid w:val="007712F6"/>
    <w:rsid w:val="00774A9D"/>
    <w:rsid w:val="00786A43"/>
    <w:rsid w:val="007A0632"/>
    <w:rsid w:val="007C4E7D"/>
    <w:rsid w:val="007E69A4"/>
    <w:rsid w:val="007F571F"/>
    <w:rsid w:val="00806538"/>
    <w:rsid w:val="00813425"/>
    <w:rsid w:val="00814990"/>
    <w:rsid w:val="0086280E"/>
    <w:rsid w:val="008660DF"/>
    <w:rsid w:val="00875E49"/>
    <w:rsid w:val="008872A0"/>
    <w:rsid w:val="008A1D15"/>
    <w:rsid w:val="008A5CDF"/>
    <w:rsid w:val="008B4C5E"/>
    <w:rsid w:val="008B5237"/>
    <w:rsid w:val="008C0527"/>
    <w:rsid w:val="008C20FD"/>
    <w:rsid w:val="008C388B"/>
    <w:rsid w:val="008D23FB"/>
    <w:rsid w:val="008D3CBB"/>
    <w:rsid w:val="008D7BA0"/>
    <w:rsid w:val="008E0659"/>
    <w:rsid w:val="008E3179"/>
    <w:rsid w:val="008E4482"/>
    <w:rsid w:val="0092521E"/>
    <w:rsid w:val="00956041"/>
    <w:rsid w:val="00956256"/>
    <w:rsid w:val="00956F95"/>
    <w:rsid w:val="009676DF"/>
    <w:rsid w:val="00967778"/>
    <w:rsid w:val="00982796"/>
    <w:rsid w:val="009A5C86"/>
    <w:rsid w:val="009B6967"/>
    <w:rsid w:val="009C214A"/>
    <w:rsid w:val="009E626D"/>
    <w:rsid w:val="009E74FE"/>
    <w:rsid w:val="009F0657"/>
    <w:rsid w:val="00A007EE"/>
    <w:rsid w:val="00A108EC"/>
    <w:rsid w:val="00A41377"/>
    <w:rsid w:val="00A57B97"/>
    <w:rsid w:val="00A62752"/>
    <w:rsid w:val="00A64006"/>
    <w:rsid w:val="00A70493"/>
    <w:rsid w:val="00AA2CDE"/>
    <w:rsid w:val="00AB466F"/>
    <w:rsid w:val="00AC3640"/>
    <w:rsid w:val="00AF1FF2"/>
    <w:rsid w:val="00B0566E"/>
    <w:rsid w:val="00B27CF3"/>
    <w:rsid w:val="00B33FCE"/>
    <w:rsid w:val="00B43A93"/>
    <w:rsid w:val="00B630F8"/>
    <w:rsid w:val="00B73300"/>
    <w:rsid w:val="00B74F97"/>
    <w:rsid w:val="00BA6DCF"/>
    <w:rsid w:val="00BC66DB"/>
    <w:rsid w:val="00BD3F0E"/>
    <w:rsid w:val="00BD5F3A"/>
    <w:rsid w:val="00BD78B7"/>
    <w:rsid w:val="00BF15FF"/>
    <w:rsid w:val="00BF6C7E"/>
    <w:rsid w:val="00C07AA9"/>
    <w:rsid w:val="00C112BE"/>
    <w:rsid w:val="00C13936"/>
    <w:rsid w:val="00C16E21"/>
    <w:rsid w:val="00C35DEC"/>
    <w:rsid w:val="00C37D35"/>
    <w:rsid w:val="00C438A4"/>
    <w:rsid w:val="00C5401F"/>
    <w:rsid w:val="00C6795B"/>
    <w:rsid w:val="00CB58E9"/>
    <w:rsid w:val="00CD5743"/>
    <w:rsid w:val="00CD71D9"/>
    <w:rsid w:val="00CF1C80"/>
    <w:rsid w:val="00D375E4"/>
    <w:rsid w:val="00D55E67"/>
    <w:rsid w:val="00D60AEE"/>
    <w:rsid w:val="00D6694B"/>
    <w:rsid w:val="00D70206"/>
    <w:rsid w:val="00D86B7B"/>
    <w:rsid w:val="00D9030D"/>
    <w:rsid w:val="00D94B66"/>
    <w:rsid w:val="00DC6FAB"/>
    <w:rsid w:val="00DD08A1"/>
    <w:rsid w:val="00DD7E56"/>
    <w:rsid w:val="00DF1F97"/>
    <w:rsid w:val="00E1372A"/>
    <w:rsid w:val="00E237AE"/>
    <w:rsid w:val="00E25731"/>
    <w:rsid w:val="00E26A46"/>
    <w:rsid w:val="00E31AA6"/>
    <w:rsid w:val="00E35027"/>
    <w:rsid w:val="00E57EB4"/>
    <w:rsid w:val="00E94B9B"/>
    <w:rsid w:val="00EA5027"/>
    <w:rsid w:val="00EA647A"/>
    <w:rsid w:val="00EB58EA"/>
    <w:rsid w:val="00EC3D53"/>
    <w:rsid w:val="00ED035E"/>
    <w:rsid w:val="00ED5C1E"/>
    <w:rsid w:val="00EE0FFA"/>
    <w:rsid w:val="00F1046B"/>
    <w:rsid w:val="00F17594"/>
    <w:rsid w:val="00F22C7A"/>
    <w:rsid w:val="00F240FD"/>
    <w:rsid w:val="00F270B0"/>
    <w:rsid w:val="00F27F1C"/>
    <w:rsid w:val="00F32193"/>
    <w:rsid w:val="00F71CCA"/>
    <w:rsid w:val="00F74AF6"/>
    <w:rsid w:val="00F77212"/>
    <w:rsid w:val="00F81972"/>
    <w:rsid w:val="00F9084B"/>
    <w:rsid w:val="00FA17AE"/>
    <w:rsid w:val="00FA42AF"/>
    <w:rsid w:val="00FB570E"/>
    <w:rsid w:val="00FB654C"/>
    <w:rsid w:val="00FC14E6"/>
    <w:rsid w:val="00FC4668"/>
    <w:rsid w:val="00FD3A82"/>
    <w:rsid w:val="00FD52AB"/>
    <w:rsid w:val="00FD62A4"/>
    <w:rsid w:val="00FE6C7D"/>
    <w:rsid w:val="00FF28C6"/>
    <w:rsid w:val="00F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8A903"/>
  <w15:chartTrackingRefBased/>
  <w15:docId w15:val="{107A8FC3-70FD-1F47-956B-B3B7D48FD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3FB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22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3FB"/>
    <w:rPr>
      <w:rFonts w:ascii="Calibri" w:eastAsia="Calibri" w:hAnsi="Calibri" w:cs="Calibri"/>
      <w:b/>
      <w:sz w:val="22"/>
      <w:szCs w:val="48"/>
      <w:lang w:eastAsia="en-GB"/>
    </w:rPr>
  </w:style>
  <w:style w:type="table" w:styleId="GridTable1Light">
    <w:name w:val="Grid Table 1 Light"/>
    <w:basedOn w:val="TableNormal"/>
    <w:uiPriority w:val="46"/>
    <w:rsid w:val="008D23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8D2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3FB"/>
  </w:style>
  <w:style w:type="character" w:styleId="PageNumber">
    <w:name w:val="page number"/>
    <w:basedOn w:val="DefaultParagraphFont"/>
    <w:uiPriority w:val="99"/>
    <w:semiHidden/>
    <w:unhideWhenUsed/>
    <w:rsid w:val="008D23FB"/>
  </w:style>
  <w:style w:type="character" w:styleId="Hyperlink">
    <w:name w:val="Hyperlink"/>
    <w:basedOn w:val="DefaultParagraphFont"/>
    <w:uiPriority w:val="99"/>
    <w:unhideWhenUsed/>
    <w:rsid w:val="00FA42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42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86B7B"/>
  </w:style>
  <w:style w:type="character" w:styleId="FollowedHyperlink">
    <w:name w:val="FollowedHyperlink"/>
    <w:basedOn w:val="DefaultParagraphFont"/>
    <w:uiPriority w:val="99"/>
    <w:semiHidden/>
    <w:unhideWhenUsed/>
    <w:rsid w:val="00D86B7B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D86B7B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86B7B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86B7B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86B7B"/>
    <w:rPr>
      <w:rFonts w:ascii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7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7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79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7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79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5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mra.turajlic@crick.ac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721</Words>
  <Characters>4285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Fendler</dc:creator>
  <cp:keywords/>
  <dc:description/>
  <cp:lastModifiedBy>RZENIEWICZ, KAROLINA (UG)</cp:lastModifiedBy>
  <cp:revision>6</cp:revision>
  <dcterms:created xsi:type="dcterms:W3CDTF">2021-03-19T10:34:00Z</dcterms:created>
  <dcterms:modified xsi:type="dcterms:W3CDTF">2021-03-20T10:14:00Z</dcterms:modified>
</cp:coreProperties>
</file>