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1A98" w:rsidRPr="003F70DB" w:rsidRDefault="00DD7B0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lang w:val="en-US"/>
        </w:rPr>
      </w:pPr>
      <w:bookmarkStart w:id="0" w:name="_heading=h.gjdgxs" w:colFirst="0" w:colLast="0"/>
      <w:bookmarkEnd w:id="0"/>
      <w:r w:rsidRPr="003F70DB">
        <w:rPr>
          <w:rFonts w:ascii="Times New Roman" w:eastAsia="Times New Roman" w:hAnsi="Times New Roman" w:cs="Times New Roman"/>
          <w:b/>
          <w:lang w:val="en-US"/>
        </w:rPr>
        <w:t xml:space="preserve">SUPPLEMENTARY INFORMATION:                                                        Online resource 2 </w:t>
      </w:r>
    </w:p>
    <w:p w14:paraId="00000002" w14:textId="04ACA58E" w:rsidR="00BA1A98" w:rsidRPr="003F70DB" w:rsidRDefault="00DD7B07">
      <w:pPr>
        <w:tabs>
          <w:tab w:val="left" w:pos="142"/>
        </w:tabs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>Butterfly biodiversity in the city is driven by the interaction of the urban landscape and the species</w:t>
      </w:r>
      <w:r w:rsidR="00DF3520">
        <w:rPr>
          <w:rFonts w:ascii="Times New Roman" w:eastAsia="Times New Roman" w:hAnsi="Times New Roman" w:cs="Times New Roman"/>
          <w:lang w:val="en-US"/>
        </w:rPr>
        <w:t xml:space="preserve"> traits: a call for </w:t>
      </w:r>
      <w:proofErr w:type="spellStart"/>
      <w:r w:rsidR="00DF3520">
        <w:rPr>
          <w:rFonts w:ascii="Times New Roman" w:eastAsia="Times New Roman" w:hAnsi="Times New Roman" w:cs="Times New Roman"/>
          <w:lang w:val="en-US"/>
        </w:rPr>
        <w:t>contextualis</w:t>
      </w:r>
      <w:r w:rsidRPr="003F70DB">
        <w:rPr>
          <w:rFonts w:ascii="Times New Roman" w:eastAsia="Times New Roman" w:hAnsi="Times New Roman" w:cs="Times New Roman"/>
          <w:lang w:val="en-US"/>
        </w:rPr>
        <w:t>ed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management</w:t>
      </w:r>
    </w:p>
    <w:p w14:paraId="00000003" w14:textId="77777777" w:rsidR="00BA1A98" w:rsidRPr="000959D2" w:rsidRDefault="00DD7B07">
      <w:pPr>
        <w:tabs>
          <w:tab w:val="left" w:pos="142"/>
        </w:tabs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s-ES"/>
        </w:rPr>
      </w:pPr>
      <w:bookmarkStart w:id="1" w:name="_heading=h.3nhpry2nzm0h" w:colFirst="0" w:colLast="0"/>
      <w:bookmarkEnd w:id="1"/>
      <w:proofErr w:type="spellStart"/>
      <w:r w:rsidRPr="000959D2">
        <w:rPr>
          <w:rFonts w:ascii="Times New Roman" w:eastAsia="Times New Roman" w:hAnsi="Times New Roman" w:cs="Times New Roman"/>
          <w:lang w:val="es-ES"/>
        </w:rPr>
        <w:t>Landscape</w:t>
      </w:r>
      <w:proofErr w:type="spellEnd"/>
      <w:r w:rsidRPr="000959D2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0959D2">
        <w:rPr>
          <w:rFonts w:ascii="Times New Roman" w:eastAsia="Times New Roman" w:hAnsi="Times New Roman" w:cs="Times New Roman"/>
          <w:lang w:val="es-ES"/>
        </w:rPr>
        <w:t>ecology</w:t>
      </w:r>
      <w:bookmarkStart w:id="2" w:name="_GoBack"/>
      <w:bookmarkEnd w:id="2"/>
      <w:proofErr w:type="spellEnd"/>
    </w:p>
    <w:p w14:paraId="00000004" w14:textId="77777777" w:rsidR="00BA1A98" w:rsidRPr="000959D2" w:rsidRDefault="00DD7B07">
      <w:pPr>
        <w:tabs>
          <w:tab w:val="left" w:pos="142"/>
        </w:tabs>
        <w:spacing w:before="240" w:after="240" w:line="480" w:lineRule="auto"/>
        <w:rPr>
          <w:rFonts w:ascii="Times New Roman" w:eastAsia="Times New Roman" w:hAnsi="Times New Roman" w:cs="Times New Roman"/>
          <w:lang w:val="es-ES"/>
        </w:rPr>
      </w:pPr>
      <w:r w:rsidRPr="000959D2">
        <w:rPr>
          <w:rFonts w:ascii="Times New Roman" w:eastAsia="Times New Roman" w:hAnsi="Times New Roman" w:cs="Times New Roman"/>
          <w:lang w:val="es-ES"/>
        </w:rPr>
        <w:t xml:space="preserve">Clàudia PLA-NARBONA, </w:t>
      </w:r>
      <w:proofErr w:type="spellStart"/>
      <w:r w:rsidRPr="000959D2">
        <w:rPr>
          <w:rFonts w:ascii="Times New Roman" w:eastAsia="Times New Roman" w:hAnsi="Times New Roman" w:cs="Times New Roman"/>
          <w:lang w:val="es-ES"/>
        </w:rPr>
        <w:t>Constantí</w:t>
      </w:r>
      <w:proofErr w:type="spellEnd"/>
      <w:r w:rsidRPr="000959D2">
        <w:rPr>
          <w:rFonts w:ascii="Times New Roman" w:eastAsia="Times New Roman" w:hAnsi="Times New Roman" w:cs="Times New Roman"/>
          <w:lang w:val="es-ES"/>
        </w:rPr>
        <w:t xml:space="preserve"> STEFANESCU, Joan PINO, Francisco J. CABRERO-SAÑUDO, Enrique GARCÍA-BARROS, Miguel L. MUNGUIRA, Yolanda MELERO </w:t>
      </w:r>
    </w:p>
    <w:p w14:paraId="6A067D24" w14:textId="25F4F3E3" w:rsidR="003F70DB" w:rsidRPr="003F70DB" w:rsidRDefault="003F70DB" w:rsidP="003F70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3" w:name="_heading=h.8yucq4z7chh1" w:colFirst="0" w:colLast="0"/>
      <w:bookmarkStart w:id="4" w:name="_heading=h.qsf0xuf34943" w:colFirst="0" w:colLast="0"/>
      <w:bookmarkEnd w:id="3"/>
      <w:bookmarkEnd w:id="4"/>
      <w:proofErr w:type="spellStart"/>
      <w:r w:rsidRPr="000959D2">
        <w:rPr>
          <w:rFonts w:ascii="Times New Roman" w:eastAsia="Times New Roman" w:hAnsi="Times New Roman" w:cs="Times New Roman"/>
          <w:color w:val="000000"/>
          <w:lang w:val="es-ES"/>
        </w:rPr>
        <w:t>Corresponding</w:t>
      </w:r>
      <w:proofErr w:type="spellEnd"/>
      <w:r w:rsidRPr="000959D2">
        <w:rPr>
          <w:rFonts w:ascii="Times New Roman" w:eastAsia="Times New Roman" w:hAnsi="Times New Roman" w:cs="Times New Roman"/>
          <w:color w:val="000000"/>
          <w:lang w:val="es-ES"/>
        </w:rPr>
        <w:t xml:space="preserve"> autor: Yolanda M</w:t>
      </w:r>
      <w:r w:rsidR="000959D2">
        <w:rPr>
          <w:rFonts w:ascii="Times New Roman" w:eastAsia="Times New Roman" w:hAnsi="Times New Roman" w:cs="Times New Roman"/>
          <w:color w:val="000000"/>
          <w:lang w:val="es-ES"/>
        </w:rPr>
        <w:t>elero</w:t>
      </w:r>
      <w:r w:rsidRPr="000959D2">
        <w:rPr>
          <w:rFonts w:ascii="Times New Roman" w:eastAsia="Times New Roman" w:hAnsi="Times New Roman" w:cs="Times New Roman"/>
          <w:color w:val="000000"/>
          <w:lang w:val="es-ES"/>
        </w:rPr>
        <w:t xml:space="preserve">. CREAF, </w:t>
      </w:r>
      <w:proofErr w:type="spellStart"/>
      <w:r w:rsidRPr="000959D2">
        <w:rPr>
          <w:rFonts w:ascii="Times New Roman" w:eastAsia="Times New Roman" w:hAnsi="Times New Roman" w:cs="Times New Roman"/>
          <w:color w:val="000000"/>
          <w:lang w:val="es-ES"/>
        </w:rPr>
        <w:t>Cerdanyola</w:t>
      </w:r>
      <w:proofErr w:type="spellEnd"/>
      <w:r w:rsidRPr="000959D2">
        <w:rPr>
          <w:rFonts w:ascii="Times New Roman" w:eastAsia="Times New Roman" w:hAnsi="Times New Roman" w:cs="Times New Roman"/>
          <w:color w:val="000000"/>
          <w:lang w:val="es-ES"/>
        </w:rPr>
        <w:t xml:space="preserve"> del Vallés 08193, </w:t>
      </w:r>
      <w:proofErr w:type="spellStart"/>
      <w:r w:rsidRPr="000959D2">
        <w:rPr>
          <w:rFonts w:ascii="Times New Roman" w:eastAsia="Times New Roman" w:hAnsi="Times New Roman" w:cs="Times New Roman"/>
          <w:color w:val="000000"/>
          <w:lang w:val="es-ES"/>
        </w:rPr>
        <w:t>Spain</w:t>
      </w:r>
      <w:proofErr w:type="spellEnd"/>
      <w:r w:rsidRPr="000959D2">
        <w:rPr>
          <w:rFonts w:ascii="Times New Roman" w:eastAsia="Times New Roman" w:hAnsi="Times New Roman" w:cs="Times New Roman"/>
          <w:color w:val="000000"/>
          <w:lang w:val="es-ES"/>
        </w:rPr>
        <w:t xml:space="preserve">. </w:t>
      </w:r>
      <w:r w:rsidRPr="003F70DB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hyperlink r:id="rId7" w:history="1">
        <w:r w:rsidRPr="003F70DB">
          <w:rPr>
            <w:rFonts w:ascii="Times New Roman" w:eastAsia="Times New Roman" w:hAnsi="Times New Roman" w:cs="Times New Roman"/>
            <w:color w:val="000000"/>
            <w:lang w:val="en-US"/>
          </w:rPr>
          <w:t>y.melero@creaf.uab.cat</w:t>
        </w:r>
      </w:hyperlink>
      <w:r w:rsidRPr="003F70DB">
        <w:rPr>
          <w:rFonts w:ascii="Times New Roman" w:eastAsia="Times New Roman" w:hAnsi="Times New Roman" w:cs="Times New Roman"/>
          <w:color w:val="000000"/>
          <w:lang w:val="en-US"/>
        </w:rPr>
        <w:t>, Phone: +34 935814677</w:t>
      </w:r>
    </w:p>
    <w:p w14:paraId="00000006" w14:textId="77777777" w:rsidR="00BA1A98" w:rsidRPr="003F70DB" w:rsidRDefault="00BA1A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0000007" w14:textId="77777777" w:rsidR="00BA1A98" w:rsidRPr="003F70DB" w:rsidRDefault="00DD7B0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bookmarkStart w:id="5" w:name="_heading=h.bz4q7xnkp6rl" w:colFirst="0" w:colLast="0"/>
      <w:bookmarkEnd w:id="5"/>
      <w:r w:rsidRPr="003F70DB">
        <w:rPr>
          <w:rFonts w:ascii="Times New Roman" w:eastAsia="Times New Roman" w:hAnsi="Times New Roman" w:cs="Times New Roman"/>
          <w:b/>
          <w:color w:val="000000"/>
          <w:lang w:val="en-US"/>
        </w:rPr>
        <w:t>Appendix 2: Multinomial discrete choice models</w:t>
      </w:r>
      <w:r w:rsidRPr="003F70DB">
        <w:rPr>
          <w:rFonts w:ascii="Times New Roman" w:eastAsia="Times New Roman" w:hAnsi="Times New Roman" w:cs="Times New Roman"/>
          <w:b/>
          <w:lang w:val="en-US"/>
        </w:rPr>
        <w:t>.</w:t>
      </w:r>
    </w:p>
    <w:p w14:paraId="00000008" w14:textId="77777777" w:rsidR="00BA1A98" w:rsidRPr="003F70DB" w:rsidRDefault="00DD7B07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Multinomial discrete choice models, estimate the probability of a single choice (i.e. gardens in </w:t>
      </w: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>our</w:t>
      </w:r>
      <w:proofErr w:type="gramEnd"/>
      <w:r w:rsidRPr="003F70DB">
        <w:rPr>
          <w:rFonts w:ascii="Times New Roman" w:eastAsia="Times New Roman" w:hAnsi="Times New Roman" w:cs="Times New Roman"/>
          <w:lang w:val="en-US"/>
        </w:rPr>
        <w:t xml:space="preserve"> study) to be chosen among others choices due to its specific characteristics (the landscape variables in our study), those of the non-choice and the characteristics of the choice maker (i.e. each observed butterfly) (Cooper and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Millspaugh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1999). In these models, the response variable is the choice (the garden in our case) and each choice event (i.e. being present and observed in a specific garden in our study) constitutes a single sample entry; thus, the total sample size equals the number of observed individuals’ choices made. </w:t>
      </w:r>
    </w:p>
    <w:p w14:paraId="00000009" w14:textId="77777777" w:rsidR="00BA1A98" w:rsidRPr="003F70DB" w:rsidRDefault="00DD7B07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The models assume that an individual </w:t>
      </w:r>
      <w:proofErr w:type="spellStart"/>
      <w:r w:rsidRPr="003F70DB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(from a total on N individuals) selects its preferred patch (i.e. gardens in our study) from a finite number of alternatives </w:t>
      </w:r>
      <w:r w:rsidRPr="003F70DB">
        <w:rPr>
          <w:rFonts w:ascii="Times New Roman" w:eastAsia="Times New Roman" w:hAnsi="Times New Roman" w:cs="Times New Roman"/>
          <w:i/>
          <w:lang w:val="en-US"/>
        </w:rPr>
        <w:t xml:space="preserve">p </w:t>
      </w:r>
      <w:r w:rsidRPr="003F70DB">
        <w:rPr>
          <w:rFonts w:ascii="Times New Roman" w:eastAsia="Times New Roman" w:hAnsi="Times New Roman" w:cs="Times New Roman"/>
          <w:lang w:val="en-US"/>
        </w:rPr>
        <w:t>= 1,…</w:t>
      </w: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>,</w:t>
      </w:r>
      <w:r w:rsidRPr="003F70DB">
        <w:rPr>
          <w:rFonts w:ascii="Times New Roman" w:eastAsia="Times New Roman" w:hAnsi="Times New Roman" w:cs="Times New Roman"/>
          <w:i/>
          <w:lang w:val="en-US"/>
        </w:rPr>
        <w:t>P</w:t>
      </w:r>
      <w:proofErr w:type="gramEnd"/>
      <w:r w:rsidRPr="003F70DB">
        <w:rPr>
          <w:rFonts w:ascii="Times New Roman" w:eastAsia="Times New Roman" w:hAnsi="Times New Roman" w:cs="Times New Roman"/>
          <w:lang w:val="en-US"/>
        </w:rPr>
        <w:t xml:space="preserve">-1. Relative preference by individual </w:t>
      </w:r>
      <w:proofErr w:type="spellStart"/>
      <w:r w:rsidRPr="003F70DB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is modelled through the latent variables, 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i/>
          <w:vertAlign w:val="subscript"/>
          <w:lang w:val="en-US"/>
        </w:rPr>
        <w:t xml:space="preserve"> </w:t>
      </w:r>
      <w:r w:rsidRPr="003F70DB">
        <w:rPr>
          <w:rFonts w:ascii="Times New Roman" w:eastAsia="Times New Roman" w:hAnsi="Times New Roman" w:cs="Times New Roman"/>
          <w:lang w:val="en-US"/>
        </w:rPr>
        <w:t>= (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i1</m:t>
            </m:r>
          </m:sub>
        </m:sSub>
      </m:oMath>
      <w:r w:rsidRPr="003F70DB">
        <w:rPr>
          <w:rFonts w:ascii="Times New Roman" w:eastAsia="Times New Roman" w:hAnsi="Times New Roman" w:cs="Times New Roman"/>
          <w:i/>
          <w:lang w:val="en-US"/>
        </w:rPr>
        <w:t>,…</w:t>
      </w:r>
      <w:proofErr w:type="gramStart"/>
      <w:r w:rsidRPr="003F70DB">
        <w:rPr>
          <w:rFonts w:ascii="Times New Roman" w:eastAsia="Times New Roman" w:hAnsi="Times New Roman" w:cs="Times New Roman"/>
          <w:i/>
          <w:lang w:val="en-US"/>
        </w:rPr>
        <w:t>,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i,p-1</m:t>
            </m:r>
          </m:sub>
        </m:sSub>
      </m:oMath>
      <w:r w:rsidRPr="003F70DB">
        <w:rPr>
          <w:rFonts w:ascii="Times New Roman" w:eastAsia="Times New Roman" w:hAnsi="Times New Roman" w:cs="Times New Roman"/>
          <w:i/>
          <w:lang w:val="en-US"/>
        </w:rPr>
        <w:t>)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, which are assumed to have a multivariate normal distribution, where the chosen patch is the one with the highest value for the variable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i/>
          <w:lang w:val="en-US"/>
        </w:rPr>
        <w:t>: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0A" w14:textId="77777777" w:rsidR="00BA1A98" w:rsidRPr="003F70DB" w:rsidRDefault="00F40BC4">
      <w:pPr>
        <w:jc w:val="center"/>
        <w:rPr>
          <w:rFonts w:ascii="Cambria Math" w:eastAsia="Cambria Math" w:hAnsi="Cambria Math" w:cs="Cambria Math"/>
          <w:lang w:val="en-US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eastAsia="Cambria Math" w:hAnsi="Cambria Math" w:cs="Cambria Math"/>
                  <w:lang w:val="en-US"/>
                </w:rPr>
                <m:t>i</m:t>
              </m:r>
            </m:sub>
          </m:sSub>
          <m:r>
            <w:rPr>
              <w:rFonts w:ascii="Cambria Math" w:eastAsia="Cambria Math" w:hAnsi="Cambria Math" w:cs="Cambria Math"/>
              <w:lang w:val="en-US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Cambria Math"/>
                  <w:lang w:val="en-US"/>
                </w:rPr>
                <m:t>i</m:t>
              </m:r>
            </m:sub>
          </m:sSub>
          <m:r>
            <w:rPr>
              <w:rFonts w:ascii="Cambria Math" w:eastAsia="Cambria Math" w:hAnsi="Cambria Math" w:cs="Cambria Math"/>
              <w:lang w:val="en-US"/>
            </w:rPr>
            <m:t>β+</m:t>
          </m:r>
          <m:sSub>
            <m:sSub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ε</m:t>
              </m:r>
            </m:e>
            <m:sub>
              <m:r>
                <w:rPr>
                  <w:rFonts w:ascii="Cambria Math" w:eastAsia="Cambria Math" w:hAnsi="Cambria Math" w:cs="Cambria Math"/>
                  <w:lang w:val="en-US"/>
                </w:rPr>
                <m:t>i</m:t>
              </m:r>
            </m:sub>
          </m:sSub>
        </m:oMath>
      </m:oMathPara>
    </w:p>
    <w:p w14:paraId="0000000B" w14:textId="77777777" w:rsidR="00BA1A98" w:rsidRPr="003F70DB" w:rsidRDefault="00DD7B07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>where</w:t>
      </w:r>
      <w:proofErr w:type="gramEnd"/>
      <w:r w:rsidRPr="003F70DB">
        <w:rPr>
          <w:rFonts w:ascii="Times New Roman" w:eastAsia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lang w:val="en-US"/>
        </w:rPr>
        <w:t xml:space="preserve"> is a (p-1) x </w:t>
      </w:r>
      <w:r w:rsidRPr="003F70DB">
        <w:rPr>
          <w:rFonts w:ascii="Times New Roman" w:eastAsia="Times New Roman" w:hAnsi="Times New Roman" w:cs="Times New Roman"/>
          <w:i/>
          <w:lang w:val="en-US"/>
        </w:rPr>
        <w:t>k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 matrix of choice- and individual-specific covariates, </w:t>
      </w:r>
      <m:oMath>
        <m:r>
          <w:rPr>
            <w:rFonts w:ascii="Cambria Math" w:hAnsi="Cambria Math"/>
            <w:lang w:val="en-US"/>
          </w:rPr>
          <m:t>β</m:t>
        </m:r>
      </m:oMath>
      <w:r w:rsidRPr="003F70DB">
        <w:rPr>
          <w:rFonts w:ascii="Times New Roman" w:eastAsia="Times New Roman" w:hAnsi="Times New Roman" w:cs="Times New Roman"/>
          <w:lang w:val="en-US"/>
        </w:rPr>
        <w:t xml:space="preserve"> is a </w:t>
      </w:r>
      <w:r w:rsidRPr="003F70DB">
        <w:rPr>
          <w:rFonts w:ascii="Times New Roman" w:eastAsia="Times New Roman" w:hAnsi="Times New Roman" w:cs="Times New Roman"/>
          <w:i/>
          <w:lang w:val="en-US"/>
        </w:rPr>
        <w:t>k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×1 vector of regression coefficients.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ε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>is</w:t>
      </w:r>
      <w:proofErr w:type="gramEnd"/>
      <w:r w:rsidRPr="003F70DB">
        <w:rPr>
          <w:rFonts w:ascii="Times New Roman" w:eastAsia="Times New Roman" w:hAnsi="Times New Roman" w:cs="Times New Roman"/>
          <w:lang w:val="en-US"/>
        </w:rPr>
        <w:t xml:space="preserve"> (p</w:t>
      </w:r>
      <w:sdt>
        <w:sdtPr>
          <w:rPr>
            <w:rFonts w:ascii="Times New Roman" w:eastAsia="Times New Roman" w:hAnsi="Times New Roman" w:cs="Times New Roman"/>
            <w:lang w:val="en-US"/>
          </w:rPr>
          <w:tag w:val="goog_rdk_0"/>
          <w:id w:val="-462418176"/>
        </w:sdtPr>
        <w:sdtEndPr/>
        <w:sdtContent>
          <w:r w:rsidRPr="003F70DB">
            <w:rPr>
              <w:rFonts w:ascii="Times New Roman" w:eastAsia="Times New Roman" w:hAnsi="Times New Roman" w:cs="Times New Roman"/>
              <w:lang w:val="en-US"/>
            </w:rPr>
            <w:t xml:space="preserve">−1) × 1 vector of errors </w:t>
          </w:r>
        </w:sdtContent>
      </w:sdt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ε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lang w:val="en-US"/>
          </w:rPr>
          <m:t>~</m:t>
        </m:r>
        <m:r>
          <w:rPr>
            <w:rFonts w:ascii="Cambria Math" w:eastAsia="Cambria Math" w:hAnsi="Cambria Math" w:cs="Cambria Math"/>
            <w:lang w:val="en-US"/>
          </w:rPr>
          <m:t>N</m:t>
        </m:r>
        <m:r>
          <m:rPr>
            <m:sty m:val="p"/>
          </m:rPr>
          <w:rPr>
            <w:rFonts w:ascii="Cambria Math" w:eastAsia="Cambria Math" w:hAnsi="Cambria Math" w:cs="Cambria Math"/>
            <w:lang w:val="en-US"/>
          </w:rPr>
          <m:t>(0,</m:t>
        </m:r>
      </m:oMath>
      <w:r w:rsidRPr="003F70DB">
        <w:rPr>
          <w:rFonts w:ascii="Times New Roman" w:eastAsia="Times New Roman" w:hAnsi="Times New Roman" w:cs="Times New Roman"/>
          <w:lang w:val="en-US"/>
        </w:rPr>
        <w:t xml:space="preserve"> Σ) where Σ is a (p-1)x(</w:t>
      </w:r>
      <w:r w:rsidRPr="003F70DB">
        <w:rPr>
          <w:rFonts w:ascii="Times New Roman" w:eastAsia="Times New Roman" w:hAnsi="Times New Roman" w:cs="Times New Roman"/>
          <w:i/>
          <w:lang w:val="en-US"/>
        </w:rPr>
        <w:t>p</w:t>
      </w:r>
      <w:r w:rsidRPr="003F70DB">
        <w:rPr>
          <w:rFonts w:ascii="Times New Roman" w:eastAsia="Times New Roman" w:hAnsi="Times New Roman" w:cs="Times New Roman"/>
          <w:lang w:val="en-US"/>
        </w:rPr>
        <w:t xml:space="preserve">-1) </w:t>
      </w:r>
      <w:r w:rsidRPr="003F70DB">
        <w:rPr>
          <w:rFonts w:ascii="Times New Roman" w:eastAsia="Times New Roman" w:hAnsi="Times New Roman" w:cs="Times New Roman"/>
          <w:lang w:val="en-US"/>
        </w:rPr>
        <w:lastRenderedPageBreak/>
        <w:t>positive define matrix. The response variable</w:t>
      </w: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End"/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lang w:val="en-US"/>
        </w:rPr>
        <w:t xml:space="preserve">, is the index of the selected patch for the individual </w:t>
      </w:r>
      <w:proofErr w:type="spellStart"/>
      <w:r w:rsidRPr="003F70DB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and is modelled in terms of this latent variable,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lang w:val="en-US"/>
        </w:rPr>
        <w:t>, via:</w:t>
      </w:r>
    </w:p>
    <w:p w14:paraId="0000000C" w14:textId="77777777" w:rsidR="00BA1A98" w:rsidRPr="003F70DB" w:rsidRDefault="00BA1A98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14:paraId="0000000D" w14:textId="77777777" w:rsidR="00BA1A98" w:rsidRPr="003F70DB" w:rsidRDefault="00F40BC4">
      <w:pPr>
        <w:jc w:val="center"/>
        <w:rPr>
          <w:rFonts w:ascii="Cambria Math" w:eastAsia="Cambria Math" w:hAnsi="Cambria Math" w:cs="Cambria Math"/>
          <w:lang w:val="en-US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="Cambria Math" w:hAnsi="Cambria Math" w:cs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{</m:t>
          </m:r>
          <m:r>
            <w:rPr>
              <w:rFonts w:ascii="Cambria Math" w:eastAsia="Cambria Math" w:hAnsi="Cambria Math" w:cs="Cambria Math"/>
              <w:lang w:val="en-US"/>
            </w:rPr>
            <m:t>0 if</m:t>
          </m:r>
          <m:d>
            <m:dPr>
              <m:ctrlPr>
                <w:rPr>
                  <w:rFonts w:ascii="Cambria Math" w:eastAsia="Cambria Math" w:hAnsi="Cambria Math" w:cs="Cambria Math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Cambria Math" w:hAnsi="Cambria Math" w:cs="Cambria Math"/>
                  <w:vertAlign w:val="subscript"/>
                  <w:lang w:val="en-US"/>
                </w:rPr>
                <m:t xml:space="preserve"> </m:t>
              </m:r>
            </m:e>
          </m:d>
          <m:r>
            <w:rPr>
              <w:rFonts w:ascii="Cambria Math" w:eastAsia="Cambria Math" w:hAnsi="Cambria Math" w:cs="Cambria Math"/>
              <w:vertAlign w:val="subscript"/>
              <w:lang w:val="en-US"/>
            </w:rPr>
            <m:t>&lt;0</m:t>
          </m:r>
          <m: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eastAsia="Cambria Math" w:hAnsi="Cambria Math" w:cs="Cambria Math"/>
              <w:lang w:val="en-US"/>
            </w:rPr>
            <m:t>p if</m:t>
          </m:r>
          <m:d>
            <m:dPr>
              <m:ctrlPr>
                <w:rPr>
                  <w:rFonts w:ascii="Cambria Math" w:eastAsia="Cambria Math" w:hAnsi="Cambria Math" w:cs="Cambria Math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Cambria Math" w:hAnsi="Cambria Math" w:cs="Cambria Math"/>
                  <w:vertAlign w:val="subscript"/>
                  <w:lang w:val="en-US"/>
                </w:rPr>
                <m:t xml:space="preserve"> </m:t>
              </m:r>
            </m:e>
          </m:d>
          <m:r>
            <w:rPr>
              <w:rFonts w:ascii="Cambria Math" w:eastAsia="Cambria Math" w:hAnsi="Cambria Math" w:cs="Cambria Math"/>
              <w:vertAlign w:val="subscript"/>
              <w:lang w:val="en-US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Cambria Math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vertAlign w:val="subscript"/>
                  <w:lang w:val="en-US"/>
                </w:rPr>
                <m:t>Λ</m:t>
              </m:r>
            </m:e>
            <m:sub>
              <m:r>
                <w:rPr>
                  <w:rFonts w:ascii="Cambria Math" w:eastAsia="Cambria Math" w:hAnsi="Cambria Math" w:cs="Cambria Math"/>
                  <w:lang w:val="en-US"/>
                </w:rPr>
                <m:t>ip</m:t>
              </m:r>
            </m:sub>
          </m:sSub>
          <m:r>
            <w:rPr>
              <w:rFonts w:ascii="Cambria Math" w:eastAsia="Cambria Math" w:hAnsi="Cambria Math" w:cs="Cambria Math"/>
              <w:vertAlign w:val="subscript"/>
              <w:lang w:val="en-US"/>
            </w:rPr>
            <m:t>&gt;0</m:t>
          </m:r>
          <m: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eastAsia="Cambria Math" w:hAnsi="Cambria Math" w:cs="Cambria Math"/>
              <w:lang w:val="en-US"/>
            </w:rPr>
            <m:t xml:space="preserve"> for i=1,…,N and p=1,…, P-1</m:t>
          </m:r>
        </m:oMath>
      </m:oMathPara>
    </w:p>
    <w:p w14:paraId="0000000E" w14:textId="77777777" w:rsidR="00BA1A98" w:rsidRPr="003F70DB" w:rsidRDefault="00DD7B07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Where </w:t>
      </w:r>
      <m:oMath>
        <m:sSub>
          <m:sSubPr>
            <m:ctrlPr>
              <w:rPr>
                <w:rFonts w:ascii="Cambria Math" w:eastAsia="Cambria Math" w:hAnsi="Cambria Math" w:cs="Cambria Math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</m:sub>
        </m:sSub>
      </m:oMath>
      <w:r w:rsidRPr="003F70DB">
        <w:rPr>
          <w:rFonts w:ascii="Times New Roman" w:eastAsia="Times New Roman" w:hAnsi="Times New Roman" w:cs="Times New Roman"/>
          <w:lang w:val="en-US"/>
        </w:rPr>
        <w:t xml:space="preserve">=0 is a randomly chosen reference patch (Imai and Van Dyk 2005; Vardakis, Goos, Adriaensen and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Matthysen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2015; Jenkins et al. 2019).</w:t>
      </w:r>
    </w:p>
    <w:p w14:paraId="0000000F" w14:textId="77777777" w:rsidR="00BA1A98" w:rsidRPr="003F70DB" w:rsidRDefault="00BA1A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00000010" w14:textId="77777777" w:rsidR="00BA1A98" w:rsidRPr="003F70DB" w:rsidRDefault="00DD7B07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b/>
          <w:lang w:val="en-US"/>
        </w:rPr>
      </w:pPr>
      <w:r w:rsidRPr="003F70DB">
        <w:rPr>
          <w:rFonts w:ascii="Times New Roman" w:eastAsia="Times New Roman" w:hAnsi="Times New Roman" w:cs="Times New Roman"/>
          <w:b/>
          <w:lang w:val="en-US"/>
        </w:rPr>
        <w:t>References</w:t>
      </w:r>
    </w:p>
    <w:p w14:paraId="00000011" w14:textId="77777777" w:rsidR="00BA1A98" w:rsidRPr="003F70DB" w:rsidRDefault="00DD7B07">
      <w:pPr>
        <w:widowControl w:val="0"/>
        <w:tabs>
          <w:tab w:val="left" w:pos="142"/>
        </w:tabs>
        <w:spacing w:after="0" w:line="480" w:lineRule="auto"/>
        <w:ind w:left="482" w:hanging="482"/>
        <w:jc w:val="both"/>
        <w:rPr>
          <w:rFonts w:ascii="Times New Roman" w:eastAsia="Times New Roman" w:hAnsi="Times New Roman" w:cs="Times New Roman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Cooper AB and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Millspaugh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JJ (1999) </w:t>
      </w:r>
      <w:proofErr w:type="gramStart"/>
      <w:r w:rsidRPr="003F70DB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3F70DB">
        <w:rPr>
          <w:rFonts w:ascii="Times New Roman" w:eastAsia="Times New Roman" w:hAnsi="Times New Roman" w:cs="Times New Roman"/>
          <w:lang w:val="en-US"/>
        </w:rPr>
        <w:t xml:space="preserve"> Application of Discrete Choice Models to Wildlife Resource Selection Studies. Ecology, 80(2), pp. 566-575. </w:t>
      </w:r>
      <w:hyperlink r:id="rId8">
        <w:r w:rsidRPr="003F70DB">
          <w:rPr>
            <w:rFonts w:ascii="Times New Roman" w:eastAsia="Times New Roman" w:hAnsi="Times New Roman" w:cs="Times New Roman"/>
            <w:lang w:val="en-US"/>
          </w:rPr>
          <w:t>https://doi.org/10.2307/176635</w:t>
        </w:r>
      </w:hyperlink>
    </w:p>
    <w:p w14:paraId="00000012" w14:textId="77777777" w:rsidR="00BA1A98" w:rsidRPr="003F70DB" w:rsidRDefault="00DD7B07">
      <w:pPr>
        <w:widowControl w:val="0"/>
        <w:tabs>
          <w:tab w:val="left" w:pos="142"/>
        </w:tabs>
        <w:spacing w:after="0" w:line="480" w:lineRule="auto"/>
        <w:ind w:left="482" w:hanging="482"/>
        <w:jc w:val="both"/>
        <w:rPr>
          <w:rFonts w:ascii="Times New Roman" w:eastAsia="Times New Roman" w:hAnsi="Times New Roman" w:cs="Times New Roman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Imai K and Van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Dyk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DA (2005) MNP: R package for fitting the multinomial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probit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model. Journal of Statistical Software, 14, 1–32. </w:t>
      </w:r>
      <w:hyperlink r:id="rId9">
        <w:r w:rsidRPr="003F70DB">
          <w:rPr>
            <w:rFonts w:ascii="Times New Roman" w:eastAsia="Times New Roman" w:hAnsi="Times New Roman" w:cs="Times New Roman"/>
            <w:lang w:val="en-US"/>
          </w:rPr>
          <w:t>https://doi.org/</w:t>
        </w:r>
      </w:hyperlink>
      <w:r w:rsidRPr="003F70DB">
        <w:rPr>
          <w:rFonts w:ascii="Times New Roman" w:eastAsia="Times New Roman" w:hAnsi="Times New Roman" w:cs="Times New Roman"/>
          <w:lang w:val="en-US"/>
        </w:rPr>
        <w:t>10.18637/jss.v014.i03</w:t>
      </w:r>
    </w:p>
    <w:p w14:paraId="00000013" w14:textId="77777777" w:rsidR="00BA1A98" w:rsidRPr="003F70DB" w:rsidRDefault="00DD7B07">
      <w:pPr>
        <w:widowControl w:val="0"/>
        <w:tabs>
          <w:tab w:val="left" w:pos="142"/>
        </w:tabs>
        <w:spacing w:after="0" w:line="480" w:lineRule="auto"/>
        <w:ind w:left="482" w:hanging="482"/>
        <w:jc w:val="both"/>
        <w:rPr>
          <w:rFonts w:ascii="Times New Roman" w:eastAsia="Times New Roman" w:hAnsi="Times New Roman" w:cs="Times New Roman"/>
          <w:lang w:val="en-US"/>
        </w:rPr>
      </w:pPr>
      <w:r w:rsidRPr="003F70DB">
        <w:rPr>
          <w:rFonts w:ascii="Times New Roman" w:eastAsia="Times New Roman" w:hAnsi="Times New Roman" w:cs="Times New Roman"/>
          <w:lang w:val="en-US"/>
        </w:rPr>
        <w:t xml:space="preserve">Jenkins JMA,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Lesmeister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DB, Wiens JD, Kane JT, Kane VR and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Verschuyl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J (2019) Three-dimensional partitioning of resources by congeneric forest predators with recent sympatry. Nature: Scientific Reports 9:6036. </w:t>
      </w:r>
      <w:hyperlink r:id="rId10">
        <w:r w:rsidRPr="003F70DB">
          <w:rPr>
            <w:rFonts w:ascii="Times New Roman" w:eastAsia="Times New Roman" w:hAnsi="Times New Roman" w:cs="Times New Roman"/>
            <w:lang w:val="en-US"/>
          </w:rPr>
          <w:t>https://doi.org/10.1038/s41598-019-42426-0</w:t>
        </w:r>
      </w:hyperlink>
    </w:p>
    <w:p w14:paraId="00000014" w14:textId="77777777" w:rsidR="00BA1A98" w:rsidRPr="003F70DB" w:rsidRDefault="00DD7B07">
      <w:pPr>
        <w:widowControl w:val="0"/>
        <w:tabs>
          <w:tab w:val="left" w:pos="142"/>
        </w:tabs>
        <w:spacing w:after="0" w:line="480" w:lineRule="auto"/>
        <w:ind w:left="482" w:hanging="482"/>
        <w:jc w:val="both"/>
        <w:rPr>
          <w:lang w:val="en-US"/>
        </w:rPr>
      </w:pP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Vardakis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M,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Goos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P,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Adriaensen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F and </w:t>
      </w:r>
      <w:proofErr w:type="spellStart"/>
      <w:r w:rsidRPr="003F70DB">
        <w:rPr>
          <w:rFonts w:ascii="Times New Roman" w:eastAsia="Times New Roman" w:hAnsi="Times New Roman" w:cs="Times New Roman"/>
          <w:lang w:val="en-US"/>
        </w:rPr>
        <w:t>Matthysen</w:t>
      </w:r>
      <w:proofErr w:type="spellEnd"/>
      <w:r w:rsidRPr="003F70DB">
        <w:rPr>
          <w:rFonts w:ascii="Times New Roman" w:eastAsia="Times New Roman" w:hAnsi="Times New Roman" w:cs="Times New Roman"/>
          <w:lang w:val="en-US"/>
        </w:rPr>
        <w:t xml:space="preserve"> E (2015) Discrete choice modelling of natal dispersal: “Choosing” where to breed from a finite set of available areas. Methods in Ecology and Evolution, 6(9), 997–1006. https://doi.org/10.1111/2041-210X.12404</w:t>
      </w:r>
    </w:p>
    <w:sectPr w:rsidR="00BA1A98" w:rsidRPr="003F70DB">
      <w:footerReference w:type="default" r:id="rId11"/>
      <w:pgSz w:w="11906" w:h="16838"/>
      <w:pgMar w:top="1418" w:right="1701" w:bottom="1418" w:left="1701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BC597" w16cid:durableId="23ECA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578B" w14:textId="77777777" w:rsidR="00F40BC4" w:rsidRDefault="00F40BC4">
      <w:pPr>
        <w:spacing w:after="0" w:line="240" w:lineRule="auto"/>
      </w:pPr>
      <w:r>
        <w:separator/>
      </w:r>
    </w:p>
  </w:endnote>
  <w:endnote w:type="continuationSeparator" w:id="0">
    <w:p w14:paraId="1D210C48" w14:textId="77777777" w:rsidR="00F40BC4" w:rsidRDefault="00F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BA1A98" w:rsidRDefault="00DD7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 w:rsidR="00DF3520">
      <w:rPr>
        <w:rFonts w:eastAsia="Cambria"/>
        <w:noProof/>
        <w:color w:val="000000"/>
      </w:rPr>
      <w:t>2</w:t>
    </w:r>
    <w:r>
      <w:rPr>
        <w:rFonts w:eastAsia="Cambria"/>
        <w:color w:val="000000"/>
      </w:rPr>
      <w:fldChar w:fldCharType="end"/>
    </w:r>
  </w:p>
  <w:p w14:paraId="00000016" w14:textId="77777777" w:rsidR="00BA1A98" w:rsidRDefault="00BA1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mbria"/>
        <w:color w:val="000000"/>
      </w:rPr>
    </w:pPr>
  </w:p>
  <w:p w14:paraId="00000017" w14:textId="77777777" w:rsidR="00BA1A98" w:rsidRDefault="00BA1A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4F02" w14:textId="77777777" w:rsidR="00F40BC4" w:rsidRDefault="00F40BC4">
      <w:pPr>
        <w:spacing w:after="0" w:line="240" w:lineRule="auto"/>
      </w:pPr>
      <w:r>
        <w:separator/>
      </w:r>
    </w:p>
  </w:footnote>
  <w:footnote w:type="continuationSeparator" w:id="0">
    <w:p w14:paraId="56A1105D" w14:textId="77777777" w:rsidR="00F40BC4" w:rsidRDefault="00F4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8"/>
    <w:rsid w:val="00055AAD"/>
    <w:rsid w:val="000959D2"/>
    <w:rsid w:val="003F70DB"/>
    <w:rsid w:val="0067475A"/>
    <w:rsid w:val="00BA1A98"/>
    <w:rsid w:val="00C32359"/>
    <w:rsid w:val="00DD7B07"/>
    <w:rsid w:val="00DF3520"/>
    <w:rsid w:val="00F40BC4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004A3"/>
  <w15:docId w15:val="{FD4502D3-E0A3-486A-9863-2C67705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GB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DC"/>
    <w:rPr>
      <w:rFonts w:eastAsiaTheme="minorHAnsi"/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A856DC"/>
    <w:rPr>
      <w:rFonts w:eastAsiaTheme="minorHAnsi"/>
      <w:lang w:val="ca-ES"/>
    </w:rPr>
  </w:style>
  <w:style w:type="character" w:styleId="Hipervnculo">
    <w:name w:val="Hyperlink"/>
    <w:basedOn w:val="Fuentedeprrafopredeter"/>
    <w:uiPriority w:val="99"/>
    <w:unhideWhenUsed/>
    <w:rsid w:val="00A85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85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6DC"/>
    <w:rPr>
      <w:rFonts w:eastAsiaTheme="minorHAnsi"/>
      <w:sz w:val="22"/>
      <w:szCs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DC"/>
    <w:rPr>
      <w:rFonts w:ascii="Lucida Grande" w:eastAsiaTheme="minorHAnsi" w:hAnsi="Lucida Grande" w:cs="Lucida Grande"/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54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354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5461"/>
    <w:rPr>
      <w:rFonts w:eastAsiaTheme="minorHAnsi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54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5461"/>
    <w:rPr>
      <w:rFonts w:eastAsiaTheme="minorHAnsi"/>
      <w:b/>
      <w:bCs/>
      <w:sz w:val="20"/>
      <w:szCs w:val="20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7/1766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.melero@creaf.uab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38/s41598-019-42426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19-42426-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srTWFxxaW7+CpsFe3mo30kl8Q==">AMUW2mU6MdPIDZITZuRD5mS/n2666+xBp03jkQ8oTLnv3+kGUaQIlxDwlGP931YpY19NaoOvB2o8aGt1wFNxDv2h41PYDKXrlG4oFBH8Hv04N+hNIdufK2JQYfi327/HioHjm2BUq1ylUbJqUQZCbAVFVSxv1ENbLH82S/Q+4aYIjK17y5DQVhU3DmtIm4Gc0dhVw8OEB+uREAZQaEG9c3XjrYzEPTV3u1r0+5srgGYZJ4eyXo90RZTfyYre7EcjR1cZZPls8Y7+/L83GqN9QtIBRUUsUXxXhhDqp58sTrg7olbaTJPK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Melero</dc:creator>
  <cp:lastModifiedBy>Claudia  Pla-Narbona</cp:lastModifiedBy>
  <cp:revision>4</cp:revision>
  <dcterms:created xsi:type="dcterms:W3CDTF">2021-03-05T11:50:00Z</dcterms:created>
  <dcterms:modified xsi:type="dcterms:W3CDTF">2021-03-09T10:43:00Z</dcterms:modified>
</cp:coreProperties>
</file>