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F07" w:rsidRPr="009C3EBA" w:rsidRDefault="00CC1F07" w:rsidP="00CC1F07">
      <w:pPr>
        <w:spacing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55310446"/>
      <w:r w:rsidRPr="009C3EBA">
        <w:rPr>
          <w:rFonts w:ascii="Times New Roman" w:hAnsi="Times New Roman" w:cs="Times New Roman"/>
          <w:b/>
          <w:bCs/>
          <w:sz w:val="20"/>
          <w:szCs w:val="20"/>
        </w:rPr>
        <w:t>Supplementary material</w:t>
      </w:r>
    </w:p>
    <w:p w:rsidR="009C3EBA" w:rsidRPr="009C3EBA" w:rsidRDefault="009C3EBA" w:rsidP="00A40277">
      <w:pPr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_Hlk51363425"/>
      <w:bookmarkEnd w:id="0"/>
      <w:r w:rsidRPr="009C3EBA">
        <w:rPr>
          <w:rFonts w:ascii="Times New Roman" w:hAnsi="Times New Roman" w:cs="Times New Roman"/>
          <w:b/>
          <w:sz w:val="20"/>
          <w:szCs w:val="20"/>
        </w:rPr>
        <w:t>Methacrylic functionalized hybrid carbon nanomaterial for the selective adsorption and detection of progesterone in wastewater</w:t>
      </w:r>
    </w:p>
    <w:p w:rsidR="00A40277" w:rsidRPr="009C3EBA" w:rsidRDefault="00A40277" w:rsidP="00A40277">
      <w:pPr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3EBA">
        <w:rPr>
          <w:rFonts w:ascii="Times New Roman" w:hAnsi="Times New Roman" w:cs="Times New Roman"/>
          <w:b/>
          <w:sz w:val="20"/>
          <w:szCs w:val="20"/>
        </w:rPr>
        <w:t xml:space="preserve">Xia Cui </w:t>
      </w:r>
      <w:r w:rsidRPr="009C3EBA">
        <w:rPr>
          <w:rFonts w:ascii="Times New Roman" w:hAnsi="Times New Roman" w:cs="Times New Roman"/>
          <w:b/>
          <w:sz w:val="20"/>
          <w:szCs w:val="20"/>
          <w:vertAlign w:val="superscript"/>
        </w:rPr>
        <w:t>a, b</w:t>
      </w:r>
      <w:r w:rsidRPr="009C3EBA">
        <w:rPr>
          <w:rFonts w:ascii="Times New Roman" w:hAnsi="Times New Roman" w:cs="Times New Roman"/>
          <w:b/>
          <w:sz w:val="20"/>
          <w:szCs w:val="20"/>
        </w:rPr>
        <w:t xml:space="preserve">, Hua Shu </w:t>
      </w:r>
      <w:r w:rsidRPr="009C3EBA">
        <w:rPr>
          <w:rFonts w:ascii="Times New Roman" w:hAnsi="Times New Roman" w:cs="Times New Roman"/>
          <w:b/>
          <w:sz w:val="20"/>
          <w:szCs w:val="20"/>
          <w:vertAlign w:val="superscript"/>
        </w:rPr>
        <w:t>a, b</w:t>
      </w:r>
      <w:r w:rsidRPr="009C3EBA">
        <w:rPr>
          <w:rFonts w:ascii="Times New Roman" w:hAnsi="Times New Roman" w:cs="Times New Roman"/>
          <w:b/>
          <w:sz w:val="20"/>
          <w:szCs w:val="20"/>
        </w:rPr>
        <w:t xml:space="preserve">, Lu Wang </w:t>
      </w:r>
      <w:r w:rsidRPr="009C3EBA">
        <w:rPr>
          <w:rFonts w:ascii="Times New Roman" w:hAnsi="Times New Roman" w:cs="Times New Roman"/>
          <w:b/>
          <w:sz w:val="20"/>
          <w:szCs w:val="20"/>
          <w:vertAlign w:val="superscript"/>
        </w:rPr>
        <w:t>a, b</w:t>
      </w:r>
      <w:r w:rsidRPr="009C3EB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9C3EBA">
        <w:rPr>
          <w:rFonts w:ascii="Times New Roman" w:hAnsi="Times New Roman" w:cs="Times New Roman"/>
          <w:b/>
          <w:sz w:val="20"/>
          <w:szCs w:val="20"/>
        </w:rPr>
        <w:t>Guoning</w:t>
      </w:r>
      <w:proofErr w:type="spellEnd"/>
      <w:r w:rsidRPr="009C3EBA">
        <w:rPr>
          <w:rFonts w:ascii="Times New Roman" w:hAnsi="Times New Roman" w:cs="Times New Roman"/>
          <w:b/>
          <w:sz w:val="20"/>
          <w:szCs w:val="20"/>
        </w:rPr>
        <w:t xml:space="preserve"> Chen </w:t>
      </w:r>
      <w:r w:rsidRPr="009C3EBA">
        <w:rPr>
          <w:rFonts w:ascii="Times New Roman" w:hAnsi="Times New Roman" w:cs="Times New Roman"/>
          <w:b/>
          <w:sz w:val="20"/>
          <w:szCs w:val="20"/>
          <w:vertAlign w:val="superscript"/>
        </w:rPr>
        <w:t>a, b</w:t>
      </w:r>
      <w:r w:rsidRPr="009C3EB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9C3EBA">
        <w:rPr>
          <w:rFonts w:ascii="Times New Roman" w:hAnsi="Times New Roman" w:cs="Times New Roman"/>
          <w:b/>
          <w:sz w:val="20"/>
          <w:szCs w:val="20"/>
        </w:rPr>
        <w:t>Jili</w:t>
      </w:r>
      <w:proofErr w:type="spellEnd"/>
      <w:r w:rsidRPr="009C3EBA">
        <w:rPr>
          <w:rFonts w:ascii="Times New Roman" w:hAnsi="Times New Roman" w:cs="Times New Roman"/>
          <w:b/>
          <w:sz w:val="20"/>
          <w:szCs w:val="20"/>
        </w:rPr>
        <w:t xml:space="preserve"> Han </w:t>
      </w:r>
      <w:r w:rsidRPr="009C3EBA">
        <w:rPr>
          <w:rFonts w:ascii="Times New Roman" w:hAnsi="Times New Roman" w:cs="Times New Roman"/>
          <w:b/>
          <w:sz w:val="20"/>
          <w:szCs w:val="20"/>
          <w:vertAlign w:val="superscript"/>
        </w:rPr>
        <w:t>a, b</w:t>
      </w:r>
      <w:r w:rsidRPr="009C3EB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9C3EBA">
        <w:rPr>
          <w:rFonts w:ascii="Times New Roman" w:hAnsi="Times New Roman" w:cs="Times New Roman"/>
          <w:b/>
          <w:sz w:val="20"/>
          <w:szCs w:val="20"/>
        </w:rPr>
        <w:t>Qianqian</w:t>
      </w:r>
      <w:proofErr w:type="spellEnd"/>
      <w:r w:rsidRPr="009C3EBA">
        <w:rPr>
          <w:rFonts w:ascii="Times New Roman" w:hAnsi="Times New Roman" w:cs="Times New Roman"/>
          <w:b/>
          <w:sz w:val="20"/>
          <w:szCs w:val="20"/>
        </w:rPr>
        <w:t xml:space="preserve"> Hu </w:t>
      </w:r>
      <w:r w:rsidRPr="009C3EBA">
        <w:rPr>
          <w:rFonts w:ascii="Times New Roman" w:hAnsi="Times New Roman" w:cs="Times New Roman"/>
          <w:b/>
          <w:sz w:val="20"/>
          <w:szCs w:val="20"/>
          <w:vertAlign w:val="superscript"/>
        </w:rPr>
        <w:t>a, b</w:t>
      </w:r>
      <w:r w:rsidRPr="009C3EBA">
        <w:rPr>
          <w:rFonts w:ascii="Times New Roman" w:hAnsi="Times New Roman" w:cs="Times New Roman"/>
          <w:b/>
          <w:sz w:val="20"/>
          <w:szCs w:val="20"/>
        </w:rPr>
        <w:t xml:space="preserve">, Kamran Bashir </w:t>
      </w:r>
      <w:r w:rsidRPr="009C3EBA">
        <w:rPr>
          <w:rFonts w:ascii="Times New Roman" w:hAnsi="Times New Roman" w:cs="Times New Roman"/>
          <w:b/>
          <w:sz w:val="20"/>
          <w:szCs w:val="20"/>
          <w:vertAlign w:val="superscript"/>
        </w:rPr>
        <w:t>a, b</w:t>
      </w:r>
      <w:r w:rsidRPr="009C3EB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9C3EBA">
        <w:rPr>
          <w:rFonts w:ascii="Times New Roman" w:hAnsi="Times New Roman" w:cs="Times New Roman"/>
          <w:b/>
          <w:sz w:val="20"/>
          <w:szCs w:val="20"/>
        </w:rPr>
        <w:t>Zhimin</w:t>
      </w:r>
      <w:proofErr w:type="spellEnd"/>
      <w:r w:rsidRPr="009C3EBA">
        <w:rPr>
          <w:rFonts w:ascii="Times New Roman" w:hAnsi="Times New Roman" w:cs="Times New Roman"/>
          <w:b/>
          <w:sz w:val="20"/>
          <w:szCs w:val="20"/>
        </w:rPr>
        <w:t xml:space="preserve"> Luo </w:t>
      </w:r>
      <w:r w:rsidRPr="009C3EBA">
        <w:rPr>
          <w:rFonts w:ascii="Times New Roman" w:hAnsi="Times New Roman" w:cs="Times New Roman"/>
          <w:b/>
          <w:sz w:val="20"/>
          <w:szCs w:val="20"/>
          <w:vertAlign w:val="superscript"/>
        </w:rPr>
        <w:t>a, b</w:t>
      </w:r>
      <w:r w:rsidRPr="009C3EBA">
        <w:rPr>
          <w:rFonts w:ascii="Times New Roman" w:hAnsi="Times New Roman" w:cs="Times New Roman"/>
          <w:b/>
          <w:sz w:val="20"/>
          <w:szCs w:val="20"/>
        </w:rPr>
        <w:t xml:space="preserve">, Chun Chang </w:t>
      </w:r>
      <w:r w:rsidRPr="009C3EBA">
        <w:rPr>
          <w:rFonts w:ascii="Times New Roman" w:hAnsi="Times New Roman" w:cs="Times New Roman"/>
          <w:b/>
          <w:sz w:val="20"/>
          <w:szCs w:val="20"/>
          <w:vertAlign w:val="superscript"/>
        </w:rPr>
        <w:t>a, b</w:t>
      </w:r>
      <w:r w:rsidRPr="009C3EBA">
        <w:rPr>
          <w:rFonts w:ascii="Times New Roman" w:hAnsi="Times New Roman" w:cs="Times New Roman"/>
          <w:b/>
          <w:sz w:val="20"/>
          <w:szCs w:val="20"/>
        </w:rPr>
        <w:t xml:space="preserve">, Jia Zhang </w:t>
      </w:r>
      <w:r w:rsidRPr="009C3EBA">
        <w:rPr>
          <w:rFonts w:ascii="Times New Roman" w:hAnsi="Times New Roman" w:cs="Times New Roman"/>
          <w:b/>
          <w:sz w:val="20"/>
          <w:szCs w:val="20"/>
          <w:vertAlign w:val="superscript"/>
        </w:rPr>
        <w:t>c</w:t>
      </w:r>
      <w:r w:rsidRPr="009C3EB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9C3EBA">
        <w:rPr>
          <w:rFonts w:ascii="Times New Roman" w:hAnsi="Times New Roman" w:cs="Times New Roman"/>
          <w:b/>
          <w:sz w:val="20"/>
          <w:szCs w:val="20"/>
        </w:rPr>
        <w:t>Qiang</w:t>
      </w:r>
      <w:proofErr w:type="spellEnd"/>
      <w:r w:rsidRPr="009C3EBA">
        <w:rPr>
          <w:rFonts w:ascii="Times New Roman" w:hAnsi="Times New Roman" w:cs="Times New Roman"/>
          <w:b/>
          <w:sz w:val="20"/>
          <w:szCs w:val="20"/>
        </w:rPr>
        <w:t xml:space="preserve"> Fu </w:t>
      </w:r>
      <w:r w:rsidRPr="009C3EBA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a, b, </w:t>
      </w:r>
      <w:r w:rsidR="00F06AB2" w:rsidRPr="009C3EBA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c </w:t>
      </w:r>
      <w:r w:rsidRPr="009C3EBA">
        <w:rPr>
          <w:rFonts w:ascii="Times New Roman" w:hAnsi="Times New Roman" w:cs="Times New Roman"/>
          <w:b/>
          <w:sz w:val="20"/>
          <w:szCs w:val="20"/>
        </w:rPr>
        <w:t>*.</w:t>
      </w:r>
    </w:p>
    <w:p w:rsidR="00A40277" w:rsidRPr="009C3EBA" w:rsidRDefault="00A40277" w:rsidP="00A40277">
      <w:pPr>
        <w:autoSpaceDE w:val="0"/>
        <w:autoSpaceDN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C3EBA"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 w:rsidRPr="009C3EBA">
        <w:rPr>
          <w:rFonts w:ascii="Times New Roman" w:hAnsi="Times New Roman" w:cs="Times New Roman"/>
          <w:sz w:val="20"/>
          <w:szCs w:val="20"/>
        </w:rPr>
        <w:t xml:space="preserve">Department of Pharmaceutical Analysis, School of Pharmacy, Xi’an </w:t>
      </w:r>
      <w:proofErr w:type="spellStart"/>
      <w:r w:rsidRPr="009C3EBA">
        <w:rPr>
          <w:rFonts w:ascii="Times New Roman" w:hAnsi="Times New Roman" w:cs="Times New Roman"/>
          <w:sz w:val="20"/>
          <w:szCs w:val="20"/>
        </w:rPr>
        <w:t>Jiaotong</w:t>
      </w:r>
      <w:proofErr w:type="spellEnd"/>
      <w:r w:rsidRPr="009C3EBA">
        <w:rPr>
          <w:rFonts w:ascii="Times New Roman" w:hAnsi="Times New Roman" w:cs="Times New Roman"/>
          <w:sz w:val="20"/>
          <w:szCs w:val="20"/>
        </w:rPr>
        <w:t xml:space="preserve"> University, Xi’an 710061, China</w:t>
      </w:r>
    </w:p>
    <w:p w:rsidR="00A40277" w:rsidRPr="009C3EBA" w:rsidRDefault="00A40277" w:rsidP="00A40277">
      <w:pPr>
        <w:autoSpaceDE w:val="0"/>
        <w:autoSpaceDN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C3EBA">
        <w:rPr>
          <w:rFonts w:ascii="Times New Roman" w:hAnsi="Times New Roman" w:cs="Times New Roman"/>
          <w:sz w:val="20"/>
          <w:szCs w:val="20"/>
          <w:vertAlign w:val="superscript"/>
        </w:rPr>
        <w:t xml:space="preserve">b </w:t>
      </w:r>
      <w:r w:rsidRPr="009C3EBA">
        <w:rPr>
          <w:rFonts w:ascii="Times New Roman" w:hAnsi="Times New Roman" w:cs="Times New Roman"/>
          <w:sz w:val="20"/>
          <w:szCs w:val="20"/>
        </w:rPr>
        <w:t xml:space="preserve">Institute of Drug Safety and Monitoring, Academy of Pharmaceutical Science and Technology, Xi’an </w:t>
      </w:r>
      <w:proofErr w:type="spellStart"/>
      <w:r w:rsidRPr="009C3EBA">
        <w:rPr>
          <w:rFonts w:ascii="Times New Roman" w:hAnsi="Times New Roman" w:cs="Times New Roman"/>
          <w:sz w:val="20"/>
          <w:szCs w:val="20"/>
        </w:rPr>
        <w:t>Jiaotong</w:t>
      </w:r>
      <w:proofErr w:type="spellEnd"/>
      <w:r w:rsidRPr="009C3EBA">
        <w:rPr>
          <w:rFonts w:ascii="Times New Roman" w:hAnsi="Times New Roman" w:cs="Times New Roman"/>
          <w:sz w:val="20"/>
          <w:szCs w:val="20"/>
        </w:rPr>
        <w:t xml:space="preserve"> University, Xi’an 710061, China</w:t>
      </w:r>
    </w:p>
    <w:p w:rsidR="00A40277" w:rsidRPr="009C3EBA" w:rsidRDefault="00A40277" w:rsidP="00A40277">
      <w:pPr>
        <w:autoSpaceDE w:val="0"/>
        <w:autoSpaceDN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C3EBA">
        <w:rPr>
          <w:rFonts w:ascii="Times New Roman" w:hAnsi="Times New Roman" w:cs="Times New Roman"/>
          <w:sz w:val="20"/>
          <w:szCs w:val="20"/>
          <w:vertAlign w:val="superscript"/>
        </w:rPr>
        <w:t xml:space="preserve">c </w:t>
      </w:r>
      <w:r w:rsidRPr="009C3EBA">
        <w:rPr>
          <w:rFonts w:ascii="Times New Roman" w:hAnsi="Times New Roman" w:cs="Times New Roman"/>
          <w:sz w:val="20"/>
          <w:szCs w:val="20"/>
        </w:rPr>
        <w:t xml:space="preserve">Shaanxi </w:t>
      </w:r>
      <w:proofErr w:type="spellStart"/>
      <w:r w:rsidRPr="009C3EBA">
        <w:rPr>
          <w:rFonts w:ascii="Times New Roman" w:hAnsi="Times New Roman" w:cs="Times New Roman"/>
          <w:sz w:val="20"/>
          <w:szCs w:val="20"/>
        </w:rPr>
        <w:t>Hanjiang</w:t>
      </w:r>
      <w:proofErr w:type="spellEnd"/>
      <w:r w:rsidRPr="009C3EBA">
        <w:rPr>
          <w:rFonts w:ascii="Times New Roman" w:hAnsi="Times New Roman" w:cs="Times New Roman"/>
          <w:sz w:val="20"/>
          <w:szCs w:val="20"/>
        </w:rPr>
        <w:t xml:space="preserve"> Pharmaceutical Group Co., Ltd, </w:t>
      </w:r>
      <w:proofErr w:type="spellStart"/>
      <w:r w:rsidRPr="009C3EBA">
        <w:rPr>
          <w:rFonts w:ascii="Times New Roman" w:hAnsi="Times New Roman" w:cs="Times New Roman"/>
          <w:sz w:val="20"/>
          <w:szCs w:val="20"/>
        </w:rPr>
        <w:t>Hanzhong</w:t>
      </w:r>
      <w:proofErr w:type="spellEnd"/>
      <w:r w:rsidRPr="009C3EBA">
        <w:rPr>
          <w:rFonts w:ascii="Times New Roman" w:hAnsi="Times New Roman" w:cs="Times New Roman"/>
          <w:sz w:val="20"/>
          <w:szCs w:val="20"/>
        </w:rPr>
        <w:t xml:space="preserve"> 723000, China</w:t>
      </w:r>
    </w:p>
    <w:p w:rsidR="00A40277" w:rsidRPr="009C3EBA" w:rsidRDefault="00A40277" w:rsidP="00A40277">
      <w:pPr>
        <w:autoSpaceDE w:val="0"/>
        <w:autoSpaceDN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C3EBA">
        <w:rPr>
          <w:rFonts w:ascii="Times New Roman" w:hAnsi="Times New Roman" w:cs="Times New Roman"/>
          <w:sz w:val="20"/>
          <w:szCs w:val="20"/>
        </w:rPr>
        <w:t xml:space="preserve">*Corresponding author at: Department of Pharmaceutical Analysis, School of Pharmacy, Xi’an </w:t>
      </w:r>
      <w:proofErr w:type="spellStart"/>
      <w:r w:rsidRPr="009C3EBA">
        <w:rPr>
          <w:rFonts w:ascii="Times New Roman" w:hAnsi="Times New Roman" w:cs="Times New Roman"/>
          <w:sz w:val="20"/>
          <w:szCs w:val="20"/>
        </w:rPr>
        <w:t>Jiaotong</w:t>
      </w:r>
      <w:proofErr w:type="spellEnd"/>
      <w:r w:rsidRPr="009C3EBA">
        <w:rPr>
          <w:rFonts w:ascii="Times New Roman" w:hAnsi="Times New Roman" w:cs="Times New Roman"/>
          <w:sz w:val="20"/>
          <w:szCs w:val="20"/>
        </w:rPr>
        <w:t xml:space="preserve"> University, Xi’an 710061, China, and Institute of Drug Safety and Monitoring, Academy of Pharmaceutical Science and Technology, Xi’an </w:t>
      </w:r>
      <w:proofErr w:type="spellStart"/>
      <w:r w:rsidRPr="009C3EBA">
        <w:rPr>
          <w:rFonts w:ascii="Times New Roman" w:hAnsi="Times New Roman" w:cs="Times New Roman"/>
          <w:sz w:val="20"/>
          <w:szCs w:val="20"/>
        </w:rPr>
        <w:t>Jiaotong</w:t>
      </w:r>
      <w:proofErr w:type="spellEnd"/>
      <w:r w:rsidRPr="009C3EBA">
        <w:rPr>
          <w:rFonts w:ascii="Times New Roman" w:hAnsi="Times New Roman" w:cs="Times New Roman"/>
          <w:sz w:val="20"/>
          <w:szCs w:val="20"/>
        </w:rPr>
        <w:t xml:space="preserve"> University, Xi’an 710061, China</w:t>
      </w:r>
    </w:p>
    <w:p w:rsidR="00A40277" w:rsidRDefault="00A40277" w:rsidP="00A40277">
      <w:pPr>
        <w:autoSpaceDE w:val="0"/>
        <w:autoSpaceDN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C3EBA">
        <w:rPr>
          <w:rFonts w:ascii="Times New Roman" w:hAnsi="Times New Roman" w:cs="Times New Roman"/>
          <w:sz w:val="20"/>
          <w:szCs w:val="20"/>
        </w:rPr>
        <w:t>E-mail address: fuqiang@mail.xjtu.edu.cn (Q. Fu)</w:t>
      </w:r>
    </w:p>
    <w:p w:rsidR="009C3EBA" w:rsidRPr="009C3EBA" w:rsidRDefault="009C3EBA" w:rsidP="00A40277">
      <w:pPr>
        <w:autoSpaceDE w:val="0"/>
        <w:autoSpaceDN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C3EBA">
        <w:rPr>
          <w:rFonts w:ascii="Times New Roman" w:hAnsi="Times New Roman" w:cs="Times New Roman"/>
          <w:sz w:val="20"/>
          <w:szCs w:val="20"/>
        </w:rPr>
        <w:t>Telephone and fax number: 029-82655382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40277" w:rsidRPr="009C3EBA" w:rsidRDefault="00A40277" w:rsidP="00A40277">
      <w:pPr>
        <w:rPr>
          <w:rFonts w:ascii="Times New Roman" w:hAnsi="Times New Roman" w:cs="Times New Roman"/>
          <w:b/>
          <w:sz w:val="20"/>
          <w:szCs w:val="20"/>
        </w:rPr>
      </w:pPr>
      <w:r w:rsidRPr="009C3EBA">
        <w:rPr>
          <w:rFonts w:ascii="Times New Roman" w:hAnsi="Times New Roman" w:cs="Times New Roman"/>
          <w:b/>
          <w:sz w:val="20"/>
          <w:szCs w:val="20"/>
        </w:rPr>
        <w:br w:type="page"/>
      </w:r>
      <w:bookmarkEnd w:id="1"/>
    </w:p>
    <w:p w:rsidR="006B0A03" w:rsidRPr="009C3EBA" w:rsidRDefault="006B0A03">
      <w:pPr>
        <w:rPr>
          <w:rFonts w:ascii="Times New Roman" w:hAnsi="Times New Roman" w:cs="Times New Roman"/>
          <w:sz w:val="20"/>
          <w:szCs w:val="20"/>
        </w:rPr>
      </w:pPr>
      <w:r w:rsidRPr="009C3EBA">
        <w:rPr>
          <w:rFonts w:ascii="Times New Roman" w:hAnsi="Times New Roman" w:cs="Times New Roman"/>
          <w:sz w:val="20"/>
          <w:szCs w:val="20"/>
        </w:rPr>
        <w:lastRenderedPageBreak/>
        <w:t xml:space="preserve">The preparation of CNT@CS: </w:t>
      </w:r>
    </w:p>
    <w:p w:rsidR="006A32B4" w:rsidRPr="009C3EBA" w:rsidRDefault="006B0A03" w:rsidP="006B0A03">
      <w:pPr>
        <w:ind w:firstLineChars="200" w:firstLine="400"/>
        <w:rPr>
          <w:rFonts w:ascii="Times New Roman" w:eastAsia="宋体" w:hAnsi="Times New Roman" w:cs="Times New Roman"/>
          <w:sz w:val="20"/>
          <w:szCs w:val="20"/>
        </w:rPr>
      </w:pPr>
      <w:r w:rsidRPr="009C3EBA">
        <w:rPr>
          <w:rFonts w:ascii="Times New Roman" w:hAnsi="Times New Roman" w:cs="Times New Roman"/>
          <w:sz w:val="20"/>
          <w:szCs w:val="20"/>
        </w:rPr>
        <w:t>C</w:t>
      </w:r>
      <w:r w:rsidR="00B16A86" w:rsidRPr="009C3EBA">
        <w:rPr>
          <w:rFonts w:ascii="Times New Roman" w:hAnsi="Times New Roman" w:cs="Times New Roman"/>
          <w:sz w:val="20"/>
          <w:szCs w:val="20"/>
        </w:rPr>
        <w:t>NT@CS</w:t>
      </w:r>
      <w:r w:rsidR="0058238E" w:rsidRPr="009C3EBA">
        <w:rPr>
          <w:rFonts w:ascii="Times New Roman" w:hAnsi="Times New Roman" w:cs="Times New Roman"/>
          <w:sz w:val="20"/>
          <w:szCs w:val="20"/>
        </w:rPr>
        <w:t xml:space="preserve"> complex</w:t>
      </w:r>
      <w:r w:rsidR="00B16A86" w:rsidRPr="009C3EBA">
        <w:rPr>
          <w:rFonts w:ascii="Times New Roman" w:hAnsi="Times New Roman" w:cs="Times New Roman"/>
          <w:sz w:val="20"/>
          <w:szCs w:val="20"/>
        </w:rPr>
        <w:t xml:space="preserve"> w</w:t>
      </w:r>
      <w:r w:rsidR="0058238E" w:rsidRPr="009C3EBA">
        <w:rPr>
          <w:rFonts w:ascii="Times New Roman" w:hAnsi="Times New Roman" w:cs="Times New Roman"/>
          <w:sz w:val="20"/>
          <w:szCs w:val="20"/>
        </w:rPr>
        <w:t>as</w:t>
      </w:r>
      <w:r w:rsidR="00B16A86" w:rsidRPr="009C3EBA">
        <w:rPr>
          <w:rFonts w:ascii="Times New Roman" w:hAnsi="Times New Roman" w:cs="Times New Roman"/>
          <w:sz w:val="20"/>
          <w:szCs w:val="20"/>
        </w:rPr>
        <w:t xml:space="preserve"> synthesized using </w:t>
      </w:r>
      <w:r w:rsidR="00A40277" w:rsidRPr="009C3EBA">
        <w:rPr>
          <w:rFonts w:ascii="Times New Roman" w:hAnsi="Times New Roman" w:cs="Times New Roman"/>
          <w:sz w:val="20"/>
          <w:szCs w:val="20"/>
        </w:rPr>
        <w:t>our</w:t>
      </w:r>
      <w:r w:rsidR="00B16A86" w:rsidRPr="009C3EBA">
        <w:rPr>
          <w:rFonts w:ascii="Times New Roman" w:hAnsi="Times New Roman" w:cs="Times New Roman"/>
          <w:sz w:val="20"/>
          <w:szCs w:val="20"/>
        </w:rPr>
        <w:t xml:space="preserve"> previously reported procedure with slight modification. Typically,</w:t>
      </w:r>
      <w:r w:rsidR="00151EFA" w:rsidRPr="009C3EBA">
        <w:rPr>
          <w:rFonts w:ascii="Times New Roman" w:hAnsi="Times New Roman" w:cs="Times New Roman"/>
          <w:sz w:val="20"/>
          <w:szCs w:val="20"/>
        </w:rPr>
        <w:t xml:space="preserve"> 100 mg of chitosan powder was dissolved in 100 mL acetic acid </w:t>
      </w:r>
      <w:r w:rsidR="00151EFA" w:rsidRPr="009C3EBA">
        <w:rPr>
          <w:rFonts w:ascii="Times New Roman" w:hAnsi="Times New Roman" w:cs="Times New Roman"/>
          <w:color w:val="000000"/>
          <w:sz w:val="20"/>
          <w:szCs w:val="20"/>
        </w:rPr>
        <w:t>aqueous</w:t>
      </w:r>
      <w:r w:rsidR="00151EFA" w:rsidRPr="009C3EBA">
        <w:rPr>
          <w:rFonts w:ascii="Times New Roman" w:hAnsi="Times New Roman" w:cs="Times New Roman"/>
          <w:sz w:val="20"/>
          <w:szCs w:val="20"/>
        </w:rPr>
        <w:t xml:space="preserve"> solution (1%) and stirred to dissolve. After adding 1.0 g CNTs, the solution was homogenized by ultrasound for 15 minutes. Subsequently, glutaraldehyde (25%) was added</w:t>
      </w:r>
      <w:r w:rsidR="00A40277" w:rsidRPr="009C3EBA">
        <w:rPr>
          <w:rFonts w:ascii="Times New Roman" w:hAnsi="Times New Roman" w:cs="Times New Roman"/>
          <w:sz w:val="20"/>
          <w:szCs w:val="20"/>
        </w:rPr>
        <w:t xml:space="preserve"> as a crosslinking agent</w:t>
      </w:r>
      <w:r w:rsidR="00151EFA" w:rsidRPr="009C3EBA">
        <w:rPr>
          <w:rFonts w:ascii="Times New Roman" w:hAnsi="Times New Roman" w:cs="Times New Roman"/>
          <w:sz w:val="20"/>
          <w:szCs w:val="20"/>
        </w:rPr>
        <w:t xml:space="preserve"> and the mixture was stirred for 3 h at room temperature. The obtained products were washed several times with</w:t>
      </w:r>
      <w:r w:rsidR="00151EFA" w:rsidRPr="009C3EB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51EFA" w:rsidRPr="009C3EBA">
        <w:rPr>
          <w:rFonts w:ascii="Times New Roman" w:hAnsi="Times New Roman" w:cs="Times New Roman"/>
          <w:sz w:val="20"/>
          <w:szCs w:val="20"/>
        </w:rPr>
        <w:t xml:space="preserve">purified water and dried overnight in the oven at 50 </w:t>
      </w:r>
      <w:r w:rsidR="00151EFA" w:rsidRPr="009C3EBA">
        <w:rPr>
          <w:rFonts w:ascii="Times New Roman" w:eastAsia="宋体" w:hAnsi="Times New Roman" w:cs="Times New Roman"/>
          <w:sz w:val="20"/>
          <w:szCs w:val="20"/>
        </w:rPr>
        <w:t>℃.</w:t>
      </w:r>
    </w:p>
    <w:p w:rsidR="008E1CA4" w:rsidRPr="009C3EBA" w:rsidRDefault="008E1CA4">
      <w:pPr>
        <w:widowControl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9C3EBA">
        <w:rPr>
          <w:rFonts w:ascii="Times New Roman" w:eastAsia="宋体" w:hAnsi="Times New Roman" w:cs="Times New Roman"/>
          <w:sz w:val="20"/>
          <w:szCs w:val="20"/>
        </w:rPr>
        <w:br w:type="page"/>
      </w:r>
    </w:p>
    <w:p w:rsidR="00EE3913" w:rsidRPr="009C3EBA" w:rsidRDefault="00464913">
      <w:pPr>
        <w:rPr>
          <w:rFonts w:ascii="Times New Roman" w:eastAsia="宋体" w:hAnsi="Times New Roman" w:cs="Times New Roman"/>
          <w:sz w:val="20"/>
          <w:szCs w:val="20"/>
        </w:rPr>
      </w:pPr>
      <w:r w:rsidRPr="009C3EBA">
        <w:rPr>
          <w:rFonts w:ascii="Times New Roman" w:eastAsia="宋体" w:hAnsi="Times New Roman" w:cs="Times New Roman"/>
          <w:sz w:val="20"/>
          <w:szCs w:val="20"/>
        </w:rPr>
        <w:lastRenderedPageBreak/>
        <w:t>Supplementary Table 1-2</w:t>
      </w:r>
    </w:p>
    <w:p w:rsidR="00464913" w:rsidRPr="009C3EBA" w:rsidRDefault="00464913">
      <w:pPr>
        <w:rPr>
          <w:rFonts w:ascii="Times New Roman" w:eastAsia="宋体" w:hAnsi="Times New Roman" w:cs="Times New Roman"/>
          <w:sz w:val="20"/>
          <w:szCs w:val="20"/>
        </w:rPr>
      </w:pPr>
    </w:p>
    <w:p w:rsidR="00EE3913" w:rsidRPr="009C3EBA" w:rsidRDefault="00EE3913" w:rsidP="00EE3913">
      <w:pPr>
        <w:jc w:val="left"/>
        <w:rPr>
          <w:rFonts w:ascii="Times New Roman" w:hAnsi="Times New Roman" w:cs="Times New Roman"/>
          <w:sz w:val="20"/>
          <w:szCs w:val="20"/>
        </w:rPr>
      </w:pPr>
      <w:r w:rsidRPr="009C3EBA">
        <w:rPr>
          <w:rFonts w:ascii="Times New Roman" w:hAnsi="Times New Roman" w:cs="Times New Roman"/>
          <w:sz w:val="20"/>
          <w:szCs w:val="20"/>
        </w:rPr>
        <w:t xml:space="preserve">Table S1 Optimization of the amount of MAA </w:t>
      </w:r>
    </w:p>
    <w:tbl>
      <w:tblPr>
        <w:tblStyle w:val="ab"/>
        <w:tblpPr w:leftFromText="180" w:rightFromText="180" w:vertAnchor="text" w:horzAnchor="margin" w:tblpY="213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1417"/>
        <w:gridCol w:w="1276"/>
        <w:gridCol w:w="1276"/>
        <w:gridCol w:w="1559"/>
      </w:tblGrid>
      <w:tr w:rsidR="00EE3913" w:rsidRPr="009C3EBA" w:rsidTr="00EC3F72">
        <w:trPr>
          <w:trHeight w:val="67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3913" w:rsidRPr="009C3EBA" w:rsidRDefault="00EE3913" w:rsidP="00EC3F7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3913" w:rsidRPr="009C3EBA" w:rsidRDefault="00EE3913" w:rsidP="00EC3F7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Ratio of CNT@CS to MAA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3913" w:rsidRPr="009C3EBA" w:rsidRDefault="00EE3913" w:rsidP="00EC3F7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CNT@CS (mg)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3913" w:rsidRPr="009C3EBA" w:rsidRDefault="00EE3913" w:rsidP="00EC3F7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MAA (mg)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3913" w:rsidRPr="009C3EBA" w:rsidRDefault="00EE3913" w:rsidP="00EC3F7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EGDMA (mg)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3913" w:rsidRPr="009C3EBA" w:rsidRDefault="00EE3913" w:rsidP="00EC3F7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</w:t>
            </w:r>
          </w:p>
          <w:p w:rsidR="00EE3913" w:rsidRPr="009C3EBA" w:rsidRDefault="00EE3913" w:rsidP="00EC3F7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(mg/g)</w:t>
            </w:r>
          </w:p>
        </w:tc>
      </w:tr>
      <w:tr w:rsidR="00EE3913" w:rsidRPr="009C3EBA" w:rsidTr="00EC3F72">
        <w:trPr>
          <w:trHeight w:val="378"/>
        </w:trPr>
        <w:tc>
          <w:tcPr>
            <w:tcW w:w="1134" w:type="dxa"/>
            <w:tcBorders>
              <w:top w:val="single" w:sz="12" w:space="0" w:color="auto"/>
            </w:tcBorders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2:1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11.67</w:t>
            </w:r>
          </w:p>
        </w:tc>
      </w:tr>
      <w:tr w:rsidR="00EE3913" w:rsidRPr="009C3EBA" w:rsidTr="00EC3F72">
        <w:trPr>
          <w:trHeight w:val="378"/>
        </w:trPr>
        <w:tc>
          <w:tcPr>
            <w:tcW w:w="1134" w:type="dxa"/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1417" w:type="dxa"/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11.77</w:t>
            </w:r>
          </w:p>
        </w:tc>
      </w:tr>
      <w:tr w:rsidR="00EE3913" w:rsidRPr="009C3EBA" w:rsidTr="00EC3F72">
        <w:trPr>
          <w:trHeight w:val="378"/>
        </w:trPr>
        <w:tc>
          <w:tcPr>
            <w:tcW w:w="1134" w:type="dxa"/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1417" w:type="dxa"/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13.39</w:t>
            </w:r>
          </w:p>
        </w:tc>
      </w:tr>
      <w:tr w:rsidR="00EE3913" w:rsidRPr="009C3EBA" w:rsidTr="00EC3F72">
        <w:trPr>
          <w:trHeight w:val="378"/>
        </w:trPr>
        <w:tc>
          <w:tcPr>
            <w:tcW w:w="1134" w:type="dxa"/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1417" w:type="dxa"/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</w:tc>
      </w:tr>
      <w:tr w:rsidR="00EE3913" w:rsidRPr="009C3EBA" w:rsidTr="00EC3F72">
        <w:trPr>
          <w:trHeight w:val="378"/>
        </w:trPr>
        <w:tc>
          <w:tcPr>
            <w:tcW w:w="1134" w:type="dxa"/>
            <w:tcBorders>
              <w:bottom w:val="single" w:sz="12" w:space="0" w:color="auto"/>
            </w:tcBorders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1:6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</w:tr>
    </w:tbl>
    <w:p w:rsidR="008E1CA4" w:rsidRPr="009C3EBA" w:rsidRDefault="008E1CA4" w:rsidP="00EE3913">
      <w:pPr>
        <w:rPr>
          <w:rFonts w:ascii="Times New Roman" w:hAnsi="Times New Roman" w:cs="Times New Roman"/>
          <w:sz w:val="20"/>
          <w:szCs w:val="20"/>
        </w:rPr>
      </w:pPr>
    </w:p>
    <w:p w:rsidR="008E1CA4" w:rsidRPr="009C3EBA" w:rsidRDefault="008E1CA4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9C3EBA">
        <w:rPr>
          <w:rFonts w:ascii="Times New Roman" w:hAnsi="Times New Roman" w:cs="Times New Roman"/>
          <w:sz w:val="20"/>
          <w:szCs w:val="20"/>
        </w:rPr>
        <w:br w:type="page"/>
      </w:r>
    </w:p>
    <w:p w:rsidR="00EE3913" w:rsidRPr="009C3EBA" w:rsidRDefault="00EE3913" w:rsidP="00EE3913">
      <w:pPr>
        <w:rPr>
          <w:rFonts w:ascii="Times New Roman" w:hAnsi="Times New Roman" w:cs="Times New Roman"/>
          <w:sz w:val="20"/>
          <w:szCs w:val="20"/>
        </w:rPr>
      </w:pPr>
    </w:p>
    <w:p w:rsidR="00EE3913" w:rsidRPr="009C3EBA" w:rsidRDefault="00EE3913" w:rsidP="00EE3913">
      <w:pPr>
        <w:jc w:val="left"/>
        <w:rPr>
          <w:rFonts w:ascii="Times New Roman" w:hAnsi="Times New Roman" w:cs="Times New Roman"/>
          <w:sz w:val="20"/>
          <w:szCs w:val="20"/>
        </w:rPr>
      </w:pPr>
      <w:r w:rsidRPr="009C3EBA">
        <w:rPr>
          <w:rFonts w:ascii="Times New Roman" w:hAnsi="Times New Roman" w:cs="Times New Roman"/>
          <w:sz w:val="20"/>
          <w:szCs w:val="20"/>
        </w:rPr>
        <w:t>Table S2 Optimization of the amount of EGDMA</w:t>
      </w:r>
    </w:p>
    <w:tbl>
      <w:tblPr>
        <w:tblStyle w:val="ab"/>
        <w:tblpPr w:leftFromText="180" w:rightFromText="180" w:vertAnchor="text" w:horzAnchor="margin" w:tblpY="213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1774"/>
        <w:gridCol w:w="1337"/>
        <w:gridCol w:w="1202"/>
        <w:gridCol w:w="1123"/>
        <w:gridCol w:w="1134"/>
        <w:gridCol w:w="1134"/>
      </w:tblGrid>
      <w:tr w:rsidR="00EE3913" w:rsidRPr="009C3EBA" w:rsidTr="00EC3F72">
        <w:trPr>
          <w:trHeight w:val="679"/>
        </w:trPr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3913" w:rsidRPr="009C3EBA" w:rsidRDefault="00EE3913" w:rsidP="00EC3F7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3913" w:rsidRPr="009C3EBA" w:rsidRDefault="00EE3913" w:rsidP="00EC3F7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Ratio of CNT@CS to MAA</w:t>
            </w:r>
          </w:p>
        </w:tc>
        <w:tc>
          <w:tcPr>
            <w:tcW w:w="133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3913" w:rsidRPr="009C3EBA" w:rsidRDefault="00EE3913" w:rsidP="00EC3F7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CNT@CS (mg)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3913" w:rsidRPr="009C3EBA" w:rsidRDefault="00EE3913" w:rsidP="00EC3F7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EGDMA (mg)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3913" w:rsidRPr="009C3EBA" w:rsidRDefault="00EE3913" w:rsidP="00EC3F7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</w:t>
            </w:r>
          </w:p>
          <w:p w:rsidR="00EE3913" w:rsidRPr="009C3EBA" w:rsidRDefault="00EE3913" w:rsidP="00EC3F7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(mg/g)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913" w:rsidRPr="009C3EBA" w:rsidRDefault="00EE3913" w:rsidP="00EC3F72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</w:pPr>
            <w:r w:rsidRPr="009C3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</w:t>
            </w:r>
            <w:r w:rsidRPr="009C3EBA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>E</w:t>
            </w:r>
          </w:p>
          <w:p w:rsidR="00EE3913" w:rsidRPr="009C3EBA" w:rsidRDefault="00EE3913" w:rsidP="00EC3F72">
            <w:pPr>
              <w:jc w:val="center"/>
              <w:textAlignment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iCs/>
                <w:sz w:val="20"/>
                <w:szCs w:val="20"/>
              </w:rPr>
              <w:t>(mg/g)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913" w:rsidRPr="009C3EBA" w:rsidRDefault="00EE3913" w:rsidP="00EC3F72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</w:t>
            </w:r>
            <w:r w:rsidRPr="009C3EBA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>P4/E</w:t>
            </w:r>
          </w:p>
        </w:tc>
      </w:tr>
      <w:tr w:rsidR="00EE3913" w:rsidRPr="009C3EBA" w:rsidTr="00EC3F72">
        <w:trPr>
          <w:trHeight w:val="378"/>
        </w:trPr>
        <w:tc>
          <w:tcPr>
            <w:tcW w:w="1085" w:type="dxa"/>
            <w:tcBorders>
              <w:top w:val="single" w:sz="12" w:space="0" w:color="auto"/>
            </w:tcBorders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4" w:type="dxa"/>
            <w:tcBorders>
              <w:top w:val="single" w:sz="12" w:space="0" w:color="auto"/>
            </w:tcBorders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1337" w:type="dxa"/>
            <w:tcBorders>
              <w:top w:val="single" w:sz="12" w:space="0" w:color="auto"/>
            </w:tcBorders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16.75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</w:tr>
      <w:tr w:rsidR="00EE3913" w:rsidRPr="009C3EBA" w:rsidTr="00EC3F72">
        <w:trPr>
          <w:trHeight w:val="378"/>
        </w:trPr>
        <w:tc>
          <w:tcPr>
            <w:tcW w:w="1085" w:type="dxa"/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4" w:type="dxa"/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1337" w:type="dxa"/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2" w:type="dxa"/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3" w:type="dxa"/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14.33</w:t>
            </w:r>
          </w:p>
        </w:tc>
        <w:tc>
          <w:tcPr>
            <w:tcW w:w="1134" w:type="dxa"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6.86</w:t>
            </w:r>
          </w:p>
        </w:tc>
        <w:tc>
          <w:tcPr>
            <w:tcW w:w="1134" w:type="dxa"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</w:tr>
      <w:tr w:rsidR="00EE3913" w:rsidRPr="009C3EBA" w:rsidTr="00EC3F72">
        <w:trPr>
          <w:trHeight w:val="378"/>
        </w:trPr>
        <w:tc>
          <w:tcPr>
            <w:tcW w:w="1085" w:type="dxa"/>
            <w:tcBorders>
              <w:bottom w:val="single" w:sz="12" w:space="0" w:color="auto"/>
            </w:tcBorders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4" w:type="dxa"/>
            <w:tcBorders>
              <w:bottom w:val="single" w:sz="12" w:space="0" w:color="auto"/>
            </w:tcBorders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1337" w:type="dxa"/>
            <w:tcBorders>
              <w:bottom w:val="single" w:sz="12" w:space="0" w:color="auto"/>
            </w:tcBorders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hideMark/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13.31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6.26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3913" w:rsidRPr="009C3EBA" w:rsidRDefault="00EE3913" w:rsidP="00EC3F72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BA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</w:tr>
    </w:tbl>
    <w:p w:rsidR="00EE3913" w:rsidRPr="009C3EBA" w:rsidRDefault="004258AD" w:rsidP="004258AD">
      <w:pPr>
        <w:autoSpaceDE w:val="0"/>
        <w:autoSpaceDN w:val="0"/>
        <w:adjustRightInd w:val="0"/>
        <w:ind w:firstLineChars="200" w:firstLine="40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C3E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 w:type="page"/>
      </w:r>
    </w:p>
    <w:p w:rsidR="00464913" w:rsidRDefault="00464913" w:rsidP="004258AD">
      <w:pPr>
        <w:autoSpaceDE w:val="0"/>
        <w:autoSpaceDN w:val="0"/>
        <w:adjustRightInd w:val="0"/>
        <w:ind w:firstLineChars="200" w:firstLine="400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9C3EB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lastRenderedPageBreak/>
        <w:t>Supplementary Figures 1-</w:t>
      </w:r>
      <w:r w:rsidR="00B0074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5</w:t>
      </w:r>
    </w:p>
    <w:p w:rsidR="00B0074E" w:rsidRDefault="00B0074E" w:rsidP="004258AD">
      <w:pPr>
        <w:autoSpaceDE w:val="0"/>
        <w:autoSpaceDN w:val="0"/>
        <w:adjustRightInd w:val="0"/>
        <w:ind w:firstLineChars="200" w:firstLine="400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B0074E" w:rsidRDefault="00B0074E" w:rsidP="00B0074E">
      <w:pPr>
        <w:autoSpaceDE w:val="0"/>
        <w:autoSpaceDN w:val="0"/>
        <w:adjustRightInd w:val="0"/>
        <w:ind w:firstLineChars="200" w:firstLine="400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12918D9E" wp14:editId="74F2A496">
            <wp:extent cx="4443829" cy="2880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5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67"/>
                    <a:stretch/>
                  </pic:blipFill>
                  <pic:spPr bwMode="auto">
                    <a:xfrm>
                      <a:off x="0" y="0"/>
                      <a:ext cx="4443829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074E" w:rsidRPr="009C3EBA" w:rsidRDefault="00B0074E" w:rsidP="00B0074E">
      <w:pPr>
        <w:autoSpaceDE w:val="0"/>
        <w:autoSpaceDN w:val="0"/>
        <w:adjustRightInd w:val="0"/>
        <w:ind w:firstLineChars="200" w:firstLine="400"/>
        <w:jc w:val="center"/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</w:pPr>
      <w:r w:rsidRPr="00B007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Fig.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S1</w:t>
      </w:r>
      <w:r w:rsidRPr="00B007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XRD images of the bare CNTs (A), CNT@CS (B), CNT@CS/P(MAA) (C).</w:t>
      </w:r>
    </w:p>
    <w:p w:rsidR="00B0074E" w:rsidRDefault="00B0074E">
      <w:pPr>
        <w:widowControl/>
        <w:jc w:val="left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br w:type="page"/>
      </w:r>
    </w:p>
    <w:p w:rsidR="00B0074E" w:rsidRPr="00B0074E" w:rsidRDefault="00B0074E" w:rsidP="00B0074E">
      <w:pPr>
        <w:autoSpaceDE w:val="0"/>
        <w:autoSpaceDN w:val="0"/>
        <w:adjustRightInd w:val="0"/>
        <w:ind w:firstLineChars="200" w:firstLine="400"/>
        <w:jc w:val="center"/>
        <w:rPr>
          <w:rFonts w:ascii="Times New Roman" w:hAnsi="Times New Roman" w:cs="Times New Roman" w:hint="eastAsia"/>
          <w:b/>
          <w:color w:val="000000"/>
          <w:sz w:val="20"/>
          <w:szCs w:val="20"/>
          <w:shd w:val="clear" w:color="auto" w:fill="FFFFFF"/>
        </w:rPr>
      </w:pPr>
    </w:p>
    <w:p w:rsidR="00A40277" w:rsidRDefault="00A40277" w:rsidP="00B0074E">
      <w:pPr>
        <w:autoSpaceDE w:val="0"/>
        <w:autoSpaceDN w:val="0"/>
        <w:adjustRightInd w:val="0"/>
        <w:ind w:firstLineChars="200" w:firstLine="40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C3EBA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3762391" cy="288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氮气吸附解吸附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91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277" w:rsidRPr="009C3EBA" w:rsidRDefault="00671115" w:rsidP="00B0074E">
      <w:pPr>
        <w:jc w:val="center"/>
        <w:rPr>
          <w:rFonts w:ascii="Times New Roman" w:hAnsi="Times New Roman" w:cs="Times New Roman" w:hint="eastAsia"/>
          <w:sz w:val="20"/>
          <w:szCs w:val="20"/>
        </w:rPr>
      </w:pPr>
      <w:r w:rsidRPr="009C3EBA">
        <w:rPr>
          <w:rFonts w:ascii="Times New Roman" w:hAnsi="Times New Roman" w:cs="Times New Roman"/>
          <w:sz w:val="20"/>
          <w:szCs w:val="20"/>
        </w:rPr>
        <w:t>Fig.</w:t>
      </w:r>
      <w:r w:rsidR="004258AD" w:rsidRPr="009C3EBA">
        <w:rPr>
          <w:rFonts w:ascii="Times New Roman" w:hAnsi="Times New Roman" w:cs="Times New Roman"/>
          <w:sz w:val="20"/>
          <w:szCs w:val="20"/>
        </w:rPr>
        <w:t xml:space="preserve"> </w:t>
      </w:r>
      <w:r w:rsidRPr="009C3EBA">
        <w:rPr>
          <w:rFonts w:ascii="Times New Roman" w:hAnsi="Times New Roman" w:cs="Times New Roman"/>
          <w:sz w:val="20"/>
          <w:szCs w:val="20"/>
        </w:rPr>
        <w:t>S</w:t>
      </w:r>
      <w:r w:rsidR="00B0074E">
        <w:rPr>
          <w:rFonts w:ascii="Times New Roman" w:hAnsi="Times New Roman" w:cs="Times New Roman"/>
          <w:sz w:val="20"/>
          <w:szCs w:val="20"/>
        </w:rPr>
        <w:t>2</w:t>
      </w:r>
      <w:r w:rsidRPr="009C3E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C3EBA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9C3EBA">
        <w:rPr>
          <w:rFonts w:ascii="Times New Roman" w:hAnsi="Times New Roman" w:cs="Times New Roman"/>
          <w:sz w:val="20"/>
          <w:szCs w:val="20"/>
        </w:rPr>
        <w:t xml:space="preserve"> nitrogen adsorption-desorption isotherm</w:t>
      </w:r>
      <w:r w:rsidR="00242227" w:rsidRPr="009C3EBA">
        <w:rPr>
          <w:rFonts w:ascii="Times New Roman" w:hAnsi="Times New Roman" w:cs="Times New Roman"/>
          <w:sz w:val="20"/>
          <w:szCs w:val="20"/>
        </w:rPr>
        <w:t>. A: CNTs B: CNT@CS/P(MAA)</w:t>
      </w:r>
      <w:r w:rsidR="009D26E6" w:rsidRPr="009C3EBA">
        <w:rPr>
          <w:rFonts w:ascii="Times New Roman" w:hAnsi="Times New Roman" w:cs="Times New Roman"/>
          <w:sz w:val="20"/>
          <w:szCs w:val="20"/>
        </w:rPr>
        <w:t>.</w:t>
      </w:r>
    </w:p>
    <w:p w:rsidR="00A40277" w:rsidRPr="009C3EBA" w:rsidRDefault="00A40277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9C3EBA">
        <w:rPr>
          <w:rFonts w:ascii="Times New Roman" w:hAnsi="Times New Roman" w:cs="Times New Roman"/>
          <w:sz w:val="20"/>
          <w:szCs w:val="20"/>
        </w:rPr>
        <w:br w:type="page"/>
      </w:r>
    </w:p>
    <w:p w:rsidR="00A40277" w:rsidRPr="009C3EBA" w:rsidRDefault="00A40277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:rsidR="00671115" w:rsidRPr="009C3EBA" w:rsidRDefault="00A40277" w:rsidP="00A40277">
      <w:pPr>
        <w:jc w:val="center"/>
        <w:rPr>
          <w:rFonts w:ascii="Times New Roman" w:hAnsi="Times New Roman" w:cs="Times New Roman" w:hint="eastAsia"/>
          <w:sz w:val="20"/>
          <w:szCs w:val="20"/>
        </w:rPr>
      </w:pPr>
      <w:r w:rsidRPr="009C3EB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937191" cy="2880000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热重分析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40"/>
                    <a:stretch/>
                  </pic:blipFill>
                  <pic:spPr bwMode="auto">
                    <a:xfrm>
                      <a:off x="0" y="0"/>
                      <a:ext cx="3937191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115" w:rsidRPr="009C3EBA" w:rsidRDefault="00671115" w:rsidP="00A40277">
      <w:pPr>
        <w:jc w:val="center"/>
        <w:rPr>
          <w:rFonts w:ascii="Times New Roman" w:hAnsi="Times New Roman" w:cs="Times New Roman"/>
          <w:sz w:val="20"/>
          <w:szCs w:val="20"/>
        </w:rPr>
      </w:pPr>
      <w:r w:rsidRPr="009C3EBA">
        <w:rPr>
          <w:rFonts w:ascii="Times New Roman" w:hAnsi="Times New Roman" w:cs="Times New Roman"/>
          <w:sz w:val="20"/>
          <w:szCs w:val="20"/>
        </w:rPr>
        <w:t>Fig.</w:t>
      </w:r>
      <w:r w:rsidR="004258AD" w:rsidRPr="009C3EBA">
        <w:rPr>
          <w:rFonts w:ascii="Times New Roman" w:hAnsi="Times New Roman" w:cs="Times New Roman"/>
          <w:sz w:val="20"/>
          <w:szCs w:val="20"/>
        </w:rPr>
        <w:t xml:space="preserve"> </w:t>
      </w:r>
      <w:r w:rsidRPr="009C3EBA">
        <w:rPr>
          <w:rFonts w:ascii="Times New Roman" w:hAnsi="Times New Roman" w:cs="Times New Roman"/>
          <w:sz w:val="20"/>
          <w:szCs w:val="20"/>
        </w:rPr>
        <w:t>S</w:t>
      </w:r>
      <w:r w:rsidR="00B0074E">
        <w:rPr>
          <w:rFonts w:ascii="Times New Roman" w:hAnsi="Times New Roman" w:cs="Times New Roman"/>
          <w:sz w:val="20"/>
          <w:szCs w:val="20"/>
        </w:rPr>
        <w:t>3</w:t>
      </w:r>
      <w:r w:rsidRPr="009C3E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C3EBA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9D26E6" w:rsidRPr="009C3EBA">
        <w:rPr>
          <w:rFonts w:ascii="Times New Roman" w:hAnsi="Times New Roman" w:cs="Times New Roman"/>
          <w:sz w:val="20"/>
          <w:szCs w:val="20"/>
        </w:rPr>
        <w:t xml:space="preserve"> </w:t>
      </w:r>
      <w:r w:rsidRPr="009C3EBA">
        <w:rPr>
          <w:rFonts w:ascii="Times New Roman" w:hAnsi="Times New Roman" w:cs="Times New Roman"/>
          <w:sz w:val="20"/>
          <w:szCs w:val="20"/>
        </w:rPr>
        <w:t>thermal gravity analysis curves of CNTs (A) and CNT@CS/P(MAA) (B)</w:t>
      </w:r>
      <w:r w:rsidR="009D26E6" w:rsidRPr="009C3EBA">
        <w:rPr>
          <w:rFonts w:ascii="Times New Roman" w:hAnsi="Times New Roman" w:cs="Times New Roman"/>
          <w:sz w:val="20"/>
          <w:szCs w:val="20"/>
        </w:rPr>
        <w:t>.</w:t>
      </w:r>
    </w:p>
    <w:p w:rsidR="00A40277" w:rsidRPr="009C3EBA" w:rsidRDefault="00A40277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9C3EBA">
        <w:rPr>
          <w:rFonts w:ascii="Times New Roman" w:hAnsi="Times New Roman" w:cs="Times New Roman"/>
          <w:sz w:val="20"/>
          <w:szCs w:val="20"/>
        </w:rPr>
        <w:br w:type="page"/>
      </w:r>
    </w:p>
    <w:p w:rsidR="00A40277" w:rsidRPr="009C3EBA" w:rsidRDefault="00310ACB" w:rsidP="00EA4B28">
      <w:pPr>
        <w:jc w:val="center"/>
        <w:rPr>
          <w:rFonts w:ascii="Times New Roman" w:hAnsi="Times New Roman" w:cs="Times New Roman" w:hint="eastAsia"/>
          <w:noProof/>
          <w:sz w:val="20"/>
          <w:szCs w:val="20"/>
        </w:rPr>
      </w:pPr>
      <w:r>
        <w:rPr>
          <w:rFonts w:ascii="Times New Roman" w:hAnsi="Times New Roman" w:cs="Times New Roman" w:hint="eastAsia"/>
          <w:noProof/>
          <w:sz w:val="20"/>
          <w:szCs w:val="20"/>
        </w:rPr>
        <w:lastRenderedPageBreak/>
        <w:drawing>
          <wp:inline distT="0" distB="0" distL="0" distR="0">
            <wp:extent cx="4085649" cy="3600000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 S4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64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A40277" w:rsidRPr="009C3EBA" w:rsidRDefault="006008DB" w:rsidP="00A40277">
      <w:pPr>
        <w:jc w:val="center"/>
        <w:rPr>
          <w:rFonts w:ascii="Times New Roman" w:hAnsi="Times New Roman" w:cs="Times New Roman"/>
          <w:sz w:val="20"/>
          <w:szCs w:val="20"/>
        </w:rPr>
      </w:pPr>
      <w:r w:rsidRPr="009C3EBA">
        <w:rPr>
          <w:rFonts w:ascii="Times New Roman" w:hAnsi="Times New Roman" w:cs="Times New Roman"/>
          <w:sz w:val="20"/>
          <w:szCs w:val="20"/>
        </w:rPr>
        <w:t>Fig.</w:t>
      </w:r>
      <w:r w:rsidR="004258AD" w:rsidRPr="009C3EBA">
        <w:rPr>
          <w:rFonts w:ascii="Times New Roman" w:hAnsi="Times New Roman" w:cs="Times New Roman"/>
          <w:sz w:val="20"/>
          <w:szCs w:val="20"/>
        </w:rPr>
        <w:t xml:space="preserve"> </w:t>
      </w:r>
      <w:r w:rsidRPr="009C3EBA">
        <w:rPr>
          <w:rFonts w:ascii="Times New Roman" w:hAnsi="Times New Roman" w:cs="Times New Roman"/>
          <w:sz w:val="20"/>
          <w:szCs w:val="20"/>
        </w:rPr>
        <w:t>S</w:t>
      </w:r>
      <w:r w:rsidR="00B0074E">
        <w:rPr>
          <w:rFonts w:ascii="Times New Roman" w:hAnsi="Times New Roman" w:cs="Times New Roman"/>
          <w:sz w:val="20"/>
          <w:szCs w:val="20"/>
        </w:rPr>
        <w:t>4</w:t>
      </w:r>
      <w:r w:rsidRPr="009C3EB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C3EBA">
        <w:rPr>
          <w:rFonts w:ascii="Times New Roman" w:hAnsi="Times New Roman" w:cs="Times New Roman"/>
          <w:sz w:val="20"/>
          <w:szCs w:val="20"/>
        </w:rPr>
        <w:t>Effects of different conditions on adsorption capacity. A:</w:t>
      </w:r>
      <w:r w:rsidRPr="009C3EBA">
        <w:rPr>
          <w:rFonts w:ascii="Times New Roman" w:eastAsia="宋体" w:hAnsi="Times New Roman" w:cs="Times New Roman"/>
          <w:bCs/>
          <w:sz w:val="20"/>
          <w:szCs w:val="20"/>
        </w:rPr>
        <w:t xml:space="preserve"> water content</w:t>
      </w:r>
      <w:r w:rsidRPr="009C3EBA">
        <w:rPr>
          <w:rFonts w:ascii="Times New Roman" w:hAnsi="Times New Roman" w:cs="Times New Roman"/>
          <w:sz w:val="20"/>
          <w:szCs w:val="20"/>
        </w:rPr>
        <w:t>; B: pH</w:t>
      </w:r>
    </w:p>
    <w:p w:rsidR="00A40277" w:rsidRPr="009C3EBA" w:rsidRDefault="00A40277" w:rsidP="00B0074E">
      <w:pPr>
        <w:jc w:val="center"/>
        <w:rPr>
          <w:rFonts w:ascii="Times New Roman" w:hAnsi="Times New Roman" w:cs="Times New Roman" w:hint="eastAsia"/>
          <w:sz w:val="20"/>
          <w:szCs w:val="20"/>
        </w:rPr>
      </w:pPr>
      <w:r w:rsidRPr="009C3EBA">
        <w:rPr>
          <w:rFonts w:ascii="Times New Roman" w:hAnsi="Times New Roman" w:cs="Times New Roman"/>
          <w:sz w:val="20"/>
          <w:szCs w:val="20"/>
        </w:rPr>
        <w:t>value</w:t>
      </w:r>
      <w:r w:rsidR="006008DB" w:rsidRPr="009C3EBA">
        <w:rPr>
          <w:rFonts w:ascii="Times New Roman" w:hAnsi="Times New Roman" w:cs="Times New Roman"/>
          <w:sz w:val="20"/>
          <w:szCs w:val="20"/>
        </w:rPr>
        <w:t>; C: adsorption temperature.</w:t>
      </w:r>
    </w:p>
    <w:p w:rsidR="00A40277" w:rsidRPr="009C3EBA" w:rsidRDefault="00A40277">
      <w:pPr>
        <w:widowControl/>
        <w:jc w:val="left"/>
        <w:rPr>
          <w:rFonts w:ascii="Times New Roman" w:hAnsi="Times New Roman" w:cs="Times New Roman"/>
          <w:color w:val="FF0000"/>
          <w:sz w:val="20"/>
          <w:szCs w:val="20"/>
        </w:rPr>
      </w:pPr>
      <w:r w:rsidRPr="009C3EBA">
        <w:rPr>
          <w:rFonts w:ascii="Times New Roman" w:hAnsi="Times New Roman" w:cs="Times New Roman"/>
          <w:color w:val="FF0000"/>
          <w:sz w:val="20"/>
          <w:szCs w:val="20"/>
        </w:rPr>
        <w:br w:type="page"/>
      </w:r>
    </w:p>
    <w:p w:rsidR="00A40277" w:rsidRPr="009C3EBA" w:rsidRDefault="00D82979" w:rsidP="006008DB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9C3EBA">
        <w:rPr>
          <w:rFonts w:ascii="Times New Roman" w:hAnsi="Times New Roman" w:cs="Times New Roman"/>
          <w:noProof/>
          <w:color w:val="FF0000"/>
          <w:sz w:val="20"/>
          <w:szCs w:val="20"/>
        </w:rPr>
        <w:lastRenderedPageBreak/>
        <w:drawing>
          <wp:inline distT="0" distB="0" distL="0" distR="0">
            <wp:extent cx="5274310" cy="4037330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耐用性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8DB" w:rsidRPr="009C3EBA" w:rsidRDefault="00152976" w:rsidP="00D82979">
      <w:pPr>
        <w:jc w:val="center"/>
        <w:rPr>
          <w:rFonts w:ascii="Times New Roman" w:hAnsi="Times New Roman" w:cs="Times New Roman"/>
          <w:sz w:val="20"/>
          <w:szCs w:val="20"/>
        </w:rPr>
      </w:pPr>
      <w:r w:rsidRPr="009C3EBA">
        <w:rPr>
          <w:rFonts w:ascii="Times New Roman" w:hAnsi="Times New Roman" w:cs="Times New Roman"/>
          <w:sz w:val="20"/>
          <w:szCs w:val="20"/>
        </w:rPr>
        <w:t>Fig. S</w:t>
      </w:r>
      <w:r w:rsidR="00B0074E">
        <w:rPr>
          <w:rFonts w:ascii="Times New Roman" w:hAnsi="Times New Roman" w:cs="Times New Roman"/>
          <w:sz w:val="20"/>
          <w:szCs w:val="20"/>
        </w:rPr>
        <w:t>5</w:t>
      </w:r>
      <w:r w:rsidRPr="009C3E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40277" w:rsidRPr="009C3EBA">
        <w:rPr>
          <w:rFonts w:ascii="Times New Roman" w:hAnsi="Times New Roman" w:cs="Times New Roman"/>
          <w:sz w:val="20"/>
          <w:szCs w:val="20"/>
        </w:rPr>
        <w:t>Reusabilities</w:t>
      </w:r>
      <w:proofErr w:type="spellEnd"/>
      <w:r w:rsidR="00A40277" w:rsidRPr="009C3EBA">
        <w:rPr>
          <w:rFonts w:ascii="Times New Roman" w:hAnsi="Times New Roman" w:cs="Times New Roman"/>
          <w:sz w:val="20"/>
          <w:szCs w:val="20"/>
        </w:rPr>
        <w:t xml:space="preserve"> </w:t>
      </w:r>
      <w:r w:rsidR="009D26E6" w:rsidRPr="009C3EBA">
        <w:rPr>
          <w:rFonts w:ascii="Times New Roman" w:hAnsi="Times New Roman" w:cs="Times New Roman"/>
          <w:sz w:val="20"/>
          <w:szCs w:val="20"/>
        </w:rPr>
        <w:t>of CNT@CS/P(MAA) (n=3).</w:t>
      </w:r>
    </w:p>
    <w:sectPr w:rsidR="006008DB" w:rsidRPr="009C3EBA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B41" w:rsidRDefault="00172B41" w:rsidP="00242227">
      <w:r>
        <w:separator/>
      </w:r>
    </w:p>
  </w:endnote>
  <w:endnote w:type="continuationSeparator" w:id="0">
    <w:p w:rsidR="00172B41" w:rsidRDefault="00172B41" w:rsidP="0024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2878646"/>
      <w:docPartObj>
        <w:docPartGallery w:val="Page Numbers (Bottom of Page)"/>
        <w:docPartUnique/>
      </w:docPartObj>
    </w:sdtPr>
    <w:sdtEndPr/>
    <w:sdtContent>
      <w:p w:rsidR="00BF1153" w:rsidRDefault="00BF11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BF1153" w:rsidRDefault="00BF11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B41" w:rsidRDefault="00172B41" w:rsidP="00242227">
      <w:r>
        <w:separator/>
      </w:r>
    </w:p>
  </w:footnote>
  <w:footnote w:type="continuationSeparator" w:id="0">
    <w:p w:rsidR="00172B41" w:rsidRDefault="00172B41" w:rsidP="00242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FA"/>
    <w:rsid w:val="000D5303"/>
    <w:rsid w:val="0010437A"/>
    <w:rsid w:val="00151EFA"/>
    <w:rsid w:val="00152976"/>
    <w:rsid w:val="00172B41"/>
    <w:rsid w:val="001D7B3A"/>
    <w:rsid w:val="00242227"/>
    <w:rsid w:val="00250024"/>
    <w:rsid w:val="002C3D3D"/>
    <w:rsid w:val="00310ACB"/>
    <w:rsid w:val="00381597"/>
    <w:rsid w:val="003D1275"/>
    <w:rsid w:val="004258AD"/>
    <w:rsid w:val="00461A60"/>
    <w:rsid w:val="00464913"/>
    <w:rsid w:val="00544C84"/>
    <w:rsid w:val="0058238E"/>
    <w:rsid w:val="00597959"/>
    <w:rsid w:val="005A11FE"/>
    <w:rsid w:val="006008DB"/>
    <w:rsid w:val="00671115"/>
    <w:rsid w:val="0068412A"/>
    <w:rsid w:val="006A2766"/>
    <w:rsid w:val="006A32B4"/>
    <w:rsid w:val="006B0A03"/>
    <w:rsid w:val="007213AB"/>
    <w:rsid w:val="00731927"/>
    <w:rsid w:val="00743375"/>
    <w:rsid w:val="007870E9"/>
    <w:rsid w:val="008A05DC"/>
    <w:rsid w:val="008E1CA4"/>
    <w:rsid w:val="009244E0"/>
    <w:rsid w:val="00940521"/>
    <w:rsid w:val="009C3EBA"/>
    <w:rsid w:val="009D26E6"/>
    <w:rsid w:val="00A40277"/>
    <w:rsid w:val="00A45E9A"/>
    <w:rsid w:val="00B0074E"/>
    <w:rsid w:val="00B16A86"/>
    <w:rsid w:val="00BA34D0"/>
    <w:rsid w:val="00BF1153"/>
    <w:rsid w:val="00BF2134"/>
    <w:rsid w:val="00C46441"/>
    <w:rsid w:val="00CB5012"/>
    <w:rsid w:val="00CC1F07"/>
    <w:rsid w:val="00CD77C2"/>
    <w:rsid w:val="00D82979"/>
    <w:rsid w:val="00EA4B28"/>
    <w:rsid w:val="00EE3913"/>
    <w:rsid w:val="00F0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1058E"/>
  <w15:chartTrackingRefBased/>
  <w15:docId w15:val="{2CFCE514-35DA-4250-AC0E-35C6C3FE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22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2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2227"/>
    <w:rPr>
      <w:sz w:val="18"/>
      <w:szCs w:val="18"/>
    </w:rPr>
  </w:style>
  <w:style w:type="character" w:styleId="a7">
    <w:name w:val="Hyperlink"/>
    <w:uiPriority w:val="99"/>
    <w:semiHidden/>
    <w:unhideWhenUsed/>
    <w:rsid w:val="00CC1F07"/>
    <w:rPr>
      <w:color w:val="0000FF"/>
      <w:u w:val="single"/>
    </w:rPr>
  </w:style>
  <w:style w:type="character" w:customStyle="1" w:styleId="RSCH01PaperTitleChar">
    <w:name w:val="RSC H01 Paper Title Char"/>
    <w:link w:val="RSCH01PaperTitle"/>
    <w:locked/>
    <w:rsid w:val="00CC1F07"/>
    <w:rPr>
      <w:b/>
      <w:sz w:val="29"/>
      <w:szCs w:val="32"/>
      <w:lang w:val="en-GB" w:eastAsia="en-US"/>
    </w:rPr>
  </w:style>
  <w:style w:type="paragraph" w:customStyle="1" w:styleId="RSCH01PaperTitle">
    <w:name w:val="RSC H01 Paper Title"/>
    <w:basedOn w:val="a"/>
    <w:next w:val="a"/>
    <w:link w:val="RSCH01PaperTitleChar"/>
    <w:qFormat/>
    <w:rsid w:val="00CC1F07"/>
    <w:pPr>
      <w:widowControl/>
      <w:tabs>
        <w:tab w:val="left" w:pos="284"/>
      </w:tabs>
      <w:spacing w:before="400" w:after="160"/>
      <w:jc w:val="left"/>
    </w:pPr>
    <w:rPr>
      <w:b/>
      <w:sz w:val="29"/>
      <w:szCs w:val="32"/>
      <w:lang w:val="en-GB" w:eastAsia="en-US"/>
    </w:rPr>
  </w:style>
  <w:style w:type="paragraph" w:customStyle="1" w:styleId="BATitle">
    <w:name w:val="BA_Title"/>
    <w:basedOn w:val="a"/>
    <w:next w:val="a"/>
    <w:qFormat/>
    <w:rsid w:val="00CC1F07"/>
    <w:pPr>
      <w:widowControl/>
      <w:spacing w:before="1400" w:after="180"/>
      <w:jc w:val="left"/>
    </w:pPr>
    <w:rPr>
      <w:rFonts w:ascii="Myriad Pro Light" w:eastAsia="宋体" w:hAnsi="Myriad Pro Light" w:cs="Times New Roman"/>
      <w:b/>
      <w:kern w:val="36"/>
      <w:sz w:val="34"/>
      <w:szCs w:val="20"/>
      <w:lang w:eastAsia="en-US"/>
    </w:rPr>
  </w:style>
  <w:style w:type="paragraph" w:customStyle="1" w:styleId="BCAuthorAddress">
    <w:name w:val="BC_Author_Address"/>
    <w:basedOn w:val="a"/>
    <w:next w:val="a"/>
    <w:rsid w:val="00CC1F07"/>
    <w:pPr>
      <w:widowControl/>
      <w:spacing w:after="240" w:line="480" w:lineRule="auto"/>
      <w:jc w:val="center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BIEmailAddress">
    <w:name w:val="BI_Email_Address"/>
    <w:basedOn w:val="a"/>
    <w:next w:val="a"/>
    <w:rsid w:val="00CC1F07"/>
    <w:pPr>
      <w:widowControl/>
      <w:spacing w:after="200" w:line="480" w:lineRule="auto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CC1F07"/>
    <w:pPr>
      <w:snapToGrid w:val="0"/>
      <w:jc w:val="left"/>
    </w:pPr>
    <w:rPr>
      <w:rFonts w:ascii="Calibri" w:hAnsi="Calibri"/>
      <w:sz w:val="18"/>
      <w:szCs w:val="18"/>
    </w:rPr>
  </w:style>
  <w:style w:type="character" w:customStyle="1" w:styleId="a9">
    <w:name w:val="脚注文本 字符"/>
    <w:basedOn w:val="a0"/>
    <w:link w:val="a8"/>
    <w:uiPriority w:val="99"/>
    <w:semiHidden/>
    <w:rsid w:val="00CC1F07"/>
    <w:rPr>
      <w:rFonts w:ascii="Calibri" w:hAnsi="Calibri"/>
      <w:sz w:val="18"/>
      <w:szCs w:val="18"/>
    </w:rPr>
  </w:style>
  <w:style w:type="character" w:styleId="aa">
    <w:name w:val="footnote reference"/>
    <w:uiPriority w:val="99"/>
    <w:semiHidden/>
    <w:unhideWhenUsed/>
    <w:rsid w:val="00CC1F07"/>
    <w:rPr>
      <w:vertAlign w:val="superscript"/>
    </w:rPr>
  </w:style>
  <w:style w:type="table" w:styleId="ab">
    <w:name w:val="Table Grid"/>
    <w:basedOn w:val="a1"/>
    <w:uiPriority w:val="39"/>
    <w:rsid w:val="00EE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6AB2"/>
    <w:pPr>
      <w:ind w:firstLineChars="200" w:firstLine="420"/>
    </w:pPr>
  </w:style>
  <w:style w:type="character" w:styleId="ad">
    <w:name w:val="annotation reference"/>
    <w:basedOn w:val="a0"/>
    <w:uiPriority w:val="99"/>
    <w:semiHidden/>
    <w:unhideWhenUsed/>
    <w:rsid w:val="009244E0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9244E0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9244E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44E0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9244E0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9244E0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9244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8B284-6536-4971-80CB-FB99C8AF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虾米</dc:creator>
  <cp:keywords/>
  <dc:description/>
  <cp:lastModifiedBy>虾米</cp:lastModifiedBy>
  <cp:revision>5</cp:revision>
  <dcterms:created xsi:type="dcterms:W3CDTF">2020-12-08T07:44:00Z</dcterms:created>
  <dcterms:modified xsi:type="dcterms:W3CDTF">2021-03-04T11:49:00Z</dcterms:modified>
</cp:coreProperties>
</file>