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7163B" w14:textId="40703391" w:rsidR="001C0A13" w:rsidRPr="005D07B8" w:rsidRDefault="00024B8F" w:rsidP="00FB63E7">
      <w:pPr>
        <w:rPr>
          <w:rFonts w:ascii="Times New Roman" w:eastAsia="맑은 고딕" w:hAnsi="Times New Roman" w:cs="Times New Roman"/>
          <w:sz w:val="20"/>
          <w:szCs w:val="20"/>
          <w:lang w:eastAsia="ko-KR"/>
        </w:rPr>
      </w:pPr>
      <w:r w:rsidRPr="005D07B8">
        <w:rPr>
          <w:rFonts w:ascii="Times New Roman" w:eastAsia="맑은 고딕" w:hAnsi="Times New Roman" w:cs="Times New Roman"/>
          <w:sz w:val="20"/>
          <w:szCs w:val="20"/>
          <w:lang w:eastAsia="ko-KR"/>
        </w:rPr>
        <w:t xml:space="preserve">Supplementary </w:t>
      </w:r>
      <w:r w:rsidR="00386B0A" w:rsidRPr="005D07B8">
        <w:rPr>
          <w:rFonts w:ascii="Times New Roman" w:eastAsia="맑은 고딕" w:hAnsi="Times New Roman" w:cs="Times New Roman"/>
          <w:sz w:val="20"/>
          <w:szCs w:val="20"/>
          <w:lang w:eastAsia="ko-KR"/>
        </w:rPr>
        <w:t>Table</w:t>
      </w:r>
      <w:r w:rsidRPr="005D07B8">
        <w:rPr>
          <w:rFonts w:ascii="Times New Roman" w:eastAsia="맑은 고딕" w:hAnsi="Times New Roman" w:cs="Times New Roman"/>
          <w:sz w:val="20"/>
          <w:szCs w:val="20"/>
          <w:lang w:eastAsia="ko-KR"/>
        </w:rPr>
        <w:t>1</w:t>
      </w:r>
      <w:r w:rsidR="00386B0A" w:rsidRPr="005D07B8">
        <w:rPr>
          <w:rFonts w:ascii="Times New Roman" w:eastAsia="맑은 고딕" w:hAnsi="Times New Roman" w:cs="Times New Roman"/>
          <w:sz w:val="20"/>
          <w:szCs w:val="20"/>
          <w:lang w:eastAsia="ko-KR"/>
        </w:rPr>
        <w:t>. Baseline lipid profile and AIP between RA patients with cDMARDs, TNF-</w:t>
      </w:r>
      <w:r w:rsidR="00386B0A" w:rsidRPr="005D07B8">
        <w:rPr>
          <w:rFonts w:ascii="Times New Roman" w:eastAsia="Arial" w:hAnsi="Times New Roman" w:cs="Times New Roman"/>
          <w:color w:val="000000"/>
          <w:sz w:val="20"/>
          <w:szCs w:val="20"/>
        </w:rPr>
        <w:t>α</w:t>
      </w:r>
      <w:r w:rsidR="00386B0A" w:rsidRPr="005D07B8">
        <w:rPr>
          <w:rFonts w:ascii="Times New Roman" w:eastAsia="맑은 고딕" w:hAnsi="Times New Roman" w:cs="Times New Roman"/>
          <w:sz w:val="20"/>
          <w:szCs w:val="20"/>
          <w:lang w:eastAsia="ko-KR"/>
        </w:rPr>
        <w:t xml:space="preserve"> inhibitor, tocilizumab, abatacept and JAKi</w:t>
      </w:r>
      <w:r w:rsidR="00D5773B" w:rsidRPr="005D07B8">
        <w:rPr>
          <w:rFonts w:ascii="Times New Roman" w:eastAsia="맑은 고딕" w:hAnsi="Times New Roman" w:cs="Times New Roman"/>
          <w:sz w:val="20"/>
          <w:szCs w:val="20"/>
          <w:lang w:eastAsia="ko-KR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938"/>
        <w:gridCol w:w="2114"/>
        <w:gridCol w:w="2114"/>
        <w:gridCol w:w="913"/>
      </w:tblGrid>
      <w:tr w:rsidR="007A783E" w:rsidRPr="005D07B8" w14:paraId="4A325C34" w14:textId="77777777" w:rsidTr="00B1127B">
        <w:trPr>
          <w:cantSplit/>
          <w:tblHeader/>
        </w:trPr>
        <w:tc>
          <w:tcPr>
            <w:tcW w:w="1701" w:type="dxa"/>
            <w:vMerge w:val="restart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B258" w14:textId="2CD54890" w:rsidR="007A783E" w:rsidRPr="005D07B8" w:rsidRDefault="007A783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2BCCE" w14:textId="4A3752B8" w:rsidR="007A783E" w:rsidRPr="005D07B8" w:rsidRDefault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RA patients with cDMARDs</w:t>
            </w:r>
          </w:p>
        </w:tc>
        <w:tc>
          <w:tcPr>
            <w:tcW w:w="1984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CE6C" w14:textId="1E23305C" w:rsidR="007A783E" w:rsidRPr="005D07B8" w:rsidRDefault="00386B0A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RA patients with TNF-α inhibitor</w:t>
            </w:r>
          </w:p>
        </w:tc>
        <w:tc>
          <w:tcPr>
            <w:tcW w:w="1938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1028" w14:textId="559E115C" w:rsidR="007A783E" w:rsidRPr="005D07B8" w:rsidRDefault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RA patients with tocilizumab</w:t>
            </w:r>
          </w:p>
        </w:tc>
        <w:tc>
          <w:tcPr>
            <w:tcW w:w="2114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D8467" w14:textId="2036F59D" w:rsidR="007A783E" w:rsidRPr="005D07B8" w:rsidRDefault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RA patients with Abatacept</w:t>
            </w:r>
          </w:p>
        </w:tc>
        <w:tc>
          <w:tcPr>
            <w:tcW w:w="2114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D5442" w14:textId="129BF752" w:rsidR="007A783E" w:rsidRPr="005D07B8" w:rsidRDefault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RA patients with JAKi</w:t>
            </w:r>
          </w:p>
        </w:tc>
        <w:tc>
          <w:tcPr>
            <w:tcW w:w="913" w:type="dxa"/>
            <w:vMerge w:val="restart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56F3" w14:textId="6513557C" w:rsidR="007A783E" w:rsidRPr="005D07B8" w:rsidRDefault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7B8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</w:tr>
      <w:tr w:rsidR="007A783E" w:rsidRPr="005D07B8" w14:paraId="6C67B396" w14:textId="77777777" w:rsidTr="00B1127B">
        <w:trPr>
          <w:cantSplit/>
          <w:tblHeader/>
        </w:trPr>
        <w:tc>
          <w:tcPr>
            <w:tcW w:w="1701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0C03" w14:textId="77777777" w:rsidR="007A783E" w:rsidRPr="005D07B8" w:rsidRDefault="007A783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8FC2" w14:textId="77777777" w:rsidR="007A783E" w:rsidRPr="005D07B8" w:rsidRDefault="00CB3CB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(N=221)</w:t>
            </w:r>
          </w:p>
        </w:tc>
        <w:tc>
          <w:tcPr>
            <w:tcW w:w="1984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4AF96" w14:textId="77777777" w:rsidR="007A783E" w:rsidRPr="005D07B8" w:rsidRDefault="00CB3CB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(N=339)</w:t>
            </w:r>
          </w:p>
        </w:tc>
        <w:tc>
          <w:tcPr>
            <w:tcW w:w="1938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EA7B" w14:textId="77777777" w:rsidR="007A783E" w:rsidRPr="005D07B8" w:rsidRDefault="00CB3CB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(N=200)</w:t>
            </w:r>
          </w:p>
        </w:tc>
        <w:tc>
          <w:tcPr>
            <w:tcW w:w="2114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341F" w14:textId="77777777" w:rsidR="007A783E" w:rsidRPr="005D07B8" w:rsidRDefault="00CB3CB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(N=94)</w:t>
            </w:r>
          </w:p>
        </w:tc>
        <w:tc>
          <w:tcPr>
            <w:tcW w:w="2114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C4F05" w14:textId="77777777" w:rsidR="007A783E" w:rsidRPr="005D07B8" w:rsidRDefault="00CB3CB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(N=63)</w:t>
            </w:r>
          </w:p>
        </w:tc>
        <w:tc>
          <w:tcPr>
            <w:tcW w:w="913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50C8" w14:textId="77777777" w:rsidR="007A783E" w:rsidRPr="005D07B8" w:rsidRDefault="007A783E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3E" w:rsidRPr="005D07B8" w14:paraId="5BBA1F97" w14:textId="77777777" w:rsidTr="00B1127B">
        <w:trPr>
          <w:cantSplit/>
        </w:trPr>
        <w:tc>
          <w:tcPr>
            <w:tcW w:w="1701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84C4" w14:textId="57CD84EF" w:rsidR="007A783E" w:rsidRPr="005D07B8" w:rsidRDefault="00386B0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Total cholesterol (mg/dL)</w:t>
            </w:r>
            <w:r w:rsidR="00CB3CBE"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F3608" w14:textId="1690DE08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184.0 [160.0;203.0]</w:t>
            </w:r>
            <w:r w:rsidR="00B1127B"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†</w:t>
            </w:r>
          </w:p>
        </w:tc>
        <w:tc>
          <w:tcPr>
            <w:tcW w:w="1984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C126" w14:textId="2E889AE8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173.0 [148.0;196.5]</w:t>
            </w:r>
            <w:r w:rsidR="00B1127B"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 †</w:t>
            </w:r>
          </w:p>
        </w:tc>
        <w:tc>
          <w:tcPr>
            <w:tcW w:w="1938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AC8B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178.0 [152.5;199.0]</w:t>
            </w:r>
          </w:p>
        </w:tc>
        <w:tc>
          <w:tcPr>
            <w:tcW w:w="2114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60CE4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177.0 [155.0;198.0]</w:t>
            </w:r>
          </w:p>
        </w:tc>
        <w:tc>
          <w:tcPr>
            <w:tcW w:w="2114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949BD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171.0 [146.0;195.5]</w:t>
            </w:r>
          </w:p>
        </w:tc>
        <w:tc>
          <w:tcPr>
            <w:tcW w:w="913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B95D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b/>
                <w:color w:val="111111"/>
                <w:sz w:val="20"/>
                <w:szCs w:val="20"/>
              </w:rPr>
              <w:t>0.024</w:t>
            </w:r>
          </w:p>
        </w:tc>
      </w:tr>
      <w:tr w:rsidR="007A783E" w:rsidRPr="005D07B8" w14:paraId="55723BF4" w14:textId="77777777" w:rsidTr="00B1127B">
        <w:trPr>
          <w:cantSplit/>
        </w:trPr>
        <w:tc>
          <w:tcPr>
            <w:tcW w:w="17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D8E6" w14:textId="562F24F0" w:rsidR="007A783E" w:rsidRPr="005D07B8" w:rsidRDefault="00386B0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HDL-C (mg/dL)</w:t>
            </w:r>
            <w:r w:rsidR="00CB3CBE"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9864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56.0 [47.0;69.0]</w:t>
            </w:r>
          </w:p>
        </w:tc>
        <w:tc>
          <w:tcPr>
            <w:tcW w:w="198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0DF0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55.5 [47.0;67.0]</w:t>
            </w:r>
          </w:p>
        </w:tc>
        <w:tc>
          <w:tcPr>
            <w:tcW w:w="193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1B9AE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55.0 [47.0;66.0]</w:t>
            </w:r>
          </w:p>
        </w:tc>
        <w:tc>
          <w:tcPr>
            <w:tcW w:w="211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D2E0B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55.0 [46.0;65.0]</w:t>
            </w:r>
          </w:p>
        </w:tc>
        <w:tc>
          <w:tcPr>
            <w:tcW w:w="211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09B5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55.0 [48.5;72.5]</w:t>
            </w:r>
          </w:p>
        </w:tc>
        <w:tc>
          <w:tcPr>
            <w:tcW w:w="91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D1097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0.746</w:t>
            </w:r>
          </w:p>
        </w:tc>
      </w:tr>
      <w:tr w:rsidR="007A783E" w:rsidRPr="005D07B8" w14:paraId="33AA666B" w14:textId="77777777" w:rsidTr="00B1127B">
        <w:trPr>
          <w:cantSplit/>
        </w:trPr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2D1C4" w14:textId="2E5B3551" w:rsidR="007A783E" w:rsidRPr="005D07B8" w:rsidRDefault="00386B0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LDL-C (mg/dL)</w:t>
            </w:r>
            <w:r w:rsidR="00CB3CBE"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02AD" w14:textId="4C524463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93.0 [65.0;118.0]</w:t>
            </w:r>
            <w:r w:rsidR="00B1127B"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 ‡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82B6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82.0 [45.0;111.0]</w:t>
            </w:r>
          </w:p>
        </w:tc>
        <w:tc>
          <w:tcPr>
            <w:tcW w:w="19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04E1E" w14:textId="74674E5C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82.0 [ 0.0;109.0]</w:t>
            </w:r>
            <w:r w:rsidR="00B1127B"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 ‡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B21C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90.0 [61.0;113.0]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AB484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97.0 [66.5;116.0]</w:t>
            </w:r>
          </w:p>
        </w:tc>
        <w:tc>
          <w:tcPr>
            <w:tcW w:w="9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E55A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b/>
                <w:color w:val="111111"/>
                <w:sz w:val="20"/>
                <w:szCs w:val="20"/>
              </w:rPr>
              <w:t>0.021</w:t>
            </w:r>
          </w:p>
        </w:tc>
      </w:tr>
      <w:tr w:rsidR="007A783E" w:rsidRPr="005D07B8" w14:paraId="2488F231" w14:textId="77777777" w:rsidTr="00B1127B">
        <w:trPr>
          <w:cantSplit/>
        </w:trPr>
        <w:tc>
          <w:tcPr>
            <w:tcW w:w="17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7DD9B" w14:textId="18E0AE9E" w:rsidR="007A783E" w:rsidRPr="005D07B8" w:rsidRDefault="00386B0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Triglyceride (mg/dL)</w:t>
            </w:r>
            <w:r w:rsidR="00CB3CBE"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D48C5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97.0 [72.0;139.0]</w:t>
            </w:r>
          </w:p>
        </w:tc>
        <w:tc>
          <w:tcPr>
            <w:tcW w:w="198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6FA8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90.0 [67.0;128.5]</w:t>
            </w:r>
          </w:p>
        </w:tc>
        <w:tc>
          <w:tcPr>
            <w:tcW w:w="193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3B74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93.0 [68.0;117.0]</w:t>
            </w:r>
          </w:p>
        </w:tc>
        <w:tc>
          <w:tcPr>
            <w:tcW w:w="211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8631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89.0 [69.0;122.0]</w:t>
            </w:r>
          </w:p>
        </w:tc>
        <w:tc>
          <w:tcPr>
            <w:tcW w:w="211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2E759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96.0 [74.5;127.0]</w:t>
            </w:r>
          </w:p>
        </w:tc>
        <w:tc>
          <w:tcPr>
            <w:tcW w:w="913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1EEB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0.268</w:t>
            </w:r>
          </w:p>
        </w:tc>
      </w:tr>
      <w:tr w:rsidR="007A783E" w:rsidRPr="005D07B8" w14:paraId="1439A8EF" w14:textId="77777777" w:rsidTr="00B1127B">
        <w:trPr>
          <w:cantSplit/>
        </w:trPr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0CF4" w14:textId="77777777" w:rsidR="007A783E" w:rsidRPr="005D07B8" w:rsidRDefault="00CB3CBE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AIP   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CD99" w14:textId="087B5CC1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-0.1</w:t>
            </w:r>
            <w:r w:rsidR="00386B0A"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08 ±  0.292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4211" w14:textId="21407085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-0.1</w:t>
            </w:r>
            <w:r w:rsidR="00386B0A"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44 ±  0.256</w:t>
            </w:r>
          </w:p>
        </w:tc>
        <w:tc>
          <w:tcPr>
            <w:tcW w:w="19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7E0F" w14:textId="73FBBE6D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-0.1</w:t>
            </w:r>
            <w:r w:rsidR="00386B0A"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48</w:t>
            </w: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 ±  0.2</w:t>
            </w:r>
            <w:r w:rsidR="00386B0A"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43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F745" w14:textId="19D82A26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-0.1</w:t>
            </w:r>
            <w:r w:rsidR="00386B0A"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24</w:t>
            </w: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 ±  0.2</w:t>
            </w:r>
            <w:r w:rsidR="00386B0A"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36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C22C" w14:textId="56AD5C86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-0.1</w:t>
            </w:r>
            <w:r w:rsidR="00386B0A"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33 ±  0.251</w:t>
            </w:r>
          </w:p>
        </w:tc>
        <w:tc>
          <w:tcPr>
            <w:tcW w:w="9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BDCFD" w14:textId="77777777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0.473</w:t>
            </w:r>
          </w:p>
        </w:tc>
      </w:tr>
      <w:tr w:rsidR="007A783E" w:rsidRPr="005D07B8" w14:paraId="55F692DF" w14:textId="77777777" w:rsidTr="00386B0A">
        <w:trPr>
          <w:cantSplit/>
        </w:trPr>
        <w:tc>
          <w:tcPr>
            <w:tcW w:w="17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29632" w14:textId="05DF1AE5" w:rsidR="007A783E" w:rsidRPr="005D07B8" w:rsidRDefault="00CB3CBE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AIP</w:t>
            </w:r>
            <w:r w:rsidR="00386B0A"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cate</w:t>
            </w:r>
            <w:r w:rsidR="00386B0A"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gory</w:t>
            </w:r>
          </w:p>
        </w:tc>
        <w:tc>
          <w:tcPr>
            <w:tcW w:w="10135" w:type="dxa"/>
            <w:gridSpan w:val="5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8A692" w14:textId="77777777" w:rsidR="007A783E" w:rsidRPr="005D07B8" w:rsidRDefault="007A783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B27E6" w14:textId="25B49735" w:rsidR="007A783E" w:rsidRPr="005D07B8" w:rsidRDefault="00CB3CBE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0.389</w:t>
            </w:r>
            <w:r w:rsidR="00715E26"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*</w:t>
            </w:r>
          </w:p>
        </w:tc>
      </w:tr>
      <w:tr w:rsidR="00386B0A" w:rsidRPr="005D07B8" w14:paraId="48211FEB" w14:textId="77777777" w:rsidTr="00B1127B">
        <w:trPr>
          <w:cantSplit/>
        </w:trPr>
        <w:tc>
          <w:tcPr>
            <w:tcW w:w="17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D59A3" w14:textId="42E71AC3" w:rsidR="00386B0A" w:rsidRPr="005D07B8" w:rsidRDefault="00386B0A" w:rsidP="00386B0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 Low risk (AIP&lt;0.11)</w:t>
            </w:r>
          </w:p>
        </w:tc>
        <w:tc>
          <w:tcPr>
            <w:tcW w:w="198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4C03E" w14:textId="77777777" w:rsidR="00386B0A" w:rsidRPr="005D07B8" w:rsidRDefault="00386B0A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174 (78.7%)</w:t>
            </w:r>
          </w:p>
        </w:tc>
        <w:tc>
          <w:tcPr>
            <w:tcW w:w="198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F872" w14:textId="77777777" w:rsidR="00386B0A" w:rsidRPr="005D07B8" w:rsidRDefault="00386B0A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279 (82.3%)</w:t>
            </w:r>
          </w:p>
        </w:tc>
        <w:tc>
          <w:tcPr>
            <w:tcW w:w="193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F2CB" w14:textId="77777777" w:rsidR="00386B0A" w:rsidRPr="005D07B8" w:rsidRDefault="00386B0A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171 (85.5%)</w:t>
            </w:r>
          </w:p>
        </w:tc>
        <w:tc>
          <w:tcPr>
            <w:tcW w:w="211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15D97" w14:textId="77777777" w:rsidR="00386B0A" w:rsidRPr="005D07B8" w:rsidRDefault="00386B0A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79 (84.0%)</w:t>
            </w:r>
          </w:p>
        </w:tc>
        <w:tc>
          <w:tcPr>
            <w:tcW w:w="211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4FD4" w14:textId="77777777" w:rsidR="00386B0A" w:rsidRPr="005D07B8" w:rsidRDefault="00386B0A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53 (84.1%)</w:t>
            </w:r>
          </w:p>
        </w:tc>
        <w:tc>
          <w:tcPr>
            <w:tcW w:w="913" w:type="dxa"/>
            <w:vMerge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8062" w14:textId="77777777" w:rsidR="00386B0A" w:rsidRPr="005D07B8" w:rsidRDefault="00386B0A" w:rsidP="00386B0A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B0A" w:rsidRPr="005D07B8" w14:paraId="323BA80B" w14:textId="77777777" w:rsidTr="00B1127B">
        <w:trPr>
          <w:cantSplit/>
        </w:trPr>
        <w:tc>
          <w:tcPr>
            <w:tcW w:w="17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5EED" w14:textId="40E6B9BB" w:rsidR="00386B0A" w:rsidRPr="005D07B8" w:rsidRDefault="00386B0A" w:rsidP="00386B0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   Intermediate risk (0.11≤AIP≤0.21)</w:t>
            </w:r>
          </w:p>
        </w:tc>
        <w:tc>
          <w:tcPr>
            <w:tcW w:w="198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7ACB" w14:textId="77777777" w:rsidR="00386B0A" w:rsidRPr="005D07B8" w:rsidRDefault="00386B0A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18 ( 8.1%</w:t>
            </w:r>
            <w:bookmarkStart w:id="0" w:name="_GoBack"/>
            <w:bookmarkEnd w:id="0"/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AFA2" w14:textId="77777777" w:rsidR="00386B0A" w:rsidRPr="005D07B8" w:rsidRDefault="00386B0A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26 ( 7.7%)</w:t>
            </w:r>
          </w:p>
        </w:tc>
        <w:tc>
          <w:tcPr>
            <w:tcW w:w="193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DDA7" w14:textId="77777777" w:rsidR="00386B0A" w:rsidRPr="005D07B8" w:rsidRDefault="00386B0A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16 ( 8.0%)</w:t>
            </w:r>
          </w:p>
        </w:tc>
        <w:tc>
          <w:tcPr>
            <w:tcW w:w="211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16A0" w14:textId="77777777" w:rsidR="00386B0A" w:rsidRPr="005D07B8" w:rsidRDefault="00386B0A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8 ( 8.5%)</w:t>
            </w:r>
          </w:p>
        </w:tc>
        <w:tc>
          <w:tcPr>
            <w:tcW w:w="2114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1D27D" w14:textId="77777777" w:rsidR="00386B0A" w:rsidRPr="005D07B8" w:rsidRDefault="00386B0A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7 (11.1%)</w:t>
            </w:r>
          </w:p>
        </w:tc>
        <w:tc>
          <w:tcPr>
            <w:tcW w:w="913" w:type="dxa"/>
            <w:vMerge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E180" w14:textId="77777777" w:rsidR="00386B0A" w:rsidRPr="005D07B8" w:rsidRDefault="00386B0A" w:rsidP="00386B0A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B0A" w:rsidRPr="005D07B8" w14:paraId="627F4D30" w14:textId="77777777" w:rsidTr="00B1127B">
        <w:trPr>
          <w:cantSplit/>
        </w:trPr>
        <w:tc>
          <w:tcPr>
            <w:tcW w:w="1701" w:type="dxa"/>
            <w:tcBorders>
              <w:bottom w:val="single" w:sz="16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7ED8" w14:textId="1FC362C9" w:rsidR="00386B0A" w:rsidRPr="005D07B8" w:rsidRDefault="00386B0A" w:rsidP="00386B0A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 xml:space="preserve">   High risk (AIP&gt;0.21)</w:t>
            </w:r>
          </w:p>
        </w:tc>
        <w:tc>
          <w:tcPr>
            <w:tcW w:w="1985" w:type="dxa"/>
            <w:tcBorders>
              <w:bottom w:val="single" w:sz="16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0FDEE" w14:textId="77777777" w:rsidR="00386B0A" w:rsidRPr="005D07B8" w:rsidRDefault="00386B0A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29 (13.1%)</w:t>
            </w:r>
          </w:p>
        </w:tc>
        <w:tc>
          <w:tcPr>
            <w:tcW w:w="1984" w:type="dxa"/>
            <w:tcBorders>
              <w:bottom w:val="single" w:sz="16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A8F05" w14:textId="77777777" w:rsidR="00386B0A" w:rsidRPr="005D07B8" w:rsidRDefault="00386B0A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34 (10.0%)</w:t>
            </w:r>
          </w:p>
        </w:tc>
        <w:tc>
          <w:tcPr>
            <w:tcW w:w="1938" w:type="dxa"/>
            <w:tcBorders>
              <w:bottom w:val="single" w:sz="16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D7A74" w14:textId="77777777" w:rsidR="00386B0A" w:rsidRPr="005D07B8" w:rsidRDefault="00386B0A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13 ( 6.5%)</w:t>
            </w:r>
          </w:p>
        </w:tc>
        <w:tc>
          <w:tcPr>
            <w:tcW w:w="2114" w:type="dxa"/>
            <w:tcBorders>
              <w:bottom w:val="single" w:sz="16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5A21" w14:textId="77777777" w:rsidR="00386B0A" w:rsidRPr="005D07B8" w:rsidRDefault="00386B0A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7 ( 7.4%)</w:t>
            </w:r>
          </w:p>
        </w:tc>
        <w:tc>
          <w:tcPr>
            <w:tcW w:w="2114" w:type="dxa"/>
            <w:tcBorders>
              <w:bottom w:val="single" w:sz="16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815A" w14:textId="77777777" w:rsidR="00386B0A" w:rsidRPr="005D07B8" w:rsidRDefault="00386B0A" w:rsidP="00386B0A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B8">
              <w:rPr>
                <w:rFonts w:ascii="Times New Roman" w:eastAsia="Roboto" w:hAnsi="Times New Roman" w:cs="Times New Roman"/>
                <w:color w:val="111111"/>
                <w:sz w:val="20"/>
                <w:szCs w:val="20"/>
              </w:rPr>
              <w:t>3 ( 4.8%)</w:t>
            </w:r>
          </w:p>
        </w:tc>
        <w:tc>
          <w:tcPr>
            <w:tcW w:w="913" w:type="dxa"/>
            <w:vMerge/>
            <w:tcBorders>
              <w:bottom w:val="single" w:sz="16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C199C" w14:textId="77777777" w:rsidR="00386B0A" w:rsidRPr="005D07B8" w:rsidRDefault="00386B0A" w:rsidP="00386B0A">
            <w:pPr>
              <w:spacing w:before="40" w:after="40"/>
              <w:ind w:left="100"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C115BC" w14:textId="7713BE48" w:rsidR="00592A7E" w:rsidRPr="005D07B8" w:rsidRDefault="00592A7E">
      <w:pPr>
        <w:rPr>
          <w:rFonts w:ascii="Times New Roman" w:hAnsi="Times New Roman" w:cs="Times New Roman"/>
        </w:rPr>
      </w:pPr>
    </w:p>
    <w:p w14:paraId="4ABB569F" w14:textId="77777777" w:rsidR="00386B0A" w:rsidRPr="005D07B8" w:rsidRDefault="00386B0A" w:rsidP="00386B0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D07B8">
        <w:rPr>
          <w:rFonts w:ascii="Times New Roman" w:eastAsia="맑은 고딕" w:hAnsi="Times New Roman" w:cs="Times New Roman"/>
          <w:sz w:val="20"/>
          <w:szCs w:val="20"/>
          <w:lang w:eastAsia="ko-KR"/>
        </w:rPr>
        <w:t>*</w:t>
      </w:r>
      <w:r w:rsidRPr="005D07B8">
        <w:rPr>
          <w:rFonts w:ascii="Times New Roman" w:hAnsi="Times New Roman" w:cs="Times New Roman"/>
          <w:sz w:val="20"/>
          <w:szCs w:val="20"/>
        </w:rPr>
        <w:t xml:space="preserve"> </w:t>
      </w:r>
      <w:r w:rsidRPr="005D07B8">
        <w:rPr>
          <w:rFonts w:ascii="Times New Roman" w:hAnsi="Times New Roman" w:cs="Times New Roman"/>
          <w:color w:val="000000"/>
          <w:sz w:val="20"/>
          <w:szCs w:val="20"/>
        </w:rPr>
        <w:t>The Mantel–Haenszel χ2 test was used.</w:t>
      </w:r>
    </w:p>
    <w:p w14:paraId="4B77B72F" w14:textId="6F3F94D3" w:rsidR="00386B0A" w:rsidRPr="005D07B8" w:rsidRDefault="00B1127B">
      <w:pPr>
        <w:rPr>
          <w:rFonts w:ascii="Times New Roman" w:eastAsia="Roboto" w:hAnsi="Times New Roman" w:cs="Times New Roman"/>
          <w:color w:val="111111"/>
          <w:sz w:val="20"/>
          <w:szCs w:val="20"/>
        </w:rPr>
      </w:pPr>
      <w:r w:rsidRPr="005D07B8">
        <w:rPr>
          <w:rFonts w:ascii="Times New Roman" w:eastAsia="Roboto" w:hAnsi="Times New Roman" w:cs="Times New Roman"/>
          <w:color w:val="111111"/>
          <w:sz w:val="20"/>
          <w:szCs w:val="20"/>
        </w:rPr>
        <w:t>† Significant difference in total cholesterol demonstrated by post-hoc analysis via Tukey method.</w:t>
      </w:r>
    </w:p>
    <w:p w14:paraId="4AB38F2C" w14:textId="660C9FC7" w:rsidR="00B1127B" w:rsidRPr="005D07B8" w:rsidRDefault="00B1127B" w:rsidP="00B1127B">
      <w:pPr>
        <w:rPr>
          <w:rFonts w:ascii="Times New Roman" w:hAnsi="Times New Roman" w:cs="Times New Roman"/>
        </w:rPr>
      </w:pPr>
      <w:r w:rsidRPr="005D07B8">
        <w:rPr>
          <w:rFonts w:ascii="Times New Roman" w:eastAsia="Roboto" w:hAnsi="Times New Roman" w:cs="Times New Roman"/>
          <w:color w:val="111111"/>
          <w:sz w:val="20"/>
          <w:szCs w:val="20"/>
        </w:rPr>
        <w:t xml:space="preserve">‡ Significant difference in </w:t>
      </w:r>
      <w:r w:rsidR="00755FD4" w:rsidRPr="005D07B8">
        <w:rPr>
          <w:rFonts w:ascii="Times New Roman" w:eastAsia="Roboto" w:hAnsi="Times New Roman" w:cs="Times New Roman"/>
          <w:color w:val="111111"/>
          <w:sz w:val="20"/>
          <w:szCs w:val="20"/>
        </w:rPr>
        <w:t>LDL-C</w:t>
      </w:r>
      <w:r w:rsidRPr="005D07B8">
        <w:rPr>
          <w:rFonts w:ascii="Times New Roman" w:eastAsia="Roboto" w:hAnsi="Times New Roman" w:cs="Times New Roman"/>
          <w:color w:val="111111"/>
          <w:sz w:val="20"/>
          <w:szCs w:val="20"/>
        </w:rPr>
        <w:t xml:space="preserve"> demonstrated by post-hoc analysis via Tukey method</w:t>
      </w:r>
    </w:p>
    <w:p w14:paraId="05DD441B" w14:textId="667B5FA2" w:rsidR="00BE3759" w:rsidRPr="005D07B8" w:rsidRDefault="00BE3759" w:rsidP="00BE3759">
      <w:pPr>
        <w:rPr>
          <w:rFonts w:ascii="Times New Roman" w:eastAsia="맑은 고딕" w:hAnsi="Times New Roman" w:cs="Times New Roman"/>
          <w:sz w:val="20"/>
          <w:szCs w:val="20"/>
          <w:lang w:eastAsia="ko-KR"/>
        </w:rPr>
      </w:pPr>
      <w:r w:rsidRPr="005D07B8">
        <w:rPr>
          <w:rFonts w:ascii="Times New Roman" w:eastAsia="맑은 고딕" w:hAnsi="Times New Roman" w:cs="Times New Roman"/>
          <w:sz w:val="20"/>
          <w:szCs w:val="20"/>
          <w:lang w:eastAsia="ko-KR"/>
        </w:rPr>
        <w:t xml:space="preserve">AIP, atherogenic index of plasma; cDMARDs, conventional disease-modifying antirheumatic drugs; HDL-C, high-density lipoprotein cholesterol; LDL-C, low-density lipoprotein cholesterol; JAKi, janus kinase inhibitor; </w:t>
      </w:r>
      <w:r w:rsidRPr="005D07B8">
        <w:rPr>
          <w:rFonts w:ascii="Times New Roman" w:eastAsia="Roboto" w:hAnsi="Times New Roman" w:cs="Times New Roman"/>
          <w:color w:val="111111"/>
          <w:sz w:val="20"/>
          <w:szCs w:val="20"/>
        </w:rPr>
        <w:t>TNF-α, tumor necrosis factor α</w:t>
      </w:r>
    </w:p>
    <w:p w14:paraId="753D4601" w14:textId="148A723D" w:rsidR="00B1127B" w:rsidRPr="005D07B8" w:rsidRDefault="00B1127B">
      <w:pPr>
        <w:rPr>
          <w:rFonts w:ascii="Times New Roman" w:hAnsi="Times New Roman" w:cs="Times New Roman"/>
        </w:rPr>
      </w:pPr>
    </w:p>
    <w:sectPr w:rsidR="00B1127B" w:rsidRPr="005D07B8" w:rsidSect="00CB3CB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5F3EF" w14:textId="77777777" w:rsidR="00CB3CBE" w:rsidRDefault="00CB3CBE" w:rsidP="00CB3CBE">
      <w:r>
        <w:separator/>
      </w:r>
    </w:p>
  </w:endnote>
  <w:endnote w:type="continuationSeparator" w:id="0">
    <w:p w14:paraId="35DBD350" w14:textId="77777777" w:rsidR="00CB3CBE" w:rsidRDefault="00CB3CBE" w:rsidP="00CB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BAB55" w14:textId="77777777" w:rsidR="00CB3CBE" w:rsidRDefault="00CB3CBE" w:rsidP="00CB3CBE">
      <w:r>
        <w:separator/>
      </w:r>
    </w:p>
  </w:footnote>
  <w:footnote w:type="continuationSeparator" w:id="0">
    <w:p w14:paraId="6843C83B" w14:textId="77777777" w:rsidR="00CB3CBE" w:rsidRDefault="00CB3CBE" w:rsidP="00CB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9D"/>
    <w:rsid w:val="00024B8F"/>
    <w:rsid w:val="00036527"/>
    <w:rsid w:val="00073835"/>
    <w:rsid w:val="00156439"/>
    <w:rsid w:val="001C0A13"/>
    <w:rsid w:val="001D75AB"/>
    <w:rsid w:val="00362E65"/>
    <w:rsid w:val="00386B0A"/>
    <w:rsid w:val="004158F9"/>
    <w:rsid w:val="00457CF1"/>
    <w:rsid w:val="00592A7E"/>
    <w:rsid w:val="005B2547"/>
    <w:rsid w:val="005D07B8"/>
    <w:rsid w:val="00715E26"/>
    <w:rsid w:val="00747CCE"/>
    <w:rsid w:val="00755FD4"/>
    <w:rsid w:val="007A783E"/>
    <w:rsid w:val="007B3E96"/>
    <w:rsid w:val="008F1F48"/>
    <w:rsid w:val="00946CB3"/>
    <w:rsid w:val="00951B44"/>
    <w:rsid w:val="00AE18EF"/>
    <w:rsid w:val="00AE1BDD"/>
    <w:rsid w:val="00B1127B"/>
    <w:rsid w:val="00B4379D"/>
    <w:rsid w:val="00BB212D"/>
    <w:rsid w:val="00BE3759"/>
    <w:rsid w:val="00C31EEB"/>
    <w:rsid w:val="00CB3CBE"/>
    <w:rsid w:val="00D5773B"/>
    <w:rsid w:val="00F12158"/>
    <w:rsid w:val="00F4391F"/>
    <w:rsid w:val="00F745B2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C0D9BE"/>
  <w14:defaultImageDpi w14:val="300"/>
  <w15:docId w15:val="{18FB5E29-991E-4B29-A49E-59783E12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굵은 텍스트1"/>
    <w:basedOn w:val="a0"/>
    <w:uiPriority w:val="1"/>
    <w:qFormat/>
    <w:rsid w:val="007B3E96"/>
    <w:rPr>
      <w:b/>
    </w:rPr>
  </w:style>
  <w:style w:type="paragraph" w:customStyle="1" w:styleId="centered">
    <w:name w:val="centered"/>
    <w:basedOn w:val="a"/>
    <w:qFormat/>
    <w:rsid w:val="001D75AB"/>
    <w:pPr>
      <w:jc w:val="center"/>
    </w:pPr>
  </w:style>
  <w:style w:type="table" w:customStyle="1" w:styleId="tabletemplate">
    <w:name w:val="table_template"/>
    <w:basedOn w:val="a1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Light List Accent 2"/>
    <w:basedOn w:val="a1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1Char">
    <w:name w:val="제목 1 Char"/>
    <w:basedOn w:val="a0"/>
    <w:link w:val="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graphictitle">
    <w:name w:val="graphic title"/>
    <w:basedOn w:val="a"/>
    <w:qFormat/>
    <w:rsid w:val="00AE18EF"/>
    <w:pPr>
      <w:jc w:val="center"/>
    </w:pPr>
    <w:rPr>
      <w:b/>
      <w:i/>
    </w:rPr>
  </w:style>
  <w:style w:type="paragraph" w:customStyle="1" w:styleId="tabletitle">
    <w:name w:val="table title"/>
    <w:basedOn w:val="graphictitle"/>
    <w:qFormat/>
    <w:rsid w:val="00AE18EF"/>
  </w:style>
  <w:style w:type="table" w:styleId="a3">
    <w:name w:val="Table Professional"/>
    <w:basedOn w:val="a1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11">
    <w:name w:val="toc 1"/>
    <w:basedOn w:val="a"/>
    <w:next w:val="a"/>
    <w:autoRedefine/>
    <w:uiPriority w:val="39"/>
    <w:unhideWhenUsed/>
    <w:rsid w:val="00FB63E7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B63E7"/>
    <w:pPr>
      <w:spacing w:after="100"/>
      <w:ind w:left="240"/>
    </w:pPr>
  </w:style>
  <w:style w:type="paragraph" w:styleId="a4">
    <w:name w:val="Balloon Text"/>
    <w:basedOn w:val="a"/>
    <w:link w:val="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a0"/>
    <w:uiPriority w:val="1"/>
    <w:rsid w:val="00457CF1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CB3C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B3CBE"/>
  </w:style>
  <w:style w:type="paragraph" w:styleId="a6">
    <w:name w:val="footer"/>
    <w:basedOn w:val="a"/>
    <w:link w:val="Char1"/>
    <w:uiPriority w:val="99"/>
    <w:unhideWhenUsed/>
    <w:rsid w:val="00CB3C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B3CBE"/>
  </w:style>
  <w:style w:type="character" w:styleId="a7">
    <w:name w:val="Placeholder Text"/>
    <w:basedOn w:val="a0"/>
    <w:uiPriority w:val="99"/>
    <w:semiHidden/>
    <w:rsid w:val="00386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KUH</cp:lastModifiedBy>
  <cp:revision>20</cp:revision>
  <dcterms:created xsi:type="dcterms:W3CDTF">2017-02-28T11:18:00Z</dcterms:created>
  <dcterms:modified xsi:type="dcterms:W3CDTF">2020-06-01T08:44:00Z</dcterms:modified>
  <cp:category/>
</cp:coreProperties>
</file>