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40E9" w14:textId="67B928D1" w:rsidR="00A24CE8" w:rsidRPr="00AC3263" w:rsidRDefault="00A24CE8" w:rsidP="00AC3263">
      <w:pPr>
        <w:spacing w:line="360" w:lineRule="auto"/>
        <w:rPr>
          <w:rFonts w:ascii="Times New Roman" w:hAnsi="Times New Roman" w:cs="Times New Roman"/>
          <w:b/>
          <w:bCs/>
          <w:sz w:val="24"/>
          <w:szCs w:val="24"/>
        </w:rPr>
      </w:pPr>
      <w:r w:rsidRPr="00AC3263">
        <w:rPr>
          <w:rFonts w:ascii="Times New Roman" w:hAnsi="Times New Roman" w:cs="Times New Roman"/>
          <w:b/>
          <w:bCs/>
          <w:sz w:val="24"/>
          <w:szCs w:val="24"/>
        </w:rPr>
        <w:t xml:space="preserve">Supplementary </w:t>
      </w:r>
      <w:r w:rsidR="00AC3263" w:rsidRPr="00AC3263">
        <w:rPr>
          <w:rFonts w:ascii="Times New Roman" w:hAnsi="Times New Roman" w:cs="Times New Roman"/>
          <w:b/>
          <w:bCs/>
          <w:sz w:val="24"/>
          <w:szCs w:val="24"/>
        </w:rPr>
        <w:t>M</w:t>
      </w:r>
      <w:r w:rsidR="00AC3263" w:rsidRPr="00AC3263">
        <w:rPr>
          <w:rFonts w:ascii="Times New Roman" w:hAnsi="Times New Roman" w:cs="Times New Roman" w:hint="eastAsia"/>
          <w:b/>
          <w:bCs/>
          <w:sz w:val="24"/>
          <w:szCs w:val="24"/>
        </w:rPr>
        <w:t>at</w:t>
      </w:r>
      <w:r w:rsidR="00AC3263" w:rsidRPr="00AC3263">
        <w:rPr>
          <w:rFonts w:ascii="Times New Roman" w:hAnsi="Times New Roman" w:cs="Times New Roman"/>
          <w:b/>
          <w:bCs/>
          <w:sz w:val="24"/>
          <w:szCs w:val="24"/>
        </w:rPr>
        <w:t>erial</w:t>
      </w:r>
    </w:p>
    <w:p w14:paraId="54C347BE" w14:textId="545B9B68" w:rsidR="00A24CE8" w:rsidRPr="002B062E" w:rsidRDefault="00A24CE8" w:rsidP="00AC3263">
      <w:pPr>
        <w:spacing w:line="360" w:lineRule="auto"/>
        <w:rPr>
          <w:rFonts w:ascii="Times New Roman" w:hAnsi="Times New Roman" w:cs="Times New Roman"/>
          <w:b/>
          <w:bCs/>
          <w:sz w:val="24"/>
          <w:szCs w:val="24"/>
        </w:rPr>
      </w:pPr>
      <w:r w:rsidRPr="002B062E">
        <w:rPr>
          <w:rFonts w:ascii="Times New Roman" w:hAnsi="Times New Roman" w:cs="Times New Roman"/>
          <w:b/>
          <w:bCs/>
          <w:sz w:val="24"/>
          <w:szCs w:val="24"/>
        </w:rPr>
        <w:t>Title: Effects of brewers’ spent grain protein hydrolysates on gas production, ruminal fermentation characteristics, microbial protein synthesis and microbial community in an artificial rumen fed a high grain diet</w:t>
      </w:r>
      <w:bookmarkStart w:id="0" w:name="_GoBack"/>
      <w:bookmarkEnd w:id="0"/>
    </w:p>
    <w:p w14:paraId="3FCB6136" w14:textId="77777777" w:rsidR="000E7ACC" w:rsidRPr="00AC3263" w:rsidRDefault="008941AD" w:rsidP="00AC3263">
      <w:pPr>
        <w:spacing w:line="360" w:lineRule="auto"/>
        <w:rPr>
          <w:rFonts w:ascii="Times New Roman" w:hAnsi="Times New Roman" w:cs="Times New Roman"/>
          <w:sz w:val="24"/>
          <w:szCs w:val="24"/>
        </w:rPr>
      </w:pPr>
      <w:r w:rsidRPr="00AC3263">
        <w:rPr>
          <w:rFonts w:ascii="Times New Roman" w:hAnsi="Times New Roman" w:cs="Times New Roman"/>
          <w:sz w:val="24"/>
          <w:szCs w:val="24"/>
        </w:rPr>
        <w:t xml:space="preserve">Reference: </w:t>
      </w:r>
    </w:p>
    <w:p w14:paraId="69CA7569" w14:textId="3BDD7507" w:rsidR="008941AD" w:rsidRPr="00AC3263" w:rsidRDefault="000E7ACC" w:rsidP="00AC3263">
      <w:pPr>
        <w:spacing w:after="0" w:line="360" w:lineRule="auto"/>
        <w:jc w:val="both"/>
        <w:rPr>
          <w:rFonts w:ascii="Times New Roman" w:hAnsi="Times New Roman" w:cs="Times New Roman"/>
          <w:sz w:val="24"/>
          <w:szCs w:val="24"/>
        </w:rPr>
      </w:pPr>
      <w:proofErr w:type="spellStart"/>
      <w:r w:rsidRPr="00AC3263">
        <w:rPr>
          <w:rFonts w:ascii="Times New Roman" w:hAnsi="Times New Roman" w:cs="Times New Roman"/>
          <w:sz w:val="24"/>
          <w:szCs w:val="24"/>
        </w:rPr>
        <w:t>Galhenage</w:t>
      </w:r>
      <w:proofErr w:type="spellEnd"/>
      <w:r w:rsidRPr="00AC3263">
        <w:rPr>
          <w:rFonts w:ascii="Times New Roman" w:hAnsi="Times New Roman" w:cs="Times New Roman"/>
          <w:sz w:val="24"/>
          <w:szCs w:val="24"/>
        </w:rPr>
        <w:t xml:space="preserve"> </w:t>
      </w:r>
      <w:proofErr w:type="spellStart"/>
      <w:r w:rsidRPr="00AC3263">
        <w:rPr>
          <w:rFonts w:ascii="Times New Roman" w:hAnsi="Times New Roman" w:cs="Times New Roman"/>
          <w:sz w:val="24"/>
          <w:szCs w:val="24"/>
        </w:rPr>
        <w:t>Thanusha</w:t>
      </w:r>
      <w:proofErr w:type="spellEnd"/>
      <w:r w:rsidRPr="00AC3263">
        <w:rPr>
          <w:rFonts w:ascii="Times New Roman" w:hAnsi="Times New Roman" w:cs="Times New Roman"/>
          <w:sz w:val="24"/>
          <w:szCs w:val="24"/>
        </w:rPr>
        <w:t xml:space="preserve"> </w:t>
      </w:r>
      <w:proofErr w:type="spellStart"/>
      <w:r w:rsidRPr="00AC3263">
        <w:rPr>
          <w:rFonts w:ascii="Times New Roman" w:hAnsi="Times New Roman" w:cs="Times New Roman"/>
          <w:sz w:val="24"/>
          <w:szCs w:val="24"/>
        </w:rPr>
        <w:t>Ranithri</w:t>
      </w:r>
      <w:proofErr w:type="spellEnd"/>
      <w:r w:rsidRPr="00AC3263">
        <w:rPr>
          <w:rFonts w:ascii="Times New Roman" w:hAnsi="Times New Roman" w:cs="Times New Roman"/>
          <w:sz w:val="24"/>
          <w:szCs w:val="24"/>
        </w:rPr>
        <w:t xml:space="preserve"> </w:t>
      </w:r>
      <w:proofErr w:type="spellStart"/>
      <w:r w:rsidRPr="00AC3263">
        <w:rPr>
          <w:rFonts w:ascii="Times New Roman" w:hAnsi="Times New Roman" w:cs="Times New Roman"/>
          <w:sz w:val="24"/>
          <w:szCs w:val="24"/>
        </w:rPr>
        <w:t>Abeynayake</w:t>
      </w:r>
      <w:proofErr w:type="spellEnd"/>
      <w:r w:rsidRPr="00AC3263">
        <w:rPr>
          <w:rFonts w:ascii="Times New Roman" w:hAnsi="Times New Roman" w:cs="Times New Roman"/>
          <w:sz w:val="24"/>
          <w:szCs w:val="24"/>
        </w:rPr>
        <w:t xml:space="preserve"> (2019) Development of hydrolysates with antioxidant effects from brewers’ spent grain proteins, MSc. Thesis supervised by Dr. Lingyun Chen, Department of Agricultural, Food and Nutritional Science, University of Alberta</w:t>
      </w:r>
    </w:p>
    <w:p w14:paraId="5603D2F2" w14:textId="77777777" w:rsidR="000E7ACC" w:rsidRPr="00AC3263" w:rsidRDefault="000E7ACC" w:rsidP="00AC3263">
      <w:pPr>
        <w:spacing w:after="0" w:line="360" w:lineRule="auto"/>
        <w:jc w:val="both"/>
        <w:rPr>
          <w:rFonts w:ascii="Times New Roman" w:hAnsi="Times New Roman" w:cs="Times New Roman"/>
          <w:sz w:val="24"/>
          <w:szCs w:val="24"/>
        </w:rPr>
      </w:pPr>
    </w:p>
    <w:p w14:paraId="728EFD9A" w14:textId="4689D370" w:rsidR="003B499D" w:rsidRPr="004A6438" w:rsidRDefault="003B499D" w:rsidP="00AC3263">
      <w:pPr>
        <w:spacing w:line="360" w:lineRule="auto"/>
        <w:rPr>
          <w:rFonts w:ascii="Times New Roman" w:hAnsi="Times New Roman" w:cs="Times New Roman"/>
          <w:b/>
          <w:bCs/>
          <w:sz w:val="24"/>
          <w:szCs w:val="24"/>
        </w:rPr>
      </w:pPr>
      <w:r w:rsidRPr="004A6438">
        <w:rPr>
          <w:rFonts w:ascii="Times New Roman" w:hAnsi="Times New Roman" w:cs="Times New Roman"/>
          <w:b/>
          <w:bCs/>
          <w:sz w:val="24"/>
          <w:szCs w:val="24"/>
        </w:rPr>
        <w:t>1.  Preparation of BSG protein hydrolysates</w:t>
      </w:r>
    </w:p>
    <w:p w14:paraId="69E29031" w14:textId="4D5B6FE6" w:rsidR="00721659" w:rsidRPr="00AC3263" w:rsidRDefault="003B499D" w:rsidP="00AC3263">
      <w:pPr>
        <w:spacing w:line="360" w:lineRule="auto"/>
        <w:rPr>
          <w:rFonts w:ascii="Times New Roman" w:hAnsi="Times New Roman" w:cs="Times New Roman"/>
          <w:sz w:val="24"/>
          <w:szCs w:val="24"/>
        </w:rPr>
      </w:pPr>
      <w:r w:rsidRPr="00AC3263">
        <w:rPr>
          <w:rFonts w:ascii="Times New Roman" w:hAnsi="Times New Roman" w:cs="Times New Roman"/>
          <w:sz w:val="24"/>
          <w:szCs w:val="24"/>
        </w:rPr>
        <w:t xml:space="preserve">An aqueous suspension of 2% (w/v) BSG protein was hydrolyzed with </w:t>
      </w:r>
      <w:proofErr w:type="spellStart"/>
      <w:r w:rsidR="007F724D" w:rsidRPr="00AC3263">
        <w:rPr>
          <w:rFonts w:ascii="Times New Roman" w:hAnsi="Times New Roman" w:cs="Times New Roman"/>
          <w:sz w:val="24"/>
          <w:szCs w:val="24"/>
        </w:rPr>
        <w:t>alcalase</w:t>
      </w:r>
      <w:proofErr w:type="spellEnd"/>
      <w:r w:rsidR="007F724D" w:rsidRPr="00AC3263">
        <w:rPr>
          <w:rFonts w:ascii="Times New Roman" w:hAnsi="Times New Roman" w:cs="Times New Roman"/>
          <w:sz w:val="24"/>
          <w:szCs w:val="24"/>
        </w:rPr>
        <w:t xml:space="preserve"> or </w:t>
      </w:r>
      <w:proofErr w:type="spellStart"/>
      <w:r w:rsidR="007F724D" w:rsidRPr="00AC3263">
        <w:rPr>
          <w:rFonts w:ascii="Times New Roman" w:hAnsi="Times New Roman" w:cs="Times New Roman"/>
          <w:sz w:val="24"/>
          <w:szCs w:val="24"/>
        </w:rPr>
        <w:t>flavourzyme</w:t>
      </w:r>
      <w:proofErr w:type="spellEnd"/>
      <w:r w:rsidR="007F724D" w:rsidRPr="00AC3263">
        <w:rPr>
          <w:rFonts w:ascii="Times New Roman" w:hAnsi="Times New Roman" w:cs="Times New Roman"/>
          <w:sz w:val="24"/>
          <w:szCs w:val="24"/>
        </w:rPr>
        <w:t xml:space="preserve"> at 50</w:t>
      </w:r>
      <w:r w:rsidR="007F724D" w:rsidRPr="00AC3263">
        <w:rPr>
          <w:rFonts w:ascii="Times New Roman" w:hAnsi="Times New Roman" w:cs="Times New Roman"/>
          <w:sz w:val="24"/>
          <w:szCs w:val="24"/>
          <w:vertAlign w:val="superscript"/>
        </w:rPr>
        <w:t>o</w:t>
      </w:r>
      <w:r w:rsidR="007F724D" w:rsidRPr="00AC3263">
        <w:rPr>
          <w:rFonts w:ascii="Times New Roman" w:hAnsi="Times New Roman" w:cs="Times New Roman"/>
          <w:sz w:val="24"/>
          <w:szCs w:val="24"/>
        </w:rPr>
        <w:t xml:space="preserve">C for 4 h. The pH was 8 for </w:t>
      </w:r>
      <w:proofErr w:type="spellStart"/>
      <w:r w:rsidR="007F724D" w:rsidRPr="00AC3263">
        <w:rPr>
          <w:rFonts w:ascii="Times New Roman" w:hAnsi="Times New Roman" w:cs="Times New Roman"/>
          <w:sz w:val="24"/>
          <w:szCs w:val="24"/>
        </w:rPr>
        <w:t>alcalase</w:t>
      </w:r>
      <w:proofErr w:type="spellEnd"/>
      <w:r w:rsidR="007F724D" w:rsidRPr="00AC3263">
        <w:rPr>
          <w:rFonts w:ascii="Times New Roman" w:hAnsi="Times New Roman" w:cs="Times New Roman"/>
          <w:sz w:val="24"/>
          <w:szCs w:val="24"/>
        </w:rPr>
        <w:t xml:space="preserve"> treatment, and 6 for </w:t>
      </w:r>
      <w:proofErr w:type="spellStart"/>
      <w:r w:rsidR="007F724D" w:rsidRPr="00AC3263">
        <w:rPr>
          <w:rFonts w:ascii="Times New Roman" w:hAnsi="Times New Roman" w:cs="Times New Roman"/>
          <w:sz w:val="24"/>
          <w:szCs w:val="24"/>
        </w:rPr>
        <w:t>flavourzyme</w:t>
      </w:r>
      <w:proofErr w:type="spellEnd"/>
      <w:r w:rsidR="007F724D" w:rsidRPr="00AC3263">
        <w:rPr>
          <w:rFonts w:ascii="Times New Roman" w:hAnsi="Times New Roman" w:cs="Times New Roman"/>
          <w:sz w:val="24"/>
          <w:szCs w:val="24"/>
        </w:rPr>
        <w:t xml:space="preserve"> treatment</w:t>
      </w:r>
      <w:r w:rsidRPr="00AC3263">
        <w:rPr>
          <w:rFonts w:ascii="Times New Roman" w:hAnsi="Times New Roman" w:cs="Times New Roman"/>
          <w:sz w:val="24"/>
          <w:szCs w:val="24"/>
        </w:rPr>
        <w:t>. The substrate was mixed with 4% (w/w) enzyme (based on protein dry weight). The pH and temperature were monitored throughout the hydrolysis. At the end of hydrolysis, enzymes were inactivated by heating at 80</w:t>
      </w:r>
      <w:r w:rsidRPr="00AC3263">
        <w:rPr>
          <w:rFonts w:ascii="Times New Roman" w:hAnsi="Times New Roman" w:cs="Times New Roman"/>
          <w:sz w:val="24"/>
          <w:szCs w:val="24"/>
          <w:vertAlign w:val="superscript"/>
        </w:rPr>
        <w:t>o</w:t>
      </w:r>
      <w:r w:rsidRPr="00AC3263">
        <w:rPr>
          <w:rFonts w:ascii="Times New Roman" w:hAnsi="Times New Roman" w:cs="Times New Roman"/>
          <w:sz w:val="24"/>
          <w:szCs w:val="24"/>
        </w:rPr>
        <w:t xml:space="preserve"> C for 20 min. Centrifugation at 8,000×g for 15 min at 20</w:t>
      </w:r>
      <w:r w:rsidRPr="00AC3263">
        <w:rPr>
          <w:rFonts w:ascii="Times New Roman" w:hAnsi="Times New Roman" w:cs="Times New Roman"/>
          <w:sz w:val="24"/>
          <w:szCs w:val="24"/>
          <w:vertAlign w:val="superscript"/>
        </w:rPr>
        <w:t>o</w:t>
      </w:r>
      <w:r w:rsidRPr="00AC3263">
        <w:rPr>
          <w:rFonts w:ascii="Times New Roman" w:hAnsi="Times New Roman" w:cs="Times New Roman"/>
          <w:sz w:val="24"/>
          <w:szCs w:val="24"/>
        </w:rPr>
        <w:t xml:space="preserve"> C was done to separate solubilized protein from insoluble substances. The collected supernatant was adjusted to pH 7.0 and freeze dried.</w:t>
      </w:r>
    </w:p>
    <w:p w14:paraId="47E0A598" w14:textId="103D864C" w:rsidR="003528C6" w:rsidRPr="00AC3263" w:rsidRDefault="003528C6" w:rsidP="00AC3263">
      <w:pPr>
        <w:spacing w:line="360" w:lineRule="auto"/>
        <w:rPr>
          <w:rFonts w:ascii="Times New Roman" w:hAnsi="Times New Roman" w:cs="Times New Roman"/>
          <w:sz w:val="24"/>
          <w:szCs w:val="24"/>
        </w:rPr>
      </w:pPr>
    </w:p>
    <w:p w14:paraId="5ACBA1A8" w14:textId="4CCA775C" w:rsidR="003528C6" w:rsidRPr="004A6438" w:rsidRDefault="003528C6" w:rsidP="00AC3263">
      <w:pPr>
        <w:spacing w:line="360" w:lineRule="auto"/>
        <w:rPr>
          <w:rFonts w:ascii="Times New Roman" w:hAnsi="Times New Roman" w:cs="Times New Roman"/>
          <w:b/>
          <w:bCs/>
          <w:sz w:val="24"/>
          <w:szCs w:val="24"/>
        </w:rPr>
      </w:pPr>
      <w:r w:rsidRPr="004A6438">
        <w:rPr>
          <w:rFonts w:ascii="Times New Roman" w:hAnsi="Times New Roman" w:cs="Times New Roman"/>
          <w:b/>
          <w:bCs/>
          <w:sz w:val="24"/>
          <w:szCs w:val="24"/>
        </w:rPr>
        <w:t>2. DPPH free radical scavenging activity</w:t>
      </w:r>
    </w:p>
    <w:p w14:paraId="5649A850" w14:textId="305DF997" w:rsidR="003528C6" w:rsidRPr="00AC3263" w:rsidRDefault="00912EA8" w:rsidP="00AC3263">
      <w:pPr>
        <w:spacing w:line="360" w:lineRule="auto"/>
        <w:jc w:val="both"/>
        <w:rPr>
          <w:rFonts w:ascii="Times New Roman" w:hAnsi="Times New Roman" w:cs="Times New Roman"/>
          <w:sz w:val="24"/>
          <w:szCs w:val="24"/>
        </w:rPr>
      </w:pPr>
      <w:r w:rsidRPr="00AC3263">
        <w:rPr>
          <w:rFonts w:ascii="Times New Roman" w:hAnsi="Times New Roman" w:cs="Times New Roman"/>
          <w:sz w:val="24"/>
          <w:szCs w:val="24"/>
        </w:rPr>
        <w:t>For</w:t>
      </w:r>
      <w:r w:rsidR="003528C6" w:rsidRPr="00AC3263">
        <w:rPr>
          <w:rFonts w:ascii="Times New Roman" w:hAnsi="Times New Roman" w:cs="Times New Roman"/>
          <w:sz w:val="24"/>
          <w:szCs w:val="24"/>
        </w:rPr>
        <w:t xml:space="preserve"> DPPH assay</w:t>
      </w:r>
      <w:r w:rsidRPr="00AC3263">
        <w:rPr>
          <w:rFonts w:ascii="Times New Roman" w:hAnsi="Times New Roman" w:cs="Times New Roman"/>
          <w:sz w:val="24"/>
          <w:szCs w:val="24"/>
        </w:rPr>
        <w:t>, o</w:t>
      </w:r>
      <w:r w:rsidR="003528C6" w:rsidRPr="00AC3263">
        <w:rPr>
          <w:rFonts w:ascii="Times New Roman" w:hAnsi="Times New Roman" w:cs="Times New Roman"/>
          <w:sz w:val="24"/>
          <w:szCs w:val="24"/>
        </w:rPr>
        <w:t>ne milliliter of samples (1.0 mg/mL) were mixed with 1 mL of 0.1 mM DPPH in anhydrous ethanol. The mixture was shaken vigorously and incubated at room temperature for 30 min under light protection. BHT and ascorbic acid at concentrations of 0.1 and 0.01 mg/mL were used as positive controls. The reduction of DPPH free radicals was determined by measuring the absorbance at 517 nm. The ability of the samples to scavenge DPPH free radicals was calculated according to the following equation; %inhibition of DPPH radicals = (A0-A)/A0 x 100 %</w:t>
      </w:r>
    </w:p>
    <w:p w14:paraId="2355CF6D" w14:textId="460C574E" w:rsidR="003528C6" w:rsidRPr="00AC3263" w:rsidRDefault="003528C6" w:rsidP="00AC3263">
      <w:pPr>
        <w:spacing w:line="360" w:lineRule="auto"/>
        <w:jc w:val="both"/>
        <w:rPr>
          <w:rFonts w:ascii="Times New Roman" w:hAnsi="Times New Roman" w:cs="Times New Roman"/>
          <w:sz w:val="24"/>
          <w:szCs w:val="24"/>
        </w:rPr>
      </w:pPr>
      <w:r w:rsidRPr="00AC3263">
        <w:rPr>
          <w:rFonts w:ascii="Times New Roman" w:hAnsi="Times New Roman" w:cs="Times New Roman"/>
          <w:sz w:val="24"/>
          <w:szCs w:val="24"/>
        </w:rPr>
        <w:t>Where A0 and A represent the absorbance of the control and hydrolysate sample (control contained everything except hydrolysate), respectively.</w:t>
      </w:r>
    </w:p>
    <w:p w14:paraId="627E2699" w14:textId="1C9B9E91" w:rsidR="00A72561" w:rsidRPr="00AC3263" w:rsidRDefault="00A72561" w:rsidP="00AC3263">
      <w:pPr>
        <w:spacing w:line="360" w:lineRule="auto"/>
        <w:jc w:val="both"/>
        <w:rPr>
          <w:rFonts w:ascii="Times New Roman" w:hAnsi="Times New Roman" w:cs="Times New Roman"/>
          <w:sz w:val="24"/>
          <w:szCs w:val="24"/>
        </w:rPr>
      </w:pPr>
    </w:p>
    <w:p w14:paraId="00697A5C" w14:textId="43032AF9" w:rsidR="00A72561" w:rsidRPr="004A6438" w:rsidRDefault="00A72561" w:rsidP="00AC3263">
      <w:pPr>
        <w:spacing w:line="360" w:lineRule="auto"/>
        <w:jc w:val="both"/>
        <w:rPr>
          <w:rFonts w:ascii="Times New Roman" w:hAnsi="Times New Roman" w:cs="Times New Roman"/>
          <w:b/>
          <w:bCs/>
          <w:sz w:val="24"/>
          <w:szCs w:val="24"/>
        </w:rPr>
      </w:pPr>
      <w:r w:rsidRPr="004A6438">
        <w:rPr>
          <w:rFonts w:ascii="Times New Roman" w:hAnsi="Times New Roman" w:cs="Times New Roman"/>
          <w:b/>
          <w:bCs/>
          <w:sz w:val="24"/>
          <w:szCs w:val="24"/>
        </w:rPr>
        <w:lastRenderedPageBreak/>
        <w:t xml:space="preserve">3. Superoxide radical scavenging activity </w:t>
      </w:r>
    </w:p>
    <w:p w14:paraId="4D034843" w14:textId="77777777" w:rsidR="00A72561" w:rsidRPr="00AC3263" w:rsidRDefault="00A72561" w:rsidP="00AC3263">
      <w:pPr>
        <w:spacing w:line="360" w:lineRule="auto"/>
        <w:jc w:val="both"/>
        <w:rPr>
          <w:rFonts w:ascii="Times New Roman" w:hAnsi="Times New Roman" w:cs="Times New Roman"/>
          <w:sz w:val="24"/>
          <w:szCs w:val="24"/>
        </w:rPr>
      </w:pPr>
      <w:r w:rsidRPr="00AC3263">
        <w:rPr>
          <w:rFonts w:ascii="Times New Roman" w:hAnsi="Times New Roman" w:cs="Times New Roman"/>
          <w:sz w:val="24"/>
          <w:szCs w:val="24"/>
        </w:rPr>
        <w:t>Superoxide radical scavenging activity was measured by monitoring the inhibition of pyrogallol autoxidation and polymerization. Briefly, 80 µL of 2.0 mg/mL sample was mixed with 80 µL of 0.05 M Tris–HCl buffer (pH 8.3) containing 1 mM EDTA, followed by addition of 40 µL of 1.5 mM pyrogallol in 1.0 mM HCl. Absorbance was measured at 320 nm for 5 min at room temperature against the blank. Tris–HCl buffer was used instead of samples in the blank. Ascorbic acid at 0.01 and 0.1 mg/mL was used as the positive control. Superoxide radical scavenging activity was calculated using following equation: Superoxide radical scavenging activity = [(∆A</w:t>
      </w:r>
      <w:r w:rsidRPr="00AC3263">
        <w:rPr>
          <w:rFonts w:ascii="Times New Roman" w:hAnsi="Times New Roman" w:cs="Times New Roman"/>
          <w:sz w:val="24"/>
          <w:szCs w:val="24"/>
          <w:vertAlign w:val="subscript"/>
        </w:rPr>
        <w:t>0</w:t>
      </w:r>
      <w:r w:rsidRPr="00AC3263">
        <w:rPr>
          <w:rFonts w:ascii="Times New Roman" w:hAnsi="Times New Roman" w:cs="Times New Roman"/>
          <w:sz w:val="24"/>
          <w:szCs w:val="24"/>
        </w:rPr>
        <w:t>/min) - (∆A</w:t>
      </w:r>
      <w:r w:rsidRPr="00AC3263">
        <w:rPr>
          <w:rFonts w:ascii="Times New Roman" w:hAnsi="Times New Roman" w:cs="Times New Roman"/>
          <w:sz w:val="24"/>
          <w:szCs w:val="24"/>
          <w:vertAlign w:val="subscript"/>
        </w:rPr>
        <w:t>s</w:t>
      </w:r>
      <w:r w:rsidRPr="00AC3263">
        <w:rPr>
          <w:rFonts w:ascii="Times New Roman" w:hAnsi="Times New Roman" w:cs="Times New Roman"/>
          <w:sz w:val="24"/>
          <w:szCs w:val="24"/>
        </w:rPr>
        <w:t>/min)]/ (∆A</w:t>
      </w:r>
      <w:r w:rsidRPr="00AC3263">
        <w:rPr>
          <w:rFonts w:ascii="Times New Roman" w:hAnsi="Times New Roman" w:cs="Times New Roman"/>
          <w:sz w:val="24"/>
          <w:szCs w:val="24"/>
          <w:vertAlign w:val="subscript"/>
        </w:rPr>
        <w:t>0</w:t>
      </w:r>
      <w:r w:rsidRPr="00AC3263">
        <w:rPr>
          <w:rFonts w:ascii="Times New Roman" w:hAnsi="Times New Roman" w:cs="Times New Roman"/>
          <w:sz w:val="24"/>
          <w:szCs w:val="24"/>
        </w:rPr>
        <w:t>/min) × 100 Where A</w:t>
      </w:r>
      <w:r w:rsidRPr="00AC3263">
        <w:rPr>
          <w:rFonts w:ascii="Times New Roman" w:hAnsi="Times New Roman" w:cs="Times New Roman"/>
          <w:sz w:val="24"/>
          <w:szCs w:val="24"/>
          <w:vertAlign w:val="subscript"/>
        </w:rPr>
        <w:t>0</w:t>
      </w:r>
      <w:r w:rsidRPr="00AC3263">
        <w:rPr>
          <w:rFonts w:ascii="Times New Roman" w:hAnsi="Times New Roman" w:cs="Times New Roman"/>
          <w:sz w:val="24"/>
          <w:szCs w:val="24"/>
        </w:rPr>
        <w:t xml:space="preserve"> and A represent absorbance of the blank and the sample, respectively. </w:t>
      </w:r>
    </w:p>
    <w:p w14:paraId="005F84A2" w14:textId="77777777" w:rsidR="00A72561" w:rsidRPr="004A6438" w:rsidRDefault="00A72561" w:rsidP="00AC3263">
      <w:pPr>
        <w:spacing w:line="360" w:lineRule="auto"/>
        <w:jc w:val="both"/>
        <w:rPr>
          <w:rFonts w:ascii="Times New Roman" w:hAnsi="Times New Roman" w:cs="Times New Roman"/>
          <w:b/>
          <w:bCs/>
          <w:sz w:val="24"/>
          <w:szCs w:val="24"/>
        </w:rPr>
      </w:pPr>
      <w:r w:rsidRPr="004A6438">
        <w:rPr>
          <w:rFonts w:ascii="Times New Roman" w:hAnsi="Times New Roman" w:cs="Times New Roman"/>
          <w:b/>
          <w:bCs/>
          <w:sz w:val="24"/>
          <w:szCs w:val="24"/>
        </w:rPr>
        <w:t xml:space="preserve">4. Ferrous ion chelating activity </w:t>
      </w:r>
    </w:p>
    <w:p w14:paraId="191ED222" w14:textId="4778A442" w:rsidR="00A72561" w:rsidRDefault="00A72561" w:rsidP="00AC3263">
      <w:pPr>
        <w:spacing w:line="360" w:lineRule="auto"/>
        <w:jc w:val="both"/>
        <w:rPr>
          <w:rFonts w:ascii="Times New Roman" w:hAnsi="Times New Roman" w:cs="Times New Roman"/>
          <w:sz w:val="24"/>
          <w:szCs w:val="24"/>
        </w:rPr>
      </w:pPr>
      <w:r w:rsidRPr="00AC3263">
        <w:rPr>
          <w:rFonts w:ascii="Times New Roman" w:hAnsi="Times New Roman" w:cs="Times New Roman"/>
          <w:sz w:val="24"/>
          <w:szCs w:val="24"/>
        </w:rPr>
        <w:t>For ferrous ion chelating activity measurement, 1 mL of 20 µM FeCl2 was mixed with 0.5 mL of 1.0 mg/mL sample, and then 1mL of 0.5 mM ferrozine was added to initiate the reaction. Mixture was incubated at room temperature for 15 min prior to measuring absorbance at 562 nm. The EDTA at concentrations of 0.1 and 0.01 mg/mL were used as positive controls. Ferrous ion chelating ability was calculated by the following equation; % Ferrous ion chelating ability = (B</w:t>
      </w:r>
      <w:r w:rsidRPr="00AC3263">
        <w:rPr>
          <w:rFonts w:ascii="Times New Roman" w:hAnsi="Times New Roman" w:cs="Times New Roman"/>
          <w:sz w:val="24"/>
          <w:szCs w:val="24"/>
          <w:vertAlign w:val="subscript"/>
        </w:rPr>
        <w:t>0</w:t>
      </w:r>
      <w:r w:rsidRPr="00AC3263">
        <w:rPr>
          <w:rFonts w:ascii="Times New Roman" w:hAnsi="Times New Roman" w:cs="Times New Roman"/>
          <w:sz w:val="24"/>
          <w:szCs w:val="24"/>
        </w:rPr>
        <w:t>-B)/B</w:t>
      </w:r>
      <w:r w:rsidRPr="00AC3263">
        <w:rPr>
          <w:rFonts w:ascii="Times New Roman" w:hAnsi="Times New Roman" w:cs="Times New Roman"/>
          <w:sz w:val="24"/>
          <w:szCs w:val="24"/>
          <w:vertAlign w:val="subscript"/>
        </w:rPr>
        <w:t>0</w:t>
      </w:r>
      <w:r w:rsidRPr="00AC3263">
        <w:rPr>
          <w:rFonts w:ascii="Times New Roman" w:hAnsi="Times New Roman" w:cs="Times New Roman"/>
          <w:sz w:val="24"/>
          <w:szCs w:val="24"/>
        </w:rPr>
        <w:t xml:space="preserve"> x 100 % Where B</w:t>
      </w:r>
      <w:r w:rsidRPr="00AC3263">
        <w:rPr>
          <w:rFonts w:ascii="Times New Roman" w:hAnsi="Times New Roman" w:cs="Times New Roman"/>
          <w:sz w:val="24"/>
          <w:szCs w:val="24"/>
          <w:vertAlign w:val="subscript"/>
        </w:rPr>
        <w:t>0</w:t>
      </w:r>
      <w:r w:rsidRPr="00AC3263">
        <w:rPr>
          <w:rFonts w:ascii="Times New Roman" w:hAnsi="Times New Roman" w:cs="Times New Roman"/>
          <w:sz w:val="24"/>
          <w:szCs w:val="24"/>
        </w:rPr>
        <w:t xml:space="preserve"> and B represent the absorbance of the sample and the control (distilled water instead of hydrolysates), respectively.</w:t>
      </w:r>
    </w:p>
    <w:p w14:paraId="7A4260CC" w14:textId="77777777" w:rsidR="00AC3263" w:rsidRDefault="00AC3263" w:rsidP="00AC3263">
      <w:pPr>
        <w:spacing w:line="360" w:lineRule="auto"/>
        <w:jc w:val="both"/>
        <w:rPr>
          <w:rFonts w:ascii="Times New Roman" w:hAnsi="Times New Roman" w:cs="Times New Roman"/>
          <w:sz w:val="24"/>
          <w:szCs w:val="24"/>
        </w:rPr>
      </w:pPr>
    </w:p>
    <w:p w14:paraId="66A1FB2D" w14:textId="7CCDB922" w:rsidR="00AC3263" w:rsidRPr="00AC3263" w:rsidRDefault="00AC3263" w:rsidP="00AC3263">
      <w:pPr>
        <w:spacing w:after="0" w:line="360" w:lineRule="auto"/>
        <w:jc w:val="center"/>
        <w:rPr>
          <w:rFonts w:ascii="Times New Roman" w:hAnsi="Times New Roman" w:cs="Times New Roman"/>
          <w:sz w:val="24"/>
          <w:szCs w:val="24"/>
          <w:lang w:val="en-US"/>
        </w:rPr>
      </w:pPr>
      <w:r w:rsidRPr="00AC3263">
        <w:rPr>
          <w:rFonts w:ascii="Times New Roman" w:hAnsi="Times New Roman" w:cs="Times New Roman"/>
          <w:sz w:val="24"/>
          <w:szCs w:val="24"/>
          <w:lang w:val="en-US"/>
        </w:rPr>
        <w:t xml:space="preserve">Table 1 Antioxidant activity of brewers’ spent grain (BSG) protein hydrolysates generated using </w:t>
      </w:r>
      <w:proofErr w:type="spellStart"/>
      <w:r w:rsidRPr="00AC3263">
        <w:rPr>
          <w:rFonts w:ascii="Times New Roman" w:hAnsi="Times New Roman" w:cs="Times New Roman"/>
          <w:sz w:val="24"/>
          <w:szCs w:val="24"/>
          <w:lang w:val="en-US"/>
        </w:rPr>
        <w:t>alcalase</w:t>
      </w:r>
      <w:proofErr w:type="spellEnd"/>
      <w:r w:rsidRPr="00AC3263">
        <w:rPr>
          <w:rFonts w:ascii="Times New Roman" w:hAnsi="Times New Roman" w:cs="Times New Roman"/>
          <w:sz w:val="24"/>
          <w:szCs w:val="24"/>
          <w:lang w:val="en-US"/>
        </w:rPr>
        <w:t xml:space="preserve"> and </w:t>
      </w:r>
      <w:proofErr w:type="spellStart"/>
      <w:r w:rsidRPr="00AC3263">
        <w:rPr>
          <w:rFonts w:ascii="Times New Roman" w:hAnsi="Times New Roman" w:cs="Times New Roman"/>
          <w:sz w:val="24"/>
          <w:szCs w:val="24"/>
          <w:lang w:val="en-US"/>
        </w:rPr>
        <w:t>flavourzyme</w:t>
      </w:r>
      <w:proofErr w:type="spellEnd"/>
    </w:p>
    <w:tbl>
      <w:tblPr>
        <w:tblW w:w="5000" w:type="pct"/>
        <w:tblBorders>
          <w:top w:val="single" w:sz="12" w:space="0" w:color="auto"/>
          <w:bottom w:val="single" w:sz="12" w:space="0" w:color="auto"/>
        </w:tblBorders>
        <w:tblLook w:val="01E0" w:firstRow="1" w:lastRow="1" w:firstColumn="1" w:lastColumn="1" w:noHBand="0" w:noVBand="0"/>
      </w:tblPr>
      <w:tblGrid>
        <w:gridCol w:w="3957"/>
        <w:gridCol w:w="1088"/>
        <w:gridCol w:w="1172"/>
        <w:gridCol w:w="1256"/>
        <w:gridCol w:w="900"/>
        <w:gridCol w:w="987"/>
      </w:tblGrid>
      <w:tr w:rsidR="00AC3263" w:rsidRPr="00AC3263" w14:paraId="12556198" w14:textId="77777777" w:rsidTr="00AC3263">
        <w:trPr>
          <w:trHeight w:val="312"/>
        </w:trPr>
        <w:tc>
          <w:tcPr>
            <w:tcW w:w="2114" w:type="pct"/>
            <w:tcBorders>
              <w:top w:val="single" w:sz="12" w:space="0" w:color="auto"/>
            </w:tcBorders>
            <w:shd w:val="clear" w:color="auto" w:fill="auto"/>
            <w:tcMar>
              <w:left w:w="0" w:type="dxa"/>
              <w:right w:w="0" w:type="dxa"/>
            </w:tcMar>
            <w:vAlign w:val="center"/>
          </w:tcPr>
          <w:p w14:paraId="28D65C92" w14:textId="77777777" w:rsidR="00AC3263" w:rsidRPr="00AC3263" w:rsidRDefault="00AC3263" w:rsidP="00024DF0">
            <w:pPr>
              <w:spacing w:after="0" w:line="240" w:lineRule="auto"/>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Item</w:t>
            </w:r>
          </w:p>
        </w:tc>
        <w:tc>
          <w:tcPr>
            <w:tcW w:w="581" w:type="pct"/>
            <w:tcBorders>
              <w:top w:val="single" w:sz="12" w:space="0" w:color="auto"/>
            </w:tcBorders>
            <w:shd w:val="clear" w:color="auto" w:fill="auto"/>
          </w:tcPr>
          <w:p w14:paraId="42AA0F6D" w14:textId="77777777" w:rsidR="00AC3263" w:rsidRPr="00AC3263" w:rsidRDefault="00AC3263" w:rsidP="00024DF0">
            <w:pPr>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BSG</w:t>
            </w:r>
          </w:p>
        </w:tc>
        <w:tc>
          <w:tcPr>
            <w:tcW w:w="626" w:type="pct"/>
            <w:tcBorders>
              <w:top w:val="single" w:sz="12" w:space="0" w:color="auto"/>
            </w:tcBorders>
          </w:tcPr>
          <w:p w14:paraId="111E9FE4" w14:textId="77777777" w:rsidR="00AC3263" w:rsidRPr="00AC3263" w:rsidRDefault="00AC3263" w:rsidP="00024DF0">
            <w:pPr>
              <w:spacing w:after="0" w:line="240" w:lineRule="auto"/>
              <w:jc w:val="center"/>
              <w:rPr>
                <w:rFonts w:ascii="Times New Roman" w:eastAsia="SimSun" w:hAnsi="Times New Roman" w:cs="Times New Roman"/>
                <w:sz w:val="24"/>
                <w:szCs w:val="24"/>
                <w:highlight w:val="yellow"/>
                <w:lang w:val="en-US" w:eastAsia="en-US"/>
              </w:rPr>
            </w:pPr>
            <w:r w:rsidRPr="00AC3263">
              <w:rPr>
                <w:rFonts w:ascii="Times New Roman" w:eastAsia="SimSun" w:hAnsi="Times New Roman" w:cs="Times New Roman"/>
                <w:sz w:val="24"/>
                <w:szCs w:val="24"/>
                <w:lang w:val="en-US" w:eastAsia="en-US"/>
              </w:rPr>
              <w:t>AlcH1</w:t>
            </w:r>
          </w:p>
        </w:tc>
        <w:tc>
          <w:tcPr>
            <w:tcW w:w="671" w:type="pct"/>
            <w:tcBorders>
              <w:top w:val="single" w:sz="12" w:space="0" w:color="auto"/>
            </w:tcBorders>
          </w:tcPr>
          <w:p w14:paraId="5EE8B8C1" w14:textId="77777777" w:rsidR="00AC3263" w:rsidRPr="00AC3263" w:rsidRDefault="00AC3263" w:rsidP="00024DF0">
            <w:pPr>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FlaH</w:t>
            </w:r>
            <w:r w:rsidRPr="00AC3263">
              <w:rPr>
                <w:rFonts w:ascii="Times New Roman" w:eastAsia="SimSun" w:hAnsi="Times New Roman" w:cs="Times New Roman"/>
                <w:sz w:val="24"/>
                <w:szCs w:val="24"/>
                <w:vertAlign w:val="superscript"/>
                <w:lang w:val="en-US" w:eastAsia="en-US"/>
              </w:rPr>
              <w:t>2</w:t>
            </w:r>
          </w:p>
        </w:tc>
        <w:tc>
          <w:tcPr>
            <w:tcW w:w="481" w:type="pct"/>
            <w:tcBorders>
              <w:top w:val="single" w:sz="12" w:space="0" w:color="auto"/>
            </w:tcBorders>
          </w:tcPr>
          <w:p w14:paraId="2104B688" w14:textId="77777777" w:rsidR="00AC3263" w:rsidRPr="00AC3263" w:rsidRDefault="00AC3263" w:rsidP="00024DF0">
            <w:pPr>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SEM</w:t>
            </w:r>
          </w:p>
        </w:tc>
        <w:tc>
          <w:tcPr>
            <w:tcW w:w="527" w:type="pct"/>
            <w:tcBorders>
              <w:top w:val="single" w:sz="12" w:space="0" w:color="auto"/>
            </w:tcBorders>
          </w:tcPr>
          <w:p w14:paraId="4CDB40E5" w14:textId="77777777" w:rsidR="00AC3263" w:rsidRPr="00AC3263" w:rsidRDefault="00AC3263" w:rsidP="00024DF0">
            <w:pPr>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 xml:space="preserve">P value </w:t>
            </w:r>
          </w:p>
        </w:tc>
      </w:tr>
      <w:tr w:rsidR="00AC3263" w:rsidRPr="00AC3263" w14:paraId="17E3281F" w14:textId="77777777" w:rsidTr="00AC3263">
        <w:tc>
          <w:tcPr>
            <w:tcW w:w="2114" w:type="pct"/>
            <w:tcBorders>
              <w:top w:val="single" w:sz="8" w:space="0" w:color="auto"/>
            </w:tcBorders>
            <w:shd w:val="clear" w:color="auto" w:fill="auto"/>
            <w:tcMar>
              <w:left w:w="0" w:type="dxa"/>
              <w:right w:w="0" w:type="dxa"/>
            </w:tcMar>
          </w:tcPr>
          <w:p w14:paraId="708DB3DF" w14:textId="3118BDF0" w:rsidR="00AC3263" w:rsidRPr="00AC3263" w:rsidRDefault="00AC3263" w:rsidP="00AC3263">
            <w:pPr>
              <w:spacing w:after="0" w:line="240" w:lineRule="auto"/>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DPPH radical scavenging activity, %</w:t>
            </w:r>
          </w:p>
        </w:tc>
        <w:tc>
          <w:tcPr>
            <w:tcW w:w="581" w:type="pct"/>
            <w:tcBorders>
              <w:top w:val="single" w:sz="8" w:space="0" w:color="auto"/>
            </w:tcBorders>
            <w:shd w:val="clear" w:color="auto" w:fill="auto"/>
            <w:vAlign w:val="center"/>
          </w:tcPr>
          <w:p w14:paraId="073A5FEF" w14:textId="1D3B6B6B" w:rsidR="00AC3263" w:rsidRPr="00AC3263" w:rsidRDefault="00AC3263" w:rsidP="00AC3263">
            <w:pPr>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66.8</w:t>
            </w:r>
            <w:r w:rsidRPr="00AC3263">
              <w:rPr>
                <w:rFonts w:ascii="Times New Roman" w:eastAsia="SimSun" w:hAnsi="Times New Roman" w:cs="Times New Roman"/>
                <w:sz w:val="24"/>
                <w:szCs w:val="24"/>
                <w:vertAlign w:val="superscript"/>
                <w:lang w:val="en-US" w:eastAsia="en-US"/>
              </w:rPr>
              <w:t>c</w:t>
            </w:r>
          </w:p>
        </w:tc>
        <w:tc>
          <w:tcPr>
            <w:tcW w:w="626" w:type="pct"/>
            <w:tcBorders>
              <w:top w:val="single" w:sz="8" w:space="0" w:color="auto"/>
            </w:tcBorders>
            <w:shd w:val="clear" w:color="auto" w:fill="auto"/>
            <w:vAlign w:val="center"/>
          </w:tcPr>
          <w:p w14:paraId="657F1948" w14:textId="0B94A970" w:rsidR="00AC3263" w:rsidRPr="00AC3263" w:rsidRDefault="00AC3263" w:rsidP="00AC3263">
            <w:pPr>
              <w:spacing w:after="0" w:line="240" w:lineRule="auto"/>
              <w:jc w:val="center"/>
              <w:rPr>
                <w:rFonts w:ascii="Times New Roman" w:eastAsia="SimSun" w:hAnsi="Times New Roman" w:cs="Times New Roman"/>
                <w:sz w:val="24"/>
                <w:szCs w:val="24"/>
                <w:highlight w:val="yellow"/>
                <w:lang w:val="en-US" w:eastAsia="en-US"/>
              </w:rPr>
            </w:pPr>
            <w:r w:rsidRPr="00AC3263">
              <w:rPr>
                <w:rFonts w:ascii="Times New Roman" w:hAnsi="Times New Roman" w:cs="Times New Roman"/>
                <w:bCs/>
                <w:color w:val="000000"/>
                <w:sz w:val="24"/>
                <w:szCs w:val="24"/>
              </w:rPr>
              <w:t>72.7</w:t>
            </w:r>
            <w:r w:rsidRPr="00AC3263">
              <w:rPr>
                <w:rFonts w:ascii="Times New Roman" w:hAnsi="Times New Roman" w:cs="Times New Roman"/>
                <w:bCs/>
                <w:color w:val="000000"/>
                <w:sz w:val="24"/>
                <w:szCs w:val="24"/>
                <w:vertAlign w:val="superscript"/>
              </w:rPr>
              <w:t>a</w:t>
            </w:r>
          </w:p>
        </w:tc>
        <w:tc>
          <w:tcPr>
            <w:tcW w:w="671" w:type="pct"/>
            <w:tcBorders>
              <w:top w:val="single" w:sz="8" w:space="0" w:color="auto"/>
            </w:tcBorders>
          </w:tcPr>
          <w:p w14:paraId="57F9C79B" w14:textId="6134DEB0" w:rsidR="00AC3263" w:rsidRPr="00AC3263" w:rsidRDefault="00AC3263" w:rsidP="00AC3263">
            <w:pPr>
              <w:spacing w:after="0" w:line="240" w:lineRule="auto"/>
              <w:jc w:val="center"/>
              <w:rPr>
                <w:rFonts w:ascii="Times New Roman" w:eastAsia="SimSun" w:hAnsi="Times New Roman" w:cs="Times New Roman"/>
                <w:sz w:val="24"/>
                <w:szCs w:val="24"/>
                <w:lang w:val="en-US" w:eastAsia="en-US"/>
              </w:rPr>
            </w:pPr>
            <w:r w:rsidRPr="00AC3263">
              <w:rPr>
                <w:rFonts w:ascii="Times New Roman" w:hAnsi="Times New Roman" w:cs="Times New Roman"/>
                <w:bCs/>
                <w:color w:val="000000"/>
                <w:sz w:val="24"/>
                <w:szCs w:val="24"/>
              </w:rPr>
              <w:t>70.6</w:t>
            </w:r>
            <w:r w:rsidRPr="00AC3263">
              <w:rPr>
                <w:rFonts w:ascii="Times New Roman" w:hAnsi="Times New Roman" w:cs="Times New Roman"/>
                <w:bCs/>
                <w:color w:val="000000"/>
                <w:sz w:val="24"/>
                <w:szCs w:val="24"/>
                <w:vertAlign w:val="superscript"/>
              </w:rPr>
              <w:t>b</w:t>
            </w:r>
          </w:p>
        </w:tc>
        <w:tc>
          <w:tcPr>
            <w:tcW w:w="481" w:type="pct"/>
            <w:tcBorders>
              <w:top w:val="single" w:sz="8" w:space="0" w:color="auto"/>
            </w:tcBorders>
          </w:tcPr>
          <w:p w14:paraId="246B6718" w14:textId="444FFE33" w:rsidR="00AC3263" w:rsidRPr="00AC3263" w:rsidRDefault="00AC3263" w:rsidP="00AC3263">
            <w:pPr>
              <w:spacing w:after="0" w:line="240" w:lineRule="auto"/>
              <w:jc w:val="center"/>
              <w:rPr>
                <w:rFonts w:ascii="Times New Roman" w:eastAsia="SimSun" w:hAnsi="Times New Roman" w:cs="Times New Roman"/>
                <w:sz w:val="24"/>
                <w:szCs w:val="24"/>
                <w:lang w:val="en-US" w:eastAsia="en-US"/>
              </w:rPr>
            </w:pPr>
            <w:r w:rsidRPr="00AC3263">
              <w:rPr>
                <w:rFonts w:ascii="Times New Roman" w:hAnsi="Times New Roman" w:cs="Times New Roman"/>
                <w:bCs/>
                <w:color w:val="000000"/>
                <w:sz w:val="24"/>
                <w:szCs w:val="24"/>
              </w:rPr>
              <w:t>0.56</w:t>
            </w:r>
          </w:p>
        </w:tc>
        <w:tc>
          <w:tcPr>
            <w:tcW w:w="527" w:type="pct"/>
            <w:tcBorders>
              <w:top w:val="single" w:sz="8" w:space="0" w:color="auto"/>
            </w:tcBorders>
          </w:tcPr>
          <w:p w14:paraId="475EB8C5" w14:textId="4BD7B275" w:rsidR="00AC3263" w:rsidRPr="00AC3263" w:rsidRDefault="00AC3263" w:rsidP="00AC3263">
            <w:pPr>
              <w:spacing w:after="0" w:line="240" w:lineRule="auto"/>
              <w:jc w:val="center"/>
              <w:rPr>
                <w:rFonts w:ascii="Times New Roman" w:eastAsia="SimSun" w:hAnsi="Times New Roman" w:cs="Times New Roman"/>
                <w:sz w:val="24"/>
                <w:szCs w:val="24"/>
                <w:lang w:val="en-US" w:eastAsia="en-US"/>
              </w:rPr>
            </w:pPr>
            <w:r w:rsidRPr="00AC3263">
              <w:rPr>
                <w:rFonts w:ascii="Times New Roman" w:hAnsi="Times New Roman" w:cs="Times New Roman"/>
                <w:bCs/>
                <w:color w:val="000000"/>
                <w:sz w:val="24"/>
                <w:szCs w:val="24"/>
              </w:rPr>
              <w:t>0.02</w:t>
            </w:r>
          </w:p>
        </w:tc>
      </w:tr>
      <w:tr w:rsidR="00AC3263" w:rsidRPr="00AC3263" w14:paraId="71CAF3A5" w14:textId="77777777" w:rsidTr="00AC3263">
        <w:tc>
          <w:tcPr>
            <w:tcW w:w="2114" w:type="pct"/>
            <w:shd w:val="clear" w:color="auto" w:fill="auto"/>
            <w:tcMar>
              <w:left w:w="0" w:type="dxa"/>
              <w:right w:w="0" w:type="dxa"/>
            </w:tcMar>
          </w:tcPr>
          <w:p w14:paraId="0086FCD7" w14:textId="2CE61ABB" w:rsidR="00AC3263" w:rsidRPr="00AC3263" w:rsidRDefault="00AC3263" w:rsidP="00AC3263">
            <w:pPr>
              <w:spacing w:after="0" w:line="240" w:lineRule="auto"/>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Ferrous ion chelating activity, %</w:t>
            </w:r>
          </w:p>
        </w:tc>
        <w:tc>
          <w:tcPr>
            <w:tcW w:w="581" w:type="pct"/>
            <w:shd w:val="clear" w:color="auto" w:fill="auto"/>
            <w:vAlign w:val="center"/>
          </w:tcPr>
          <w:p w14:paraId="559E73D5" w14:textId="129C44D0" w:rsidR="00AC3263" w:rsidRPr="00AC3263" w:rsidRDefault="00AC3263" w:rsidP="00AC3263">
            <w:pPr>
              <w:autoSpaceDE w:val="0"/>
              <w:autoSpaceDN w:val="0"/>
              <w:adjustRightInd w:val="0"/>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16.9</w:t>
            </w:r>
            <w:r w:rsidRPr="00AC3263">
              <w:rPr>
                <w:rFonts w:ascii="Times New Roman" w:eastAsia="SimSun" w:hAnsi="Times New Roman" w:cs="Times New Roman"/>
                <w:sz w:val="24"/>
                <w:szCs w:val="24"/>
                <w:vertAlign w:val="superscript"/>
                <w:lang w:val="en-US" w:eastAsia="en-US"/>
              </w:rPr>
              <w:t>c</w:t>
            </w:r>
          </w:p>
        </w:tc>
        <w:tc>
          <w:tcPr>
            <w:tcW w:w="626" w:type="pct"/>
            <w:shd w:val="clear" w:color="auto" w:fill="auto"/>
            <w:vAlign w:val="center"/>
          </w:tcPr>
          <w:p w14:paraId="3ACEA745" w14:textId="1008A0FA" w:rsidR="00AC3263" w:rsidRPr="00AC3263" w:rsidRDefault="00AC3263" w:rsidP="00AC3263">
            <w:pPr>
              <w:autoSpaceDE w:val="0"/>
              <w:autoSpaceDN w:val="0"/>
              <w:adjustRightInd w:val="0"/>
              <w:spacing w:after="0" w:line="240" w:lineRule="auto"/>
              <w:jc w:val="center"/>
              <w:rPr>
                <w:rFonts w:ascii="Times New Roman" w:hAnsi="Times New Roman" w:cs="Times New Roman"/>
                <w:bCs/>
                <w:color w:val="000000"/>
                <w:sz w:val="24"/>
                <w:szCs w:val="24"/>
              </w:rPr>
            </w:pPr>
            <w:r w:rsidRPr="00AC3263">
              <w:rPr>
                <w:rFonts w:ascii="Times New Roman" w:hAnsi="Times New Roman" w:cs="Times New Roman"/>
                <w:bCs/>
                <w:color w:val="000000"/>
                <w:sz w:val="24"/>
                <w:szCs w:val="24"/>
              </w:rPr>
              <w:t>22.6</w:t>
            </w:r>
            <w:r w:rsidRPr="00AC3263">
              <w:rPr>
                <w:rFonts w:ascii="Times New Roman" w:hAnsi="Times New Roman" w:cs="Times New Roman"/>
                <w:bCs/>
                <w:color w:val="000000"/>
                <w:sz w:val="24"/>
                <w:szCs w:val="24"/>
                <w:vertAlign w:val="superscript"/>
              </w:rPr>
              <w:t>a</w:t>
            </w:r>
          </w:p>
        </w:tc>
        <w:tc>
          <w:tcPr>
            <w:tcW w:w="671" w:type="pct"/>
          </w:tcPr>
          <w:p w14:paraId="24F3CECC" w14:textId="36146040" w:rsidR="00AC3263" w:rsidRPr="00AC3263" w:rsidRDefault="00AC3263" w:rsidP="00AC3263">
            <w:pPr>
              <w:autoSpaceDE w:val="0"/>
              <w:autoSpaceDN w:val="0"/>
              <w:adjustRightInd w:val="0"/>
              <w:spacing w:after="0" w:line="240" w:lineRule="auto"/>
              <w:jc w:val="center"/>
              <w:rPr>
                <w:rFonts w:ascii="Times New Roman" w:eastAsia="SimSun" w:hAnsi="Times New Roman" w:cs="Times New Roman"/>
                <w:sz w:val="24"/>
                <w:szCs w:val="24"/>
                <w:lang w:val="en-US" w:eastAsia="en-US"/>
              </w:rPr>
            </w:pPr>
            <w:r w:rsidRPr="00AC3263">
              <w:rPr>
                <w:rFonts w:ascii="Times New Roman" w:hAnsi="Times New Roman" w:cs="Times New Roman"/>
                <w:bCs/>
                <w:color w:val="000000"/>
                <w:sz w:val="24"/>
                <w:szCs w:val="24"/>
              </w:rPr>
              <w:t>19.8</w:t>
            </w:r>
            <w:r w:rsidRPr="00AC3263">
              <w:rPr>
                <w:rFonts w:ascii="Times New Roman" w:hAnsi="Times New Roman" w:cs="Times New Roman"/>
                <w:bCs/>
                <w:color w:val="000000"/>
                <w:sz w:val="24"/>
                <w:szCs w:val="24"/>
                <w:vertAlign w:val="superscript"/>
              </w:rPr>
              <w:t>b</w:t>
            </w:r>
          </w:p>
        </w:tc>
        <w:tc>
          <w:tcPr>
            <w:tcW w:w="481" w:type="pct"/>
          </w:tcPr>
          <w:p w14:paraId="38511B96" w14:textId="46BD5163" w:rsidR="00AC3263" w:rsidRPr="00AC3263" w:rsidRDefault="00AC3263" w:rsidP="00AC3263">
            <w:pPr>
              <w:autoSpaceDE w:val="0"/>
              <w:autoSpaceDN w:val="0"/>
              <w:adjustRightInd w:val="0"/>
              <w:spacing w:after="0" w:line="240" w:lineRule="auto"/>
              <w:jc w:val="center"/>
              <w:rPr>
                <w:rFonts w:ascii="Times New Roman" w:eastAsia="SimSun" w:hAnsi="Times New Roman" w:cs="Times New Roman"/>
                <w:sz w:val="24"/>
                <w:szCs w:val="24"/>
                <w:lang w:val="en-US" w:eastAsia="en-US"/>
              </w:rPr>
            </w:pPr>
            <w:r w:rsidRPr="00AC3263">
              <w:rPr>
                <w:rFonts w:ascii="Times New Roman" w:hAnsi="Times New Roman" w:cs="Times New Roman"/>
                <w:bCs/>
                <w:color w:val="000000"/>
                <w:sz w:val="24"/>
                <w:szCs w:val="24"/>
              </w:rPr>
              <w:t>0.37</w:t>
            </w:r>
          </w:p>
        </w:tc>
        <w:tc>
          <w:tcPr>
            <w:tcW w:w="527" w:type="pct"/>
          </w:tcPr>
          <w:p w14:paraId="1A9C1B2B" w14:textId="67E83082" w:rsidR="00AC3263" w:rsidRPr="00AC3263" w:rsidRDefault="00AC3263" w:rsidP="00AC3263">
            <w:pPr>
              <w:autoSpaceDE w:val="0"/>
              <w:autoSpaceDN w:val="0"/>
              <w:adjustRightInd w:val="0"/>
              <w:spacing w:after="0" w:line="240" w:lineRule="auto"/>
              <w:jc w:val="center"/>
              <w:rPr>
                <w:rFonts w:ascii="Times New Roman" w:eastAsia="SimSun" w:hAnsi="Times New Roman" w:cs="Times New Roman"/>
                <w:sz w:val="24"/>
                <w:szCs w:val="24"/>
                <w:lang w:val="en-US" w:eastAsia="en-US"/>
              </w:rPr>
            </w:pPr>
            <w:r w:rsidRPr="00AC3263">
              <w:rPr>
                <w:rFonts w:ascii="Times New Roman" w:hAnsi="Times New Roman" w:cs="Times New Roman"/>
                <w:bCs/>
                <w:color w:val="000000"/>
                <w:sz w:val="24"/>
                <w:szCs w:val="24"/>
              </w:rPr>
              <w:t>0.01</w:t>
            </w:r>
          </w:p>
        </w:tc>
      </w:tr>
      <w:tr w:rsidR="00AC3263" w:rsidRPr="00AC3263" w14:paraId="66F01CFB" w14:textId="77777777" w:rsidTr="00AC3263">
        <w:tc>
          <w:tcPr>
            <w:tcW w:w="2114" w:type="pct"/>
            <w:shd w:val="clear" w:color="auto" w:fill="auto"/>
            <w:tcMar>
              <w:left w:w="0" w:type="dxa"/>
              <w:right w:w="0" w:type="dxa"/>
            </w:tcMar>
          </w:tcPr>
          <w:p w14:paraId="358319E5" w14:textId="77777777" w:rsidR="00AC3263" w:rsidRPr="00AC3263" w:rsidRDefault="00AC3263" w:rsidP="00AC3263">
            <w:pPr>
              <w:spacing w:after="0" w:line="240" w:lineRule="auto"/>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Reducing power</w:t>
            </w:r>
          </w:p>
        </w:tc>
        <w:tc>
          <w:tcPr>
            <w:tcW w:w="581" w:type="pct"/>
            <w:shd w:val="clear" w:color="auto" w:fill="auto"/>
            <w:vAlign w:val="center"/>
          </w:tcPr>
          <w:p w14:paraId="01852ECD" w14:textId="77777777" w:rsidR="00AC3263" w:rsidRPr="00AC3263" w:rsidRDefault="00AC3263" w:rsidP="00AC3263">
            <w:pPr>
              <w:spacing w:after="0" w:line="240" w:lineRule="auto"/>
              <w:jc w:val="center"/>
              <w:rPr>
                <w:rFonts w:ascii="Times New Roman" w:hAnsi="Times New Roman" w:cs="Times New Roman"/>
                <w:bCs/>
                <w:color w:val="000000"/>
                <w:sz w:val="24"/>
                <w:szCs w:val="24"/>
              </w:rPr>
            </w:pPr>
            <w:r w:rsidRPr="00AC3263">
              <w:rPr>
                <w:rFonts w:ascii="Times New Roman" w:hAnsi="Times New Roman" w:cs="Times New Roman"/>
                <w:bCs/>
                <w:color w:val="000000"/>
                <w:sz w:val="24"/>
                <w:szCs w:val="24"/>
              </w:rPr>
              <w:t>0.302</w:t>
            </w:r>
            <w:r w:rsidRPr="00AC3263">
              <w:rPr>
                <w:rFonts w:ascii="Times New Roman" w:hAnsi="Times New Roman" w:cs="Times New Roman"/>
                <w:bCs/>
                <w:color w:val="000000"/>
                <w:sz w:val="24"/>
                <w:szCs w:val="24"/>
                <w:vertAlign w:val="superscript"/>
              </w:rPr>
              <w:t>b</w:t>
            </w:r>
          </w:p>
        </w:tc>
        <w:tc>
          <w:tcPr>
            <w:tcW w:w="626" w:type="pct"/>
            <w:shd w:val="clear" w:color="auto" w:fill="auto"/>
            <w:vAlign w:val="center"/>
          </w:tcPr>
          <w:p w14:paraId="6D612252" w14:textId="77777777" w:rsidR="00AC3263" w:rsidRPr="00AC3263" w:rsidRDefault="00AC3263" w:rsidP="00AC3263">
            <w:pPr>
              <w:spacing w:after="0" w:line="240" w:lineRule="auto"/>
              <w:jc w:val="center"/>
              <w:rPr>
                <w:rFonts w:ascii="Times New Roman" w:eastAsia="SimSun" w:hAnsi="Times New Roman" w:cs="Times New Roman"/>
                <w:sz w:val="24"/>
                <w:szCs w:val="24"/>
                <w:lang w:val="en-US" w:eastAsia="en-US"/>
              </w:rPr>
            </w:pPr>
            <w:r w:rsidRPr="00AC3263">
              <w:rPr>
                <w:rFonts w:ascii="Times New Roman" w:hAnsi="Times New Roman" w:cs="Times New Roman"/>
                <w:bCs/>
                <w:color w:val="000000"/>
                <w:sz w:val="24"/>
                <w:szCs w:val="24"/>
              </w:rPr>
              <w:t>0.405</w:t>
            </w:r>
            <w:r w:rsidRPr="00AC3263">
              <w:rPr>
                <w:rFonts w:ascii="Times New Roman" w:hAnsi="Times New Roman" w:cs="Times New Roman"/>
                <w:bCs/>
                <w:color w:val="000000"/>
                <w:sz w:val="24"/>
                <w:szCs w:val="24"/>
                <w:vertAlign w:val="superscript"/>
              </w:rPr>
              <w:t>a</w:t>
            </w:r>
          </w:p>
        </w:tc>
        <w:tc>
          <w:tcPr>
            <w:tcW w:w="671" w:type="pct"/>
          </w:tcPr>
          <w:p w14:paraId="426E984E" w14:textId="77777777" w:rsidR="00AC3263" w:rsidRPr="00AC3263" w:rsidRDefault="00AC3263" w:rsidP="00AC3263">
            <w:pPr>
              <w:spacing w:after="0" w:line="240" w:lineRule="auto"/>
              <w:jc w:val="center"/>
              <w:rPr>
                <w:rFonts w:ascii="Times New Roman" w:hAnsi="Times New Roman" w:cs="Times New Roman"/>
                <w:bCs/>
                <w:color w:val="000000"/>
                <w:sz w:val="24"/>
                <w:szCs w:val="24"/>
              </w:rPr>
            </w:pPr>
            <w:r w:rsidRPr="00AC3263">
              <w:rPr>
                <w:rFonts w:ascii="Times New Roman" w:eastAsia="SimSun" w:hAnsi="Times New Roman" w:cs="Times New Roman"/>
                <w:sz w:val="24"/>
                <w:szCs w:val="24"/>
                <w:lang w:val="en-US" w:eastAsia="en-US"/>
              </w:rPr>
              <w:t>0.428</w:t>
            </w:r>
            <w:r w:rsidRPr="00AC3263">
              <w:rPr>
                <w:rFonts w:ascii="Times New Roman" w:eastAsia="SimSun" w:hAnsi="Times New Roman" w:cs="Times New Roman"/>
                <w:sz w:val="24"/>
                <w:szCs w:val="24"/>
                <w:vertAlign w:val="superscript"/>
                <w:lang w:val="en-US" w:eastAsia="en-US"/>
              </w:rPr>
              <w:t>a</w:t>
            </w:r>
          </w:p>
        </w:tc>
        <w:tc>
          <w:tcPr>
            <w:tcW w:w="481" w:type="pct"/>
          </w:tcPr>
          <w:p w14:paraId="27D5B8BC" w14:textId="77777777" w:rsidR="00AC3263" w:rsidRPr="00AC3263" w:rsidRDefault="00AC3263" w:rsidP="00AC3263">
            <w:pPr>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0.018</w:t>
            </w:r>
          </w:p>
        </w:tc>
        <w:tc>
          <w:tcPr>
            <w:tcW w:w="527" w:type="pct"/>
          </w:tcPr>
          <w:p w14:paraId="4D1CDA50" w14:textId="77777777" w:rsidR="00AC3263" w:rsidRPr="00AC3263" w:rsidRDefault="00AC3263" w:rsidP="00AC3263">
            <w:pPr>
              <w:spacing w:after="0" w:line="240" w:lineRule="auto"/>
              <w:jc w:val="center"/>
              <w:rPr>
                <w:rFonts w:ascii="Times New Roman" w:eastAsia="SimSun" w:hAnsi="Times New Roman" w:cs="Times New Roman"/>
                <w:sz w:val="24"/>
                <w:szCs w:val="24"/>
                <w:lang w:val="en-US" w:eastAsia="en-US"/>
              </w:rPr>
            </w:pPr>
            <w:r w:rsidRPr="00AC3263">
              <w:rPr>
                <w:rFonts w:ascii="Times New Roman" w:eastAsia="SimSun" w:hAnsi="Times New Roman" w:cs="Times New Roman"/>
                <w:sz w:val="24"/>
                <w:szCs w:val="24"/>
                <w:lang w:val="en-US" w:eastAsia="en-US"/>
              </w:rPr>
              <w:t>0.01</w:t>
            </w:r>
          </w:p>
        </w:tc>
      </w:tr>
    </w:tbl>
    <w:p w14:paraId="2494B4EF" w14:textId="77777777" w:rsidR="00AC3263" w:rsidRPr="00AC3263" w:rsidRDefault="00AC3263" w:rsidP="00AC3263">
      <w:pPr>
        <w:autoSpaceDE w:val="0"/>
        <w:autoSpaceDN w:val="0"/>
        <w:adjustRightInd w:val="0"/>
        <w:spacing w:after="0" w:line="360" w:lineRule="auto"/>
        <w:ind w:left="360" w:hanging="360"/>
        <w:rPr>
          <w:rFonts w:ascii="Times New Roman" w:eastAsia="SimSun" w:hAnsi="Times New Roman" w:cs="Times New Roman"/>
          <w:sz w:val="24"/>
          <w:szCs w:val="24"/>
          <w:lang w:val="en-US" w:eastAsia="en-US"/>
        </w:rPr>
      </w:pPr>
      <w:r w:rsidRPr="00AC3263">
        <w:rPr>
          <w:rFonts w:ascii="Times New Roman" w:hAnsi="Times New Roman" w:cs="Times New Roman"/>
          <w:color w:val="000000" w:themeColor="text1"/>
          <w:sz w:val="24"/>
          <w:szCs w:val="24"/>
          <w:vertAlign w:val="superscript"/>
          <w:lang w:val="en-US" w:eastAsia="en-US"/>
        </w:rPr>
        <w:t>1</w:t>
      </w:r>
      <w:r w:rsidRPr="00AC3263">
        <w:rPr>
          <w:rFonts w:ascii="Times New Roman" w:hAnsi="Times New Roman" w:cs="Times New Roman"/>
          <w:color w:val="000000" w:themeColor="text1"/>
          <w:sz w:val="24"/>
          <w:szCs w:val="24"/>
          <w:lang w:val="en-US" w:eastAsia="en-US"/>
        </w:rPr>
        <w:t xml:space="preserve">AlcH = </w:t>
      </w:r>
      <w:proofErr w:type="spellStart"/>
      <w:r w:rsidRPr="00AC3263">
        <w:rPr>
          <w:rFonts w:ascii="Times New Roman" w:eastAsia="SimSun" w:hAnsi="Times New Roman" w:cs="Times New Roman"/>
          <w:sz w:val="24"/>
          <w:szCs w:val="24"/>
          <w:lang w:val="en-US" w:eastAsia="en-US"/>
        </w:rPr>
        <w:t>Alcalase</w:t>
      </w:r>
      <w:proofErr w:type="spellEnd"/>
      <w:r w:rsidRPr="00AC3263">
        <w:rPr>
          <w:rFonts w:ascii="Times New Roman" w:eastAsia="SimSun" w:hAnsi="Times New Roman" w:cs="Times New Roman"/>
          <w:sz w:val="24"/>
          <w:szCs w:val="24"/>
          <w:lang w:val="en-US" w:eastAsia="en-US"/>
        </w:rPr>
        <w:t xml:space="preserve"> hydrolysates; </w:t>
      </w:r>
    </w:p>
    <w:p w14:paraId="77EDEFF1" w14:textId="77777777" w:rsidR="00AC3263" w:rsidRPr="00AC3263" w:rsidRDefault="00AC3263" w:rsidP="00AC3263">
      <w:pPr>
        <w:autoSpaceDE w:val="0"/>
        <w:autoSpaceDN w:val="0"/>
        <w:adjustRightInd w:val="0"/>
        <w:spacing w:after="0" w:line="360" w:lineRule="auto"/>
        <w:ind w:left="360" w:hanging="360"/>
        <w:rPr>
          <w:rFonts w:ascii="Times New Roman" w:eastAsia="SimSun" w:hAnsi="Times New Roman" w:cs="Times New Roman"/>
          <w:sz w:val="24"/>
          <w:szCs w:val="24"/>
          <w:lang w:val="en-US" w:eastAsia="en-US"/>
        </w:rPr>
      </w:pPr>
      <w:r w:rsidRPr="00AC3263">
        <w:rPr>
          <w:rFonts w:ascii="Times New Roman" w:hAnsi="Times New Roman" w:cs="Times New Roman"/>
          <w:color w:val="000000" w:themeColor="text1"/>
          <w:sz w:val="24"/>
          <w:szCs w:val="24"/>
          <w:vertAlign w:val="superscript"/>
          <w:lang w:val="en-US" w:eastAsia="en-US"/>
        </w:rPr>
        <w:t>2</w:t>
      </w:r>
      <w:r w:rsidRPr="00AC3263">
        <w:rPr>
          <w:rFonts w:ascii="Times New Roman" w:eastAsia="SimSun" w:hAnsi="Times New Roman" w:cs="Times New Roman"/>
          <w:sz w:val="24"/>
          <w:szCs w:val="24"/>
          <w:lang w:val="en-US" w:eastAsia="en-US"/>
        </w:rPr>
        <w:t xml:space="preserve">FlaH = </w:t>
      </w:r>
      <w:proofErr w:type="spellStart"/>
      <w:r w:rsidRPr="00AC3263">
        <w:rPr>
          <w:rFonts w:ascii="Times New Roman" w:eastAsia="SimSun" w:hAnsi="Times New Roman" w:cs="Times New Roman"/>
          <w:sz w:val="24"/>
          <w:szCs w:val="24"/>
          <w:lang w:val="en-US" w:eastAsia="en-US"/>
        </w:rPr>
        <w:t>Flavourzyme</w:t>
      </w:r>
      <w:proofErr w:type="spellEnd"/>
      <w:r w:rsidRPr="00AC3263">
        <w:rPr>
          <w:rFonts w:ascii="Times New Roman" w:eastAsia="SimSun" w:hAnsi="Times New Roman" w:cs="Times New Roman"/>
          <w:sz w:val="24"/>
          <w:szCs w:val="24"/>
          <w:lang w:val="en-US" w:eastAsia="en-US"/>
        </w:rPr>
        <w:t xml:space="preserve"> hydrolysates</w:t>
      </w:r>
    </w:p>
    <w:p w14:paraId="2F715A84" w14:textId="2AAA531F" w:rsidR="00AC3263" w:rsidRDefault="00AC3263" w:rsidP="00AC3263">
      <w:pPr>
        <w:spacing w:line="360" w:lineRule="auto"/>
        <w:jc w:val="both"/>
        <w:rPr>
          <w:rFonts w:ascii="Times New Roman" w:hAnsi="Times New Roman" w:cs="Times New Roman"/>
          <w:sz w:val="24"/>
          <w:szCs w:val="24"/>
        </w:rPr>
      </w:pPr>
    </w:p>
    <w:p w14:paraId="63438594" w14:textId="77777777" w:rsidR="00AC3263" w:rsidRPr="00AC3263" w:rsidRDefault="00AC3263" w:rsidP="00AC3263">
      <w:pPr>
        <w:spacing w:line="360" w:lineRule="auto"/>
        <w:jc w:val="both"/>
        <w:rPr>
          <w:rFonts w:ascii="Times New Roman" w:hAnsi="Times New Roman" w:cs="Times New Roman"/>
          <w:sz w:val="24"/>
          <w:szCs w:val="24"/>
        </w:rPr>
      </w:pPr>
    </w:p>
    <w:sectPr w:rsidR="00AC3263" w:rsidRPr="00AC3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9D"/>
    <w:rsid w:val="000E7ACC"/>
    <w:rsid w:val="001851E1"/>
    <w:rsid w:val="002B062E"/>
    <w:rsid w:val="003528C6"/>
    <w:rsid w:val="003B499D"/>
    <w:rsid w:val="00402961"/>
    <w:rsid w:val="004A6438"/>
    <w:rsid w:val="00721659"/>
    <w:rsid w:val="007F724D"/>
    <w:rsid w:val="008941AD"/>
    <w:rsid w:val="00912EA8"/>
    <w:rsid w:val="00A24CE8"/>
    <w:rsid w:val="00A72561"/>
    <w:rsid w:val="00AC3263"/>
    <w:rsid w:val="00AD5200"/>
    <w:rsid w:val="00C66CCA"/>
    <w:rsid w:val="00FE51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A2C0"/>
  <w15:chartTrackingRefBased/>
  <w15:docId w15:val="{D99F649C-64F7-47BF-9715-09B7E128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9D"/>
    <w:pPr>
      <w:ind w:left="720"/>
      <w:contextualSpacing/>
    </w:pPr>
  </w:style>
  <w:style w:type="paragraph" w:styleId="a4">
    <w:name w:val="Balloon Text"/>
    <w:basedOn w:val="a"/>
    <w:link w:val="a5"/>
    <w:uiPriority w:val="99"/>
    <w:semiHidden/>
    <w:unhideWhenUsed/>
    <w:rsid w:val="007F724D"/>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7F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Lingyun Chen</dc:creator>
  <cp:keywords/>
  <dc:description/>
  <cp:lastModifiedBy>Ran Tao</cp:lastModifiedBy>
  <cp:revision>14</cp:revision>
  <dcterms:created xsi:type="dcterms:W3CDTF">2020-07-21T16:54:00Z</dcterms:created>
  <dcterms:modified xsi:type="dcterms:W3CDTF">2020-07-31T17:07:00Z</dcterms:modified>
</cp:coreProperties>
</file>