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9331" w14:textId="7B7A893C" w:rsidR="00FF10DE" w:rsidRDefault="00FF10DE" w:rsidP="007511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245D7D" wp14:editId="76617F15">
            <wp:extent cx="8153400" cy="2717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953" cy="271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9003" w14:textId="7B0FEC2B" w:rsidR="005C3A08" w:rsidRDefault="00FF10D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S1. </w:t>
      </w:r>
      <w:bookmarkStart w:id="0" w:name="_Hlk11159843"/>
      <w:r w:rsidRPr="00FF10DE">
        <w:rPr>
          <w:rFonts w:ascii="Times New Roman" w:hAnsi="Times New Roman" w:cs="Times New Roman"/>
          <w:iCs/>
          <w:sz w:val="24"/>
          <w:szCs w:val="24"/>
        </w:rPr>
        <w:t xml:space="preserve">Principal component analyses (PCA) of overall </w:t>
      </w:r>
      <w:r>
        <w:rPr>
          <w:rFonts w:ascii="Times New Roman" w:hAnsi="Times New Roman" w:cs="Times New Roman"/>
          <w:iCs/>
          <w:sz w:val="24"/>
          <w:szCs w:val="24"/>
        </w:rPr>
        <w:t>protozoal</w:t>
      </w:r>
      <w:r w:rsidRPr="00FF10DE">
        <w:rPr>
          <w:rFonts w:ascii="Times New Roman" w:hAnsi="Times New Roman" w:cs="Times New Roman"/>
          <w:iCs/>
          <w:sz w:val="24"/>
          <w:szCs w:val="24"/>
        </w:rPr>
        <w:t xml:space="preserve"> composition among all samples at the </w:t>
      </w:r>
      <w:r>
        <w:rPr>
          <w:rFonts w:ascii="Times New Roman" w:hAnsi="Times New Roman" w:cs="Times New Roman"/>
          <w:iCs/>
          <w:sz w:val="24"/>
          <w:szCs w:val="24"/>
        </w:rPr>
        <w:t>general</w:t>
      </w:r>
      <w:r w:rsidRPr="00FF10DE">
        <w:rPr>
          <w:rFonts w:ascii="Times New Roman" w:hAnsi="Times New Roman" w:cs="Times New Roman"/>
          <w:iCs/>
          <w:sz w:val="24"/>
          <w:szCs w:val="24"/>
        </w:rPr>
        <w:t xml:space="preserve"> level. Variable contributions to the first two components are labelled with different colors (A</w:t>
      </w:r>
      <w:r w:rsidRPr="00FB365F">
        <w:rPr>
          <w:rFonts w:ascii="Times New Roman" w:hAnsi="Times New Roman" w:cs="Times New Roman"/>
          <w:iCs/>
          <w:sz w:val="24"/>
          <w:szCs w:val="24"/>
        </w:rPr>
        <w:t>)</w:t>
      </w:r>
      <w:r w:rsidR="00FB365F" w:rsidRPr="00FB365F">
        <w:rPr>
          <w:rFonts w:ascii="Times New Roman" w:hAnsi="Times New Roman" w:cs="Times New Roman"/>
          <w:iCs/>
          <w:sz w:val="24"/>
          <w:szCs w:val="24"/>
        </w:rPr>
        <w:t>. All variables were represented by arrows, and individuals were represented by points with numbers</w:t>
      </w:r>
      <w:r w:rsidRPr="00FB365F">
        <w:rPr>
          <w:rFonts w:ascii="Times New Roman" w:hAnsi="Times New Roman" w:cs="Times New Roman"/>
          <w:iCs/>
          <w:sz w:val="24"/>
          <w:szCs w:val="24"/>
        </w:rPr>
        <w:t>.</w:t>
      </w:r>
      <w:r w:rsidRPr="00FF10DE">
        <w:rPr>
          <w:rFonts w:ascii="Times New Roman" w:hAnsi="Times New Roman" w:cs="Times New Roman"/>
          <w:iCs/>
          <w:sz w:val="24"/>
          <w:szCs w:val="24"/>
        </w:rPr>
        <w:t xml:space="preserve"> Points were colored by treatment group (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FF10DE">
        <w:rPr>
          <w:rFonts w:ascii="Times New Roman" w:hAnsi="Times New Roman" w:cs="Times New Roman"/>
          <w:iCs/>
          <w:sz w:val="24"/>
          <w:szCs w:val="24"/>
        </w:rPr>
        <w:t>) or ruminal sample fraction group (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FF10DE">
        <w:rPr>
          <w:rFonts w:ascii="Times New Roman" w:hAnsi="Times New Roman" w:cs="Times New Roman"/>
          <w:iCs/>
          <w:sz w:val="24"/>
          <w:szCs w:val="24"/>
        </w:rPr>
        <w:t>).</w:t>
      </w:r>
      <w:bookmarkEnd w:id="0"/>
      <w:r w:rsidR="00FB365F" w:rsidRPr="00FB3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65F" w:rsidRPr="00FB365F">
        <w:rPr>
          <w:rFonts w:ascii="Times New Roman" w:hAnsi="Times New Roman" w:cs="Times New Roman"/>
          <w:iCs/>
          <w:sz w:val="24"/>
          <w:szCs w:val="24"/>
        </w:rPr>
        <w:t>All the sequence counts were transformed to centered log ratios before PCA analyses.</w:t>
      </w:r>
      <w:r w:rsidR="00FB3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A08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2CA4629" w14:textId="7BA08D4A" w:rsidR="00FF10DE" w:rsidRDefault="009710E8" w:rsidP="009710E8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7D24EC" wp14:editId="68D62D9B">
            <wp:extent cx="4572000" cy="45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FE45" w14:textId="77777777" w:rsidR="00090BC2" w:rsidRDefault="005C3A08" w:rsidP="00A121AC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Figure S</w:t>
      </w:r>
      <w:r w:rsidR="009710E8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9710E8" w:rsidRPr="003370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Taxonomic composition of the ruminal microbiome in the liquid and solid fractions in response to high and low </w:t>
      </w:r>
      <w:proofErr w:type="spellStart"/>
      <w:r w:rsidR="009710E8" w:rsidRPr="003370AA">
        <w:rPr>
          <w:rFonts w:ascii="Times New Roman" w:hAnsi="Times New Roman" w:cs="Times New Roman"/>
          <w:i w:val="0"/>
          <w:color w:val="auto"/>
          <w:sz w:val="24"/>
          <w:szCs w:val="24"/>
        </w:rPr>
        <w:t>pH.</w:t>
      </w:r>
      <w:proofErr w:type="spellEnd"/>
      <w:r w:rsidR="009710E8" w:rsidRPr="003370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The top 10 </w:t>
      </w:r>
      <w:r w:rsidR="009710E8">
        <w:rPr>
          <w:rFonts w:ascii="Times New Roman" w:hAnsi="Times New Roman" w:cs="Times New Roman"/>
          <w:i w:val="0"/>
          <w:color w:val="auto"/>
          <w:sz w:val="24"/>
          <w:szCs w:val="24"/>
        </w:rPr>
        <w:t>protozoal genera</w:t>
      </w:r>
      <w:r w:rsidR="009710E8" w:rsidRPr="003370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were selected. Sequences were expressed as relative abundance. </w:t>
      </w:r>
    </w:p>
    <w:p w14:paraId="201CDEA2" w14:textId="77777777" w:rsidR="00090BC2" w:rsidRDefault="00090BC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E95B11D" w14:textId="77777777" w:rsidR="00090BC2" w:rsidRDefault="00090BC2" w:rsidP="00090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00F61A57" wp14:editId="7C5D2AA8">
            <wp:extent cx="4597400" cy="418492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35"/>
                    <a:stretch/>
                  </pic:blipFill>
                  <pic:spPr bwMode="auto">
                    <a:xfrm>
                      <a:off x="0" y="0"/>
                      <a:ext cx="4611728" cy="4197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824FF" w14:textId="1FB86B39" w:rsidR="007511F8" w:rsidRPr="00090BC2" w:rsidRDefault="00090BC2" w:rsidP="00090BC2">
      <w:pPr>
        <w:pStyle w:val="Caption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Ref519173568"/>
      <w:r w:rsidRPr="00090BC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Figure S</w:t>
      </w:r>
      <w:bookmarkEnd w:id="1"/>
      <w:r w:rsidRPr="00090BC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3. Ruminal pH achieved during each of 10-day period.</w:t>
      </w:r>
      <w:r w:rsidR="007511F8" w:rsidRPr="00090BC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 w:type="page"/>
      </w:r>
    </w:p>
    <w:p w14:paraId="7DB03D93" w14:textId="77777777" w:rsidR="007511F8" w:rsidRPr="00F73D38" w:rsidRDefault="007511F8" w:rsidP="00286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7739D41B" wp14:editId="30B8686A">
            <wp:extent cx="7716189" cy="551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67" cy="551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5D6E3" w14:textId="59FD6950" w:rsidR="00916A1E" w:rsidRPr="004D0DD6" w:rsidRDefault="007511F8" w:rsidP="004D0DD6">
      <w:pPr>
        <w:pStyle w:val="Caption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" w:name="_Ref524012828"/>
      <w:r w:rsidRPr="00F73D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bookmarkEnd w:id="2"/>
      <w:r w:rsidR="00AD026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4</w:t>
      </w:r>
      <w:r w:rsidRPr="00F73D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In situ degradation of dietary DM, hemicellulose, cellulose, and lignin with respect to the rumen incubation time.  </w:t>
      </w:r>
      <w:r w:rsidR="00916A1E" w:rsidRPr="00F73D38">
        <w:rPr>
          <w:rFonts w:ascii="Times New Roman" w:hAnsi="Times New Roman" w:cs="Times New Roman"/>
          <w:sz w:val="24"/>
          <w:szCs w:val="24"/>
        </w:rPr>
        <w:br w:type="page"/>
      </w:r>
    </w:p>
    <w:p w14:paraId="7099D309" w14:textId="18240959" w:rsidR="00DD47B3" w:rsidRPr="00452832" w:rsidRDefault="00DD47B3" w:rsidP="004528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Ref519273185"/>
      <w:r w:rsidRPr="00452832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Pr="00452832">
        <w:rPr>
          <w:rFonts w:ascii="Times New Roman" w:hAnsi="Times New Roman" w:cs="Times New Roman"/>
          <w:sz w:val="24"/>
          <w:szCs w:val="24"/>
        </w:rPr>
        <w:fldChar w:fldCharType="begin"/>
      </w:r>
      <w:r w:rsidRPr="00452832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452832">
        <w:rPr>
          <w:rFonts w:ascii="Times New Roman" w:hAnsi="Times New Roman" w:cs="Times New Roman"/>
          <w:sz w:val="24"/>
          <w:szCs w:val="24"/>
        </w:rPr>
        <w:fldChar w:fldCharType="separate"/>
      </w:r>
      <w:r w:rsidRPr="00452832">
        <w:rPr>
          <w:rFonts w:ascii="Times New Roman" w:hAnsi="Times New Roman" w:cs="Times New Roman"/>
          <w:noProof/>
          <w:sz w:val="24"/>
          <w:szCs w:val="24"/>
        </w:rPr>
        <w:t>1</w:t>
      </w:r>
      <w:r w:rsidRPr="00452832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452832">
        <w:rPr>
          <w:rFonts w:ascii="Times New Roman" w:hAnsi="Times New Roman" w:cs="Times New Roman"/>
          <w:sz w:val="24"/>
          <w:szCs w:val="24"/>
        </w:rPr>
        <w:t>. Ingredient composition and nutrient content of the ration</w:t>
      </w:r>
      <w:r w:rsidRPr="004528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528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PlainTable2"/>
        <w:tblW w:w="0" w:type="auto"/>
        <w:tblLayout w:type="fixed"/>
        <w:tblLook w:val="0600" w:firstRow="0" w:lastRow="0" w:firstColumn="0" w:lastColumn="0" w:noHBand="1" w:noVBand="1"/>
      </w:tblPr>
      <w:tblGrid>
        <w:gridCol w:w="6024"/>
        <w:gridCol w:w="3336"/>
      </w:tblGrid>
      <w:tr w:rsidR="00DD47B3" w:rsidRPr="00F8213D" w14:paraId="11DFB11E" w14:textId="77777777" w:rsidTr="00030D87">
        <w:trPr>
          <w:trHeight w:val="290"/>
        </w:trPr>
        <w:tc>
          <w:tcPr>
            <w:tcW w:w="6024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14:paraId="5841EA4B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Ingredient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14:paraId="73C619FB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of DM</w:t>
            </w:r>
          </w:p>
        </w:tc>
      </w:tr>
      <w:tr w:rsidR="00DD47B3" w:rsidRPr="00F8213D" w14:paraId="42FD8FDE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4D9A73FC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Corn silage</w:t>
            </w:r>
          </w:p>
        </w:tc>
        <w:tc>
          <w:tcPr>
            <w:tcW w:w="3336" w:type="dxa"/>
            <w:noWrap/>
            <w:hideMark/>
          </w:tcPr>
          <w:p w14:paraId="39606B35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33.54</w:t>
            </w:r>
          </w:p>
        </w:tc>
      </w:tr>
      <w:tr w:rsidR="00DD47B3" w:rsidRPr="00F8213D" w14:paraId="2176A71A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148519A8" w14:textId="0499D22C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Chopped </w:t>
            </w:r>
            <w:r w:rsidR="002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grass </w:t>
            </w: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</w:t>
            </w:r>
          </w:p>
        </w:tc>
        <w:tc>
          <w:tcPr>
            <w:tcW w:w="3336" w:type="dxa"/>
            <w:noWrap/>
            <w:hideMark/>
          </w:tcPr>
          <w:p w14:paraId="51360BFC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48.52</w:t>
            </w:r>
          </w:p>
        </w:tc>
      </w:tr>
      <w:tr w:rsidR="00DD47B3" w:rsidRPr="00F8213D" w14:paraId="08E56E88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5FF56124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Wheat </w:t>
            </w:r>
            <w:proofErr w:type="spellStart"/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middlings</w:t>
            </w:r>
            <w:proofErr w:type="spellEnd"/>
          </w:p>
        </w:tc>
        <w:tc>
          <w:tcPr>
            <w:tcW w:w="3336" w:type="dxa"/>
            <w:noWrap/>
            <w:hideMark/>
          </w:tcPr>
          <w:p w14:paraId="639C93F8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5.27</w:t>
            </w:r>
          </w:p>
        </w:tc>
      </w:tr>
      <w:tr w:rsidR="00DD47B3" w:rsidRPr="00F8213D" w14:paraId="337F1401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64CE1E49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Corn meal</w:t>
            </w:r>
          </w:p>
        </w:tc>
        <w:tc>
          <w:tcPr>
            <w:tcW w:w="3336" w:type="dxa"/>
            <w:noWrap/>
            <w:hideMark/>
          </w:tcPr>
          <w:p w14:paraId="526CD047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</w:tr>
      <w:tr w:rsidR="00DD47B3" w:rsidRPr="00F8213D" w14:paraId="072BB101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2D2F2688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Corn distillers dried grains</w:t>
            </w:r>
          </w:p>
        </w:tc>
        <w:tc>
          <w:tcPr>
            <w:tcW w:w="3336" w:type="dxa"/>
            <w:noWrap/>
            <w:hideMark/>
          </w:tcPr>
          <w:p w14:paraId="04E603C8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</w:tr>
      <w:tr w:rsidR="00DD47B3" w:rsidRPr="00F8213D" w14:paraId="795CCA31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32322052" w14:textId="7B007492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C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 g</w:t>
            </w: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luten feed</w:t>
            </w:r>
          </w:p>
        </w:tc>
        <w:tc>
          <w:tcPr>
            <w:tcW w:w="3336" w:type="dxa"/>
            <w:noWrap/>
            <w:hideMark/>
          </w:tcPr>
          <w:p w14:paraId="480EC307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</w:tr>
      <w:tr w:rsidR="00DD47B3" w:rsidRPr="00F8213D" w14:paraId="0CB3F123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77C5B428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Soybean meal</w:t>
            </w:r>
          </w:p>
        </w:tc>
        <w:tc>
          <w:tcPr>
            <w:tcW w:w="3336" w:type="dxa"/>
            <w:noWrap/>
            <w:hideMark/>
          </w:tcPr>
          <w:p w14:paraId="769D5432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</w:tr>
      <w:tr w:rsidR="00DD47B3" w:rsidRPr="00F8213D" w14:paraId="0ABB12B2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6E367FA3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Soybean hulls</w:t>
            </w:r>
          </w:p>
        </w:tc>
        <w:tc>
          <w:tcPr>
            <w:tcW w:w="3336" w:type="dxa"/>
            <w:noWrap/>
            <w:hideMark/>
          </w:tcPr>
          <w:p w14:paraId="3BCB8BB2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</w:tr>
      <w:tr w:rsidR="00DD47B3" w:rsidRPr="00F8213D" w14:paraId="01EB42D0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45C8E0C6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Limestone</w:t>
            </w:r>
          </w:p>
        </w:tc>
        <w:tc>
          <w:tcPr>
            <w:tcW w:w="3336" w:type="dxa"/>
            <w:noWrap/>
            <w:hideMark/>
          </w:tcPr>
          <w:p w14:paraId="4663E8EA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DD47B3" w:rsidRPr="00F8213D" w14:paraId="72D89407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396EC4F5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Salt</w:t>
            </w:r>
          </w:p>
        </w:tc>
        <w:tc>
          <w:tcPr>
            <w:tcW w:w="3336" w:type="dxa"/>
            <w:noWrap/>
            <w:hideMark/>
          </w:tcPr>
          <w:p w14:paraId="6986C8F7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DD47B3" w:rsidRPr="00F8213D" w14:paraId="28A33E88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79B3CABF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Vitamin-mineral mix</w:t>
            </w: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36" w:type="dxa"/>
            <w:noWrap/>
            <w:hideMark/>
          </w:tcPr>
          <w:p w14:paraId="01760B7C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DD47B3" w:rsidRPr="00F8213D" w14:paraId="62A3F508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19A2C0E0" w14:textId="77777777" w:rsidR="00DD47B3" w:rsidRPr="00F8213D" w:rsidRDefault="00DD47B3" w:rsidP="00030D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noWrap/>
            <w:hideMark/>
          </w:tcPr>
          <w:p w14:paraId="13CE0BB6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7B3" w:rsidRPr="00F8213D" w14:paraId="063864E0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46FC2709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 content</w:t>
            </w:r>
          </w:p>
        </w:tc>
        <w:tc>
          <w:tcPr>
            <w:tcW w:w="3336" w:type="dxa"/>
            <w:noWrap/>
            <w:hideMark/>
          </w:tcPr>
          <w:p w14:paraId="52724E73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of DM</w:t>
            </w:r>
          </w:p>
        </w:tc>
      </w:tr>
      <w:tr w:rsidR="00DD47B3" w:rsidRPr="00F8213D" w14:paraId="7BC0936F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3C82A9B6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DM (59.8% as fed)</w:t>
            </w:r>
          </w:p>
        </w:tc>
        <w:tc>
          <w:tcPr>
            <w:tcW w:w="3336" w:type="dxa"/>
            <w:noWrap/>
            <w:hideMark/>
          </w:tcPr>
          <w:p w14:paraId="7BB577C4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D47B3" w:rsidRPr="00F8213D" w14:paraId="0720106E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25E505A2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CP</w:t>
            </w:r>
          </w:p>
        </w:tc>
        <w:tc>
          <w:tcPr>
            <w:tcW w:w="3336" w:type="dxa"/>
            <w:noWrap/>
            <w:hideMark/>
          </w:tcPr>
          <w:p w14:paraId="5E15D883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</w:tr>
      <w:tr w:rsidR="004F4CAA" w:rsidRPr="00F8213D" w14:paraId="2CADF0E0" w14:textId="77777777" w:rsidTr="00030D87">
        <w:trPr>
          <w:trHeight w:val="290"/>
        </w:trPr>
        <w:tc>
          <w:tcPr>
            <w:tcW w:w="6024" w:type="dxa"/>
            <w:noWrap/>
          </w:tcPr>
          <w:p w14:paraId="53C59B9D" w14:textId="365FC02A" w:rsidR="004F4CAA" w:rsidRPr="00F8213D" w:rsidRDefault="004F4CAA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Ether extract</w:t>
            </w:r>
          </w:p>
        </w:tc>
        <w:tc>
          <w:tcPr>
            <w:tcW w:w="3336" w:type="dxa"/>
            <w:noWrap/>
          </w:tcPr>
          <w:p w14:paraId="5EEFB2DF" w14:textId="28AFBF8B" w:rsidR="004F4CAA" w:rsidRPr="00F8213D" w:rsidRDefault="004F4CAA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</w:tr>
      <w:tr w:rsidR="00DD47B3" w:rsidRPr="00F8213D" w14:paraId="38022B38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74230295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NDF</w:t>
            </w:r>
          </w:p>
        </w:tc>
        <w:tc>
          <w:tcPr>
            <w:tcW w:w="3336" w:type="dxa"/>
            <w:noWrap/>
            <w:hideMark/>
          </w:tcPr>
          <w:p w14:paraId="7E26F7ED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</w:tr>
      <w:tr w:rsidR="00DD47B3" w:rsidRPr="00F8213D" w14:paraId="728613A7" w14:textId="77777777" w:rsidTr="00030D87">
        <w:trPr>
          <w:trHeight w:val="290"/>
        </w:trPr>
        <w:tc>
          <w:tcPr>
            <w:tcW w:w="6024" w:type="dxa"/>
            <w:noWrap/>
            <w:hideMark/>
          </w:tcPr>
          <w:p w14:paraId="4640E161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ADF</w:t>
            </w:r>
          </w:p>
        </w:tc>
        <w:tc>
          <w:tcPr>
            <w:tcW w:w="3336" w:type="dxa"/>
            <w:noWrap/>
            <w:hideMark/>
          </w:tcPr>
          <w:p w14:paraId="42131E81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</w:tr>
      <w:tr w:rsidR="00DD47B3" w:rsidRPr="00F8213D" w14:paraId="2527E047" w14:textId="77777777" w:rsidTr="00030D87">
        <w:trPr>
          <w:trHeight w:val="290"/>
        </w:trPr>
        <w:tc>
          <w:tcPr>
            <w:tcW w:w="6024" w:type="dxa"/>
            <w:noWrap/>
          </w:tcPr>
          <w:p w14:paraId="1CACD0E0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Hemicellulose</w:t>
            </w:r>
          </w:p>
        </w:tc>
        <w:tc>
          <w:tcPr>
            <w:tcW w:w="3336" w:type="dxa"/>
            <w:noWrap/>
          </w:tcPr>
          <w:p w14:paraId="2CD5E7BC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</w:tr>
      <w:tr w:rsidR="00DD47B3" w:rsidRPr="00F8213D" w14:paraId="421ECBA9" w14:textId="77777777" w:rsidTr="00030D87">
        <w:trPr>
          <w:trHeight w:val="290"/>
        </w:trPr>
        <w:tc>
          <w:tcPr>
            <w:tcW w:w="6024" w:type="dxa"/>
            <w:noWrap/>
          </w:tcPr>
          <w:p w14:paraId="05D3DA7D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Cellulose</w:t>
            </w:r>
          </w:p>
        </w:tc>
        <w:tc>
          <w:tcPr>
            <w:tcW w:w="3336" w:type="dxa"/>
            <w:noWrap/>
          </w:tcPr>
          <w:p w14:paraId="2B71A6F5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</w:tr>
      <w:tr w:rsidR="00DD47B3" w:rsidRPr="00F8213D" w14:paraId="3E9821E9" w14:textId="77777777" w:rsidTr="00030D87">
        <w:trPr>
          <w:trHeight w:val="290"/>
        </w:trPr>
        <w:tc>
          <w:tcPr>
            <w:tcW w:w="6024" w:type="dxa"/>
            <w:noWrap/>
          </w:tcPr>
          <w:p w14:paraId="3277F740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Lignin</w:t>
            </w:r>
          </w:p>
        </w:tc>
        <w:tc>
          <w:tcPr>
            <w:tcW w:w="3336" w:type="dxa"/>
            <w:noWrap/>
          </w:tcPr>
          <w:p w14:paraId="3F551875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DD47B3" w:rsidRPr="00F8213D" w14:paraId="075E23F4" w14:textId="77777777" w:rsidTr="004F4CAA">
        <w:trPr>
          <w:trHeight w:val="290"/>
        </w:trPr>
        <w:tc>
          <w:tcPr>
            <w:tcW w:w="6024" w:type="dxa"/>
            <w:noWrap/>
          </w:tcPr>
          <w:p w14:paraId="6D59C694" w14:textId="77777777" w:rsidR="00DD47B3" w:rsidRPr="00F8213D" w:rsidRDefault="00DD47B3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Starch</w:t>
            </w:r>
          </w:p>
        </w:tc>
        <w:tc>
          <w:tcPr>
            <w:tcW w:w="3336" w:type="dxa"/>
            <w:noWrap/>
          </w:tcPr>
          <w:p w14:paraId="2823FAED" w14:textId="77777777" w:rsidR="00DD47B3" w:rsidRPr="00F8213D" w:rsidRDefault="00DD47B3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</w:tr>
      <w:tr w:rsidR="004F4CAA" w:rsidRPr="00F8213D" w14:paraId="59FE399F" w14:textId="77777777" w:rsidTr="00030D87">
        <w:trPr>
          <w:trHeight w:val="290"/>
        </w:trPr>
        <w:tc>
          <w:tcPr>
            <w:tcW w:w="6024" w:type="dxa"/>
            <w:tcBorders>
              <w:bottom w:val="single" w:sz="8" w:space="0" w:color="auto"/>
            </w:tcBorders>
            <w:noWrap/>
          </w:tcPr>
          <w:p w14:paraId="253BEEC7" w14:textId="03AC80C3" w:rsidR="004F4CAA" w:rsidRPr="00F8213D" w:rsidRDefault="004F4CAA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Ash</w:t>
            </w:r>
          </w:p>
        </w:tc>
        <w:tc>
          <w:tcPr>
            <w:tcW w:w="3336" w:type="dxa"/>
            <w:tcBorders>
              <w:bottom w:val="single" w:sz="8" w:space="0" w:color="auto"/>
            </w:tcBorders>
            <w:noWrap/>
          </w:tcPr>
          <w:p w14:paraId="0744159F" w14:textId="5D833645" w:rsidR="004F4CAA" w:rsidRPr="00F8213D" w:rsidRDefault="004F4CAA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</w:tr>
    </w:tbl>
    <w:p w14:paraId="4195F08D" w14:textId="77777777" w:rsidR="00DD47B3" w:rsidRPr="008C66B3" w:rsidRDefault="00DD47B3" w:rsidP="00DD47B3">
      <w:pPr>
        <w:rPr>
          <w:rFonts w:ascii="Times New Roman" w:hAnsi="Times New Roman" w:cs="Times New Roman"/>
          <w:sz w:val="24"/>
          <w:szCs w:val="24"/>
        </w:rPr>
      </w:pPr>
      <w:r w:rsidRPr="00F73D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Ingredients other than the corn silage and chopped hay were provided as a pelleted mix.</w:t>
      </w:r>
    </w:p>
    <w:p w14:paraId="5B8097A1" w14:textId="77777777" w:rsidR="00F8213D" w:rsidRDefault="00DD47B3" w:rsidP="00195138">
      <w:pPr>
        <w:rPr>
          <w:rFonts w:ascii="Times New Roman" w:hAnsi="Times New Roman" w:cs="Times New Roman"/>
          <w:sz w:val="24"/>
          <w:szCs w:val="24"/>
        </w:rPr>
        <w:sectPr w:rsidR="00F8213D" w:rsidSect="0028695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3D38">
        <w:rPr>
          <w:rFonts w:ascii="Times New Roman" w:hAnsi="Times New Roman" w:cs="Times New Roman"/>
          <w:sz w:val="24"/>
          <w:szCs w:val="24"/>
        </w:rPr>
        <w:t xml:space="preserve">Provided (per kg of pellet concentrate): vitamin A (9600 IU), vitamin D (3200 IU), vitamin E (41.2 mg), copper (26.9 mg), manganese (126 mg), zinc (200 mg), selenium (1.2 mg), </w:t>
      </w:r>
      <w:proofErr w:type="spellStart"/>
      <w:r w:rsidRPr="00F73D38">
        <w:rPr>
          <w:rFonts w:ascii="Times New Roman" w:hAnsi="Times New Roman" w:cs="Times New Roman"/>
          <w:sz w:val="24"/>
          <w:szCs w:val="24"/>
        </w:rPr>
        <w:t>monensin</w:t>
      </w:r>
      <w:proofErr w:type="spellEnd"/>
      <w:r w:rsidRPr="00F73D38">
        <w:rPr>
          <w:rFonts w:ascii="Times New Roman" w:hAnsi="Times New Roman" w:cs="Times New Roman"/>
          <w:sz w:val="24"/>
          <w:szCs w:val="24"/>
        </w:rPr>
        <w:t xml:space="preserve"> (27.2 mg), cobalt (0.1 mg), and iodine (2.1 mg). </w:t>
      </w:r>
    </w:p>
    <w:p w14:paraId="62079EFA" w14:textId="0CBF032C" w:rsidR="00D86233" w:rsidRPr="00F8213D" w:rsidRDefault="00D86233" w:rsidP="00F8213D">
      <w:pPr>
        <w:rPr>
          <w:rFonts w:ascii="Times New Roman" w:hAnsi="Times New Roman" w:cs="Times New Roman"/>
          <w:sz w:val="24"/>
          <w:szCs w:val="24"/>
        </w:rPr>
      </w:pPr>
      <w:bookmarkStart w:id="4" w:name="_Ref528157419"/>
      <w:r w:rsidRPr="00F8213D">
        <w:rPr>
          <w:rFonts w:ascii="Times New Roman" w:hAnsi="Times New Roman" w:cs="Times New Roman"/>
          <w:sz w:val="24"/>
          <w:szCs w:val="24"/>
        </w:rPr>
        <w:lastRenderedPageBreak/>
        <w:t>Table S</w:t>
      </w:r>
      <w:bookmarkEnd w:id="4"/>
      <w:r w:rsidR="004D7E0C">
        <w:rPr>
          <w:rFonts w:ascii="Times New Roman" w:hAnsi="Times New Roman" w:cs="Times New Roman"/>
          <w:sz w:val="24"/>
          <w:szCs w:val="24"/>
        </w:rPr>
        <w:t>2</w:t>
      </w:r>
      <w:r w:rsidRPr="00F8213D">
        <w:rPr>
          <w:rFonts w:ascii="Times New Roman" w:hAnsi="Times New Roman" w:cs="Times New Roman"/>
          <w:sz w:val="24"/>
          <w:szCs w:val="24"/>
        </w:rPr>
        <w:t>. Effects of sampling site and ruminal pH on i</w:t>
      </w:r>
      <w:r w:rsidRPr="00F8213D">
        <w:rPr>
          <w:rFonts w:ascii="Times New Roman" w:eastAsia="SimSun" w:hAnsi="Times New Roman" w:cs="Times New Roman"/>
          <w:sz w:val="24"/>
          <w:szCs w:val="24"/>
        </w:rPr>
        <w:t xml:space="preserve">ndex of richness, alpha diversity, and evenness among treatments at bacterial and protozoal genera level. </w:t>
      </w:r>
    </w:p>
    <w:tbl>
      <w:tblPr>
        <w:tblW w:w="4514" w:type="pct"/>
        <w:tblLook w:val="04A0" w:firstRow="1" w:lastRow="0" w:firstColumn="1" w:lastColumn="0" w:noHBand="0" w:noVBand="1"/>
      </w:tblPr>
      <w:tblGrid>
        <w:gridCol w:w="3803"/>
        <w:gridCol w:w="856"/>
        <w:gridCol w:w="723"/>
        <w:gridCol w:w="856"/>
        <w:gridCol w:w="723"/>
        <w:gridCol w:w="756"/>
        <w:gridCol w:w="1390"/>
        <w:gridCol w:w="1390"/>
        <w:gridCol w:w="1203"/>
      </w:tblGrid>
      <w:tr w:rsidR="00B96A03" w:rsidRPr="00F8213D" w14:paraId="6D2E6B87" w14:textId="77777777" w:rsidTr="00B96A03">
        <w:trPr>
          <w:trHeight w:val="320"/>
        </w:trPr>
        <w:tc>
          <w:tcPr>
            <w:tcW w:w="162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6AD9E0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6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54648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6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252D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</w:t>
            </w:r>
            <w:proofErr w:type="spellEnd"/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5D1446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7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FB4F8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B96A03" w:rsidRPr="00F8213D" w14:paraId="4DE2ABF6" w14:textId="77777777" w:rsidTr="00B96A03">
        <w:trPr>
          <w:trHeight w:val="320"/>
        </w:trPr>
        <w:tc>
          <w:tcPr>
            <w:tcW w:w="16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E0074A" w14:textId="77777777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4756E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9C4BE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874F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CDD2E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1E14BD" w14:textId="77777777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1535" w14:textId="6C026F96" w:rsidR="00B96A03" w:rsidRDefault="00502E1B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Liquid </w:t>
            </w:r>
          </w:p>
          <w:p w14:paraId="030E6736" w14:textId="3FACB900" w:rsidR="00D86233" w:rsidRPr="008058BC" w:rsidRDefault="008058BC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 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1764" w14:textId="3A9B1F09" w:rsidR="00B96A03" w:rsidRDefault="00502E1B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Solid </w:t>
            </w:r>
          </w:p>
          <w:p w14:paraId="5A9A4035" w14:textId="623474C8" w:rsidR="00D86233" w:rsidRPr="008058BC" w:rsidRDefault="008058BC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 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E16EF" w14:textId="177F391D" w:rsidR="00D86233" w:rsidRPr="008058BC" w:rsidRDefault="003F0755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Sol</w:t>
            </w:r>
          </w:p>
        </w:tc>
      </w:tr>
      <w:tr w:rsidR="00B96A03" w:rsidRPr="00F8213D" w14:paraId="24DD65BE" w14:textId="77777777" w:rsidTr="00B96A03">
        <w:trPr>
          <w:trHeight w:val="29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CDBE" w14:textId="77777777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Bacterial genera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AF89" w14:textId="77777777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1FD7" w14:textId="77777777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BB8" w14:textId="77777777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7259" w14:textId="77777777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8784" w14:textId="77777777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9BDD" w14:textId="77777777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16A6" w14:textId="77777777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9BF9" w14:textId="77777777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A03" w:rsidRPr="00F8213D" w14:paraId="0BE79EA9" w14:textId="77777777" w:rsidTr="00B96A03">
        <w:trPr>
          <w:trHeight w:val="31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EC09" w14:textId="2632C7DA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Observed </w:t>
            </w:r>
            <w:r w:rsidR="002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pecies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F015" w14:textId="061793B4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352A" w14:textId="256D91F4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5671" w14:textId="7191BB38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D9C9" w14:textId="1BFA6375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B85B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5EB8" w14:textId="567877B8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41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5C4A" w14:textId="19DA7C20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1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3322" w14:textId="7EF39448" w:rsidR="00D86233" w:rsidRPr="00F8213D" w:rsidRDefault="004141CA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="00D86233"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B96A03" w:rsidRPr="00F8213D" w14:paraId="0C24F0A0" w14:textId="77777777" w:rsidTr="00B96A03">
        <w:trPr>
          <w:trHeight w:val="31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1613" w14:textId="2CBD81DF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02E1B"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Richness </w:t>
            </w:r>
            <w:r w:rsidR="002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02E1B"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ndex</w:t>
            </w: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Menhinick's</w:t>
            </w:r>
            <w:proofErr w:type="spellEnd"/>
            <w:r w:rsidR="0050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A521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AEBE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7B00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8FE2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A5B3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7A47" w14:textId="66A60388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41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BCC0" w14:textId="2EE75C34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1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EC1C" w14:textId="491221EA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41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6A03" w:rsidRPr="00F8213D" w14:paraId="01F6FD2D" w14:textId="77777777" w:rsidTr="00B96A03">
        <w:trPr>
          <w:trHeight w:val="310"/>
        </w:trPr>
        <w:tc>
          <w:tcPr>
            <w:tcW w:w="1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6E1D" w14:textId="1D3606BF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502E1B"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Evenness </w:t>
            </w:r>
            <w:r w:rsidR="002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02E1B"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ndex</w:t>
            </w:r>
            <w:r w:rsidR="00502E1B"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02E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Hill's ratio</w:t>
            </w:r>
            <w:r w:rsidR="00502E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4034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E148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718E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2BBB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61EC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9564" w14:textId="5E0FE67D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1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0482" w14:textId="37F8034F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1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A746" w14:textId="1BBCA383" w:rsidR="00D86233" w:rsidRPr="00F8213D" w:rsidRDefault="004141CA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B96A03" w:rsidRPr="00F8213D" w14:paraId="75FA53AA" w14:textId="77777777" w:rsidTr="00B96A03">
        <w:trPr>
          <w:trHeight w:val="310"/>
        </w:trPr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0780" w14:textId="6E606601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502E1B"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 diversity</w:t>
            </w: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02E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Shannon-Wiener</w:t>
            </w:r>
            <w:r w:rsidR="00502E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66E8D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E1C7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15EDE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40BE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D878D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5ED7D" w14:textId="20C932F5" w:rsidR="00D86233" w:rsidRPr="00F8213D" w:rsidRDefault="004141CA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8FE7" w14:textId="5196AEB9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1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17ECC" w14:textId="1D09B28E" w:rsidR="00D86233" w:rsidRPr="00F8213D" w:rsidRDefault="004141CA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B96A03" w:rsidRPr="00F8213D" w14:paraId="4A657F70" w14:textId="77777777" w:rsidTr="00B96A03">
        <w:trPr>
          <w:trHeight w:val="310"/>
        </w:trPr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7ACD" w14:textId="77777777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Protozoal genera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D302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A09C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52F2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D252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8DC6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B3AE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F061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8EBB" w14:textId="77777777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A03" w:rsidRPr="00F8213D" w14:paraId="629024FE" w14:textId="77777777" w:rsidTr="00B96A03">
        <w:trPr>
          <w:trHeight w:val="31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CDEB" w14:textId="68BC5E5E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Observed </w:t>
            </w:r>
            <w:r w:rsidR="002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pecies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8F3A" w14:textId="049DD765" w:rsidR="00D86233" w:rsidRPr="00F8213D" w:rsidRDefault="00FE4BEB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A2A1" w14:textId="47A198B2" w:rsidR="00D86233" w:rsidRPr="00F8213D" w:rsidRDefault="00FE4BEB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A606" w14:textId="52BB773C" w:rsidR="00D86233" w:rsidRPr="00F8213D" w:rsidRDefault="00FE4BEB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FC1D" w14:textId="55CD2302" w:rsidR="00D86233" w:rsidRPr="00F8213D" w:rsidRDefault="00FE4BEB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A666" w14:textId="63FEFCE6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63EF" w14:textId="30358570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93D" w14:textId="5EF0B6CD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8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B298" w14:textId="2CE12118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8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96A03" w:rsidRPr="00F8213D" w14:paraId="266850FF" w14:textId="77777777" w:rsidTr="00B96A03">
        <w:trPr>
          <w:trHeight w:val="31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E63D" w14:textId="64EF037E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02E1B"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Richness </w:t>
            </w:r>
            <w:r w:rsidR="002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02E1B"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ndex</w:t>
            </w: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Menhinick's</w:t>
            </w:r>
            <w:proofErr w:type="spellEnd"/>
            <w:r w:rsidR="0050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F30" w14:textId="502ACC7B" w:rsidR="00D86233" w:rsidRPr="00F8213D" w:rsidRDefault="00FE4BEB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23CA" w14:textId="20ADC703" w:rsidR="00D86233" w:rsidRPr="00F8213D" w:rsidRDefault="00FE4BEB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BD93" w14:textId="46696A61" w:rsidR="00D86233" w:rsidRPr="00F8213D" w:rsidRDefault="00FE4BEB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4EE" w14:textId="08B25C0D" w:rsidR="00D86233" w:rsidRPr="00F8213D" w:rsidRDefault="00FE4BEB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BE99" w14:textId="3EDCCA1E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001" w14:textId="13146C09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59D6" w14:textId="2929898B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8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278F" w14:textId="23BB77AA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A03" w:rsidRPr="00F8213D" w14:paraId="68ECA08E" w14:textId="77777777" w:rsidTr="00B96A03">
        <w:trPr>
          <w:trHeight w:val="31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1B01" w14:textId="1E2818E1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502E1B"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Evenness </w:t>
            </w:r>
            <w:r w:rsidR="002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02E1B"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ndex</w:t>
            </w: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02E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Hill's ratio</w:t>
            </w:r>
            <w:r w:rsidR="00502E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FBDD" w14:textId="7DBC7886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028F" w14:textId="3FA93311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0768" w14:textId="1D19652E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0A5B" w14:textId="26DEBC74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1C47" w14:textId="26B8323E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93C2" w14:textId="54D724D8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8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234A" w14:textId="65F0B146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8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8EFE" w14:textId="131253A9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8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</w:tr>
      <w:tr w:rsidR="00B96A03" w:rsidRPr="00F8213D" w14:paraId="1F3E979E" w14:textId="77777777" w:rsidTr="00B96A03">
        <w:trPr>
          <w:trHeight w:val="310"/>
        </w:trPr>
        <w:tc>
          <w:tcPr>
            <w:tcW w:w="1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25D7" w14:textId="6297D835" w:rsidR="00D86233" w:rsidRPr="00F8213D" w:rsidRDefault="00D86233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B96A03"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 diversity</w:t>
            </w: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96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Shannon-Wiener</w:t>
            </w:r>
            <w:r w:rsidR="00B96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Pr="00F8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9C1F" w14:textId="4F77F21A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02435" w14:textId="36025706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9E204" w14:textId="505A1F5C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08859" w14:textId="0E1BB90D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B9075" w14:textId="2F1BFCEC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F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18EFA" w14:textId="1B3CF970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8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6E8AE" w14:textId="03B48F40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8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94F94" w14:textId="1293BE4D" w:rsidR="00D86233" w:rsidRPr="00F8213D" w:rsidRDefault="00D86233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8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</w:tr>
    </w:tbl>
    <w:p w14:paraId="79E40DCD" w14:textId="5D108B59" w:rsidR="00030D87" w:rsidRPr="00A14807" w:rsidRDefault="00030D87" w:rsidP="0036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119C0912" w14:textId="11FD56D7" w:rsidR="00030D87" w:rsidRPr="00F73D38" w:rsidRDefault="00030D87" w:rsidP="00030D87">
      <w:pPr>
        <w:rPr>
          <w:rFonts w:ascii="Times New Roman" w:eastAsia="SimSun" w:hAnsi="Times New Roman" w:cs="Times New Roman"/>
          <w:sz w:val="24"/>
          <w:szCs w:val="24"/>
        </w:rPr>
      </w:pPr>
      <w:r w:rsidRPr="00F73D38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6C701E">
        <w:rPr>
          <w:rFonts w:ascii="Times New Roman" w:hAnsi="Times New Roman" w:cs="Times New Roman"/>
          <w:sz w:val="24"/>
          <w:szCs w:val="24"/>
        </w:rPr>
        <w:t>S</w:t>
      </w:r>
      <w:r w:rsidR="004D7E0C">
        <w:rPr>
          <w:rFonts w:ascii="Times New Roman" w:hAnsi="Times New Roman" w:cs="Times New Roman"/>
          <w:iCs/>
          <w:sz w:val="24"/>
          <w:szCs w:val="24"/>
        </w:rPr>
        <w:t>3</w:t>
      </w:r>
      <w:r w:rsidRPr="00F73D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effect of sampling site and treatment on b</w:t>
      </w:r>
      <w:r w:rsidRPr="00F73D38">
        <w:rPr>
          <w:rFonts w:ascii="Times New Roman" w:hAnsi="Times New Roman" w:cs="Times New Roman"/>
          <w:sz w:val="24"/>
          <w:szCs w:val="24"/>
        </w:rPr>
        <w:t>acterial phyla</w:t>
      </w:r>
      <w:r w:rsidRPr="00F73D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73D3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8"/>
        <w:gridCol w:w="1160"/>
        <w:gridCol w:w="977"/>
        <w:gridCol w:w="1159"/>
        <w:gridCol w:w="977"/>
        <w:gridCol w:w="959"/>
        <w:gridCol w:w="1988"/>
        <w:gridCol w:w="1988"/>
        <w:gridCol w:w="1374"/>
      </w:tblGrid>
      <w:tr w:rsidR="00AB4613" w:rsidRPr="00AB4613" w14:paraId="0FDD6E6E" w14:textId="77777777" w:rsidTr="00AB4613">
        <w:trPr>
          <w:trHeight w:val="380"/>
        </w:trPr>
        <w:tc>
          <w:tcPr>
            <w:tcW w:w="91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E083B9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A21F3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56E00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39C042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20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157AE" w14:textId="4A85F523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AB4613" w:rsidRPr="00AB4613" w14:paraId="5AC38711" w14:textId="77777777" w:rsidTr="00AB4613">
        <w:trPr>
          <w:trHeight w:val="380"/>
        </w:trPr>
        <w:tc>
          <w:tcPr>
            <w:tcW w:w="91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E218A0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8179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E683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DE41E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1309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082CB1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55C5" w14:textId="46974E0D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vs LpH</w:t>
            </w:r>
            <w:r w:rsid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24DBF" w14:textId="22359318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vs LpH</w:t>
            </w:r>
            <w:r w:rsid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506F" w14:textId="749466D6" w:rsidR="00AB4613" w:rsidRPr="00AB4613" w:rsidRDefault="003F0755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Sol</w:t>
            </w:r>
            <w:r w:rsidR="0041471F" w:rsidRPr="004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AB4613" w:rsidRPr="00AB4613" w14:paraId="560B9CB8" w14:textId="77777777" w:rsidTr="00AB4613">
        <w:trPr>
          <w:trHeight w:val="29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81BA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7B4A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AA1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6DE6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A53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DB8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DF8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A0CA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34E" w14:textId="7827EC29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B4613" w:rsidRPr="00AB4613" w14:paraId="58E93182" w14:textId="77777777" w:rsidTr="00AB4613">
        <w:trPr>
          <w:trHeight w:val="29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2054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Bacteroidetes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60D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5220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63C6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8E14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6584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4109" w14:textId="46BF0D51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C611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652D" w14:textId="5411EEA5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613" w:rsidRPr="00AB4613" w14:paraId="25E90196" w14:textId="77777777" w:rsidTr="00AB4613">
        <w:trPr>
          <w:trHeight w:val="29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30FB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BE1D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2976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8649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6003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FD20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8AA5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A37F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2AE3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AB4613" w:rsidRPr="00AB4613" w14:paraId="260EB53C" w14:textId="77777777" w:rsidTr="00AB4613">
        <w:trPr>
          <w:trHeight w:val="29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9707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Cyanobacteria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E8F2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5A11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02F6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6777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20BE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CAB3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1F46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B000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B4613" w:rsidRPr="00AB4613" w14:paraId="6D2B9CB0" w14:textId="77777777" w:rsidTr="00AB4613">
        <w:trPr>
          <w:trHeight w:val="29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9258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Elusimicrobia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01BF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FD0B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DD3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B5A5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6DA8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A378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979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90B8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AB4613" w:rsidRPr="00AB4613" w14:paraId="01998BFF" w14:textId="77777777" w:rsidTr="00AB4613">
        <w:trPr>
          <w:trHeight w:val="29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EE78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Firmicutes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460A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BC4E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F1E7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DE2A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FAC1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D94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6AD6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65F0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AB4613" w:rsidRPr="00AB4613" w14:paraId="682EAEE8" w14:textId="77777777" w:rsidTr="00AB4613">
        <w:trPr>
          <w:trHeight w:val="29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6703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Kiritimatiellaeota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2D4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F43F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D793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EF35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95B4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DEDF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1F6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FB6F" w14:textId="53D51C04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613" w:rsidRPr="00AB4613" w14:paraId="3337BF5F" w14:textId="77777777" w:rsidTr="00AB4613">
        <w:trPr>
          <w:trHeight w:val="29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F576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Lentisphaerae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A163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D90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270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5436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6712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F402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BBBB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C7F4" w14:textId="1ECFDECA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613" w:rsidRPr="00AB4613" w14:paraId="6F520D18" w14:textId="77777777" w:rsidTr="00AB4613">
        <w:trPr>
          <w:trHeight w:val="29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7048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Patescibacteria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7304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39D7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E1B2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356C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15D9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06B6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6EFF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28A6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AB4613" w:rsidRPr="00AB4613" w14:paraId="1D257E77" w14:textId="77777777" w:rsidTr="00AB4613">
        <w:trPr>
          <w:trHeight w:val="29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32AD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F27D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5E81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646F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F3E7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CF3D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4DC5" w14:textId="7EC1FCD3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6D02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BE3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AB4613" w:rsidRPr="00AB4613" w14:paraId="7F43321F" w14:textId="77777777" w:rsidTr="00AB4613">
        <w:trPr>
          <w:trHeight w:val="29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5D64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Spirochaetes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AE15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0C8E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94E2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47CB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F83B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E633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E242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CC80" w14:textId="751C0AA2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D3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613" w:rsidRPr="00AB4613" w14:paraId="6CF58C3E" w14:textId="77777777" w:rsidTr="00AB4613">
        <w:trPr>
          <w:trHeight w:val="290"/>
        </w:trPr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6D77B" w14:textId="77777777" w:rsidR="00AB4613" w:rsidRPr="00AB4613" w:rsidRDefault="00AB4613" w:rsidP="00AB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6C36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54E5A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B9A68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F34BD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70FE6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9D135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BB240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0C7B" w14:textId="77777777" w:rsidR="00AB4613" w:rsidRPr="00AB4613" w:rsidRDefault="00AB4613" w:rsidP="00AB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14:paraId="7B6E4840" w14:textId="5E63CA48" w:rsidR="00361BBE" w:rsidRDefault="00030D87" w:rsidP="0036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D38">
        <w:rPr>
          <w:rFonts w:ascii="Times New Roman" w:eastAsia="SimSun" w:hAnsi="Times New Roman" w:cs="Times New Roman"/>
          <w:sz w:val="24"/>
          <w:szCs w:val="24"/>
          <w:vertAlign w:val="superscript"/>
        </w:rPr>
        <w:t>1</w:t>
      </w:r>
      <w:r w:rsidR="00135C0C">
        <w:rPr>
          <w:rFonts w:ascii="Times New Roman" w:hAnsi="Times New Roman" w:cs="Times New Roman"/>
          <w:sz w:val="24"/>
          <w:szCs w:val="24"/>
        </w:rPr>
        <w:t>Data are c</w:t>
      </w:r>
      <w:r>
        <w:rPr>
          <w:rFonts w:ascii="Times New Roman" w:hAnsi="Times New Roman" w:cs="Times New Roman"/>
          <w:sz w:val="24"/>
          <w:szCs w:val="24"/>
        </w:rPr>
        <w:t>entered log ratios of s</w:t>
      </w:r>
      <w:r w:rsidRPr="00F73D38">
        <w:rPr>
          <w:rFonts w:ascii="Times New Roman" w:hAnsi="Times New Roman" w:cs="Times New Roman"/>
          <w:sz w:val="24"/>
          <w:szCs w:val="24"/>
        </w:rPr>
        <w:t>equence counts of the bacterial phyla</w:t>
      </w:r>
    </w:p>
    <w:p w14:paraId="50D6A8F9" w14:textId="142FE6A1" w:rsidR="00361BBE" w:rsidRDefault="00DF5580" w:rsidP="00361B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bookmarkStart w:id="5" w:name="_GoBack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 w:rsidR="00361BBE">
        <w:rPr>
          <w:rFonts w:ascii="Times New Roman" w:eastAsia="SimSun" w:hAnsi="Times New Roman" w:cs="Times New Roman"/>
          <w:sz w:val="24"/>
          <w:szCs w:val="24"/>
        </w:rPr>
        <w:t xml:space="preserve">Control versus </w:t>
      </w:r>
      <w:proofErr w:type="spellStart"/>
      <w:r w:rsidR="00361BBE">
        <w:rPr>
          <w:rFonts w:ascii="Times New Roman" w:eastAsia="SimSun" w:hAnsi="Times New Roman" w:cs="Times New Roman"/>
          <w:sz w:val="24"/>
          <w:szCs w:val="24"/>
        </w:rPr>
        <w:t>LpH</w:t>
      </w:r>
      <w:proofErr w:type="spellEnd"/>
      <w:r w:rsidR="00361BBE">
        <w:rPr>
          <w:rFonts w:ascii="Times New Roman" w:eastAsia="SimSun" w:hAnsi="Times New Roman" w:cs="Times New Roman"/>
          <w:sz w:val="24"/>
          <w:szCs w:val="24"/>
        </w:rPr>
        <w:t xml:space="preserve"> with</w:t>
      </w:r>
      <w:r>
        <w:rPr>
          <w:rFonts w:ascii="Times New Roman" w:eastAsia="SimSun" w:hAnsi="Times New Roman" w:cs="Times New Roman"/>
          <w:sz w:val="24"/>
          <w:szCs w:val="24"/>
        </w:rPr>
        <w:t>in</w:t>
      </w:r>
      <w:r w:rsidR="00361BBE">
        <w:rPr>
          <w:rFonts w:ascii="Times New Roman" w:eastAsia="SimSun" w:hAnsi="Times New Roman" w:cs="Times New Roman"/>
          <w:sz w:val="24"/>
          <w:szCs w:val="24"/>
        </w:rPr>
        <w:t xml:space="preserve"> the ruminal liquid fraction </w:t>
      </w:r>
      <w:bookmarkEnd w:id="5"/>
    </w:p>
    <w:p w14:paraId="561D3DAF" w14:textId="429C9C51" w:rsidR="00361BBE" w:rsidRDefault="00DF5580" w:rsidP="00361B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3</w:t>
      </w:r>
      <w:r w:rsidR="00361BBE">
        <w:rPr>
          <w:rFonts w:ascii="Times New Roman" w:eastAsia="SimSun" w:hAnsi="Times New Roman" w:cs="Times New Roman"/>
          <w:sz w:val="24"/>
          <w:szCs w:val="24"/>
        </w:rPr>
        <w:t xml:space="preserve">Control versus </w:t>
      </w:r>
      <w:proofErr w:type="spellStart"/>
      <w:r w:rsidR="00361BBE">
        <w:rPr>
          <w:rFonts w:ascii="Times New Roman" w:eastAsia="SimSun" w:hAnsi="Times New Roman" w:cs="Times New Roman"/>
          <w:sz w:val="24"/>
          <w:szCs w:val="24"/>
        </w:rPr>
        <w:t>LpH</w:t>
      </w:r>
      <w:proofErr w:type="spellEnd"/>
      <w:r w:rsidR="00361BBE">
        <w:rPr>
          <w:rFonts w:ascii="Times New Roman" w:eastAsia="SimSun" w:hAnsi="Times New Roman" w:cs="Times New Roman"/>
          <w:sz w:val="24"/>
          <w:szCs w:val="24"/>
        </w:rPr>
        <w:t xml:space="preserve"> with</w:t>
      </w:r>
      <w:r>
        <w:rPr>
          <w:rFonts w:ascii="Times New Roman" w:eastAsia="SimSun" w:hAnsi="Times New Roman" w:cs="Times New Roman"/>
          <w:sz w:val="24"/>
          <w:szCs w:val="24"/>
        </w:rPr>
        <w:t>in</w:t>
      </w:r>
      <w:r w:rsidR="00361BBE">
        <w:rPr>
          <w:rFonts w:ascii="Times New Roman" w:eastAsia="SimSun" w:hAnsi="Times New Roman" w:cs="Times New Roman"/>
          <w:sz w:val="24"/>
          <w:szCs w:val="24"/>
        </w:rPr>
        <w:t xml:space="preserve"> the ruminal solid fraction </w:t>
      </w:r>
    </w:p>
    <w:p w14:paraId="0713488F" w14:textId="0A915791" w:rsidR="00EB6D35" w:rsidRPr="00A14807" w:rsidRDefault="00DF5580" w:rsidP="0036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4</w:t>
      </w:r>
      <w:r w:rsidR="00361BBE">
        <w:rPr>
          <w:rFonts w:ascii="Times New Roman" w:eastAsia="SimSun" w:hAnsi="Times New Roman" w:cs="Times New Roman"/>
          <w:sz w:val="24"/>
          <w:szCs w:val="24"/>
        </w:rPr>
        <w:t xml:space="preserve">Ruminal sample fraction effect regardless of ruminal pH </w:t>
      </w:r>
      <w:r w:rsidR="00EB6D35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09D351BF" w14:textId="2C634CE4" w:rsidR="00EB6D35" w:rsidRPr="00F73D38" w:rsidRDefault="00EB6D35" w:rsidP="00EB6D35">
      <w:pPr>
        <w:rPr>
          <w:rFonts w:ascii="Times New Roman" w:hAnsi="Times New Roman" w:cs="Times New Roman"/>
          <w:sz w:val="24"/>
          <w:szCs w:val="24"/>
        </w:rPr>
      </w:pPr>
      <w:r w:rsidRPr="00F73D38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7E0C">
        <w:rPr>
          <w:rFonts w:ascii="Times New Roman" w:hAnsi="Times New Roman" w:cs="Times New Roman"/>
          <w:sz w:val="24"/>
          <w:szCs w:val="24"/>
        </w:rPr>
        <w:t>4</w:t>
      </w:r>
      <w:r w:rsidRPr="00F73D38">
        <w:rPr>
          <w:rFonts w:ascii="Times New Roman" w:hAnsi="Times New Roman" w:cs="Times New Roman"/>
          <w:sz w:val="24"/>
          <w:szCs w:val="24"/>
        </w:rPr>
        <w:t>. Bacterial genera that</w:t>
      </w:r>
      <w:r w:rsidR="00353251">
        <w:rPr>
          <w:rFonts w:ascii="Times New Roman" w:hAnsi="Times New Roman" w:cs="Times New Roman"/>
          <w:sz w:val="24"/>
          <w:szCs w:val="24"/>
        </w:rPr>
        <w:t xml:space="preserve"> were</w:t>
      </w:r>
      <w:r w:rsidRPr="00F73D38">
        <w:rPr>
          <w:rFonts w:ascii="Times New Roman" w:hAnsi="Times New Roman" w:cs="Times New Roman"/>
          <w:sz w:val="24"/>
          <w:szCs w:val="24"/>
        </w:rPr>
        <w:t xml:space="preserve"> significantly </w:t>
      </w:r>
      <w:r w:rsidR="00353251">
        <w:rPr>
          <w:rFonts w:ascii="Times New Roman" w:hAnsi="Times New Roman" w:cs="Times New Roman"/>
          <w:sz w:val="24"/>
          <w:szCs w:val="24"/>
        </w:rPr>
        <w:t>different</w:t>
      </w:r>
      <w:r w:rsidRPr="00F73D38">
        <w:rPr>
          <w:rFonts w:ascii="Times New Roman" w:hAnsi="Times New Roman" w:cs="Times New Roman"/>
          <w:sz w:val="24"/>
          <w:szCs w:val="24"/>
        </w:rPr>
        <w:t xml:space="preserve"> among treatments</w:t>
      </w:r>
      <w:r w:rsidRPr="00F73D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73D3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0"/>
        <w:gridCol w:w="856"/>
        <w:gridCol w:w="723"/>
        <w:gridCol w:w="883"/>
        <w:gridCol w:w="1470"/>
        <w:gridCol w:w="737"/>
        <w:gridCol w:w="1629"/>
        <w:gridCol w:w="1629"/>
        <w:gridCol w:w="1283"/>
      </w:tblGrid>
      <w:tr w:rsidR="00DF5580" w:rsidRPr="00193A00" w14:paraId="3BB455FF" w14:textId="77777777" w:rsidTr="00DF5580">
        <w:trPr>
          <w:trHeight w:val="380"/>
        </w:trPr>
        <w:tc>
          <w:tcPr>
            <w:tcW w:w="144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AE29B9" w14:textId="77777777" w:rsidR="00DF5580" w:rsidRPr="00193A00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7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8348" w14:textId="77777777" w:rsidR="00DF5580" w:rsidRPr="00193A00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62A2" w14:textId="77777777" w:rsidR="00DF5580" w:rsidRPr="00193A00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</w:t>
            </w:r>
            <w:proofErr w:type="spellEnd"/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E4B5E4" w14:textId="77777777" w:rsidR="00DF5580" w:rsidRPr="00193A00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7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2F240" w14:textId="3EFF4CBA" w:rsidR="00DF5580" w:rsidRPr="00193A00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DF5580" w:rsidRPr="00193A00" w14:paraId="2917D7DB" w14:textId="77777777" w:rsidTr="00DF5580">
        <w:trPr>
          <w:trHeight w:val="380"/>
        </w:trPr>
        <w:tc>
          <w:tcPr>
            <w:tcW w:w="144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53DBD3" w14:textId="77777777" w:rsidR="00DF5580" w:rsidRPr="00193A00" w:rsidRDefault="00DF5580" w:rsidP="00DF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4EC5D" w14:textId="77777777" w:rsidR="00DF5580" w:rsidRPr="00193A00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AD43" w14:textId="77777777" w:rsidR="00DF5580" w:rsidRPr="00193A00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FB862" w14:textId="77777777" w:rsidR="00DF5580" w:rsidRPr="00193A00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67AA" w14:textId="29C9F05F" w:rsidR="00DF5580" w:rsidRPr="00193A00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vs LpH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E292FC" w14:textId="77777777" w:rsidR="00DF5580" w:rsidRPr="00193A00" w:rsidRDefault="00DF5580" w:rsidP="00DF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D086" w14:textId="6ACB2C37" w:rsidR="00DF5580" w:rsidRPr="00193A00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vs LpH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6BA4" w14:textId="447A0069" w:rsidR="00DF5580" w:rsidRPr="00193A00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vs LpH</w:t>
            </w: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F2694" w14:textId="5B13CDAA" w:rsidR="00DF5580" w:rsidRPr="00193A00" w:rsidRDefault="003F0755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Sol</w:t>
            </w:r>
            <w:r w:rsidR="004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193A00" w:rsidRPr="00193A00" w14:paraId="46E80343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A91B" w14:textId="77777777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1B4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E5B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4C5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60C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38E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35B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211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56F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A00" w:rsidRPr="00193A00" w14:paraId="1ABF83D2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0585" w14:textId="5E1589AB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Bifidobacterium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938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CEE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4F7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FA2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57A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50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319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6C7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193A00" w:rsidRPr="00193A00" w14:paraId="6FC7B0C1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D56C" w14:textId="04A8D462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6AA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B8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2BE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A79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482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3D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D55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255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641346C1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CBC1" w14:textId="77777777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Bacteroidetes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9DD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AB6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682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77B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546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FFD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775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A3E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A00" w:rsidRPr="00193A00" w14:paraId="3BA6D716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4DA7" w14:textId="37A0C9F1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Prevotella_1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DCF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5BF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4E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748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C2A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3A1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7D1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C08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0108F8E2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3632" w14:textId="4CD6A7FF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Prevotella_9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F6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8A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6AF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95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093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AAE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EF4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9B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193A00" w:rsidRPr="00193A00" w14:paraId="315B9E5B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99D7" w14:textId="4CAB9168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Prevotellaceae_NK3B31_group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F9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248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2D1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EA4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AFD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AE8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90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AAE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93A00" w:rsidRPr="00193A00" w14:paraId="097B0AAC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E55F" w14:textId="5CA6C309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Prevotellaceae_UCG-001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3EF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27D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B0C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D9A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8BD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D5C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0EB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66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5AB111E0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2660" w14:textId="5F7E4AFA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Prevotellaceae_YAB2003_group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0C0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DD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39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0CD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D3B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F8B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46E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B00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13F2278E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9897" w14:textId="77777777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B56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A3A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28D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01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ED1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24D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CFE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9B0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A00" w:rsidRPr="00193A00" w14:paraId="28B4C9D4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204B" w14:textId="38A74AA2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Flexilinea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AF7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65D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A4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0A5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20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F3E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39A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162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93A00" w:rsidRPr="00193A00" w14:paraId="51EAA7F9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9BB1" w14:textId="77777777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Elusimicrobia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96B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B3E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CBC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A53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84C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55D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06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726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A00" w:rsidRPr="00193A00" w14:paraId="28CC892F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659" w14:textId="20D7C018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Elusimicrobium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D47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EC0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8E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CCE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50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ED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959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9A8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30D8414A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9CE0" w14:textId="77777777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Firmicutes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1E2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EA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D9E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CA8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0E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253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AF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FC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A00" w:rsidRPr="00193A00" w14:paraId="280BFFBA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7A9D" w14:textId="0E183B9F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Acetitomaculum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C4D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EE1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847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346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1A3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EF7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F7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1A7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93A00" w:rsidRPr="00193A00" w14:paraId="3DAE3799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5AC2" w14:textId="0C64BD5C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Anaerosporobacter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BCA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86B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2D3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7D7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E0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AEE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ED1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80A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193A00" w:rsidRPr="00193A00" w14:paraId="42F49F0E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B382" w14:textId="7B82009C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Asteroleplasma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74A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9F6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0F5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127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09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7D0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80D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850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193A00" w:rsidRPr="00193A00" w14:paraId="1B5D3BF9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332" w14:textId="5C6EBC1D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Butyrivibrio_2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771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F44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9E9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BDD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80B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05F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40E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CC2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055134E9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074" w14:textId="592ACB03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Erysipelotrichaceae_UCG-004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998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367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22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C45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992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025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DFD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E39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6E8DF087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7755" w14:textId="488ADFCB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Family_XIII_AD3011_group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C38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09F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E11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DB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F71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32B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99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0B3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74AF0C68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6A0C" w14:textId="1BBC7F16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Lachnospiraceae_AC2044_group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23B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85F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F27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106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2B3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F1D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C1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6EF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26AD3561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175" w14:textId="394F0D4C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Lachnospiraceae_NK3A20_group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031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B29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840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A7B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D0E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BA3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7B1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25C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7A8223C8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A307" w14:textId="5478781A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Mogibacterium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26B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5A1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AD2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87D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E2D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CC0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5A2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43D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47598D84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B4F4" w14:textId="1D5C113A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Moryella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D3E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D1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227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547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0F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96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DA2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C55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284DB430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D9AB" w14:textId="68F89681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Papillibacter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515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00E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668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FCE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26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6BE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098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ADA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193A00" w:rsidRPr="00193A00" w14:paraId="5F8D17B8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6B15" w14:textId="63DB7A57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CFB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2CB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54A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9C0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AF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8D8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638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636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193A00" w:rsidRPr="00193A00" w14:paraId="1F3E3396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DB9D" w14:textId="46F04A7A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Ruminococcaceae_UCG-005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F3D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8F3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2FF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85B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DB2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16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D4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C7B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193A00" w:rsidRPr="00193A00" w14:paraId="4B2F73F0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CA40" w14:textId="11B12FE3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Ruminococcaceae_UCG-010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BB0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348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7E0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C1F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D81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03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DF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D2E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93A00" w:rsidRPr="00193A00" w14:paraId="3BF45EEF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8D9C" w14:textId="1984CD00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Ruminococcus_1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883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6A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FF6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B70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D3B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12D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2D9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431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137B10CE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DCA7" w14:textId="556E10F3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Saccharofermentans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6B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12D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3F5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AA8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B6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19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0A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9AF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6B877F14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6EF9" w14:textId="4248E480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Selenomonas_1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32E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B54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794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594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347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538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58E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8CB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93A00" w:rsidRPr="00193A00" w14:paraId="50F0F246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55B" w14:textId="77777777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Lentisphaerae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1DE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D23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D47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811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417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B0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39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052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A00" w:rsidRPr="00193A00" w14:paraId="01A22218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5559" w14:textId="7A1D07EE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Horsej-a03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231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97C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604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D1E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8E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815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243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54E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93A00" w:rsidRPr="00193A00" w14:paraId="6D59E9AB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AAD7" w14:textId="3312A946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D5D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A4D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C35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8DA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AC8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42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1B6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F90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A00" w:rsidRPr="00193A00" w14:paraId="3A79F0A5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AAF" w14:textId="0BB4FB83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Desulfovibrio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254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657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5B5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64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D18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EA5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F4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9B4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193A00" w:rsidRPr="00193A00" w14:paraId="323EDF2C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B039" w14:textId="36EA7E8D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Ruminobacter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631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F78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697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739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2EC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95D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F66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A82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193A00" w:rsidRPr="00193A00" w14:paraId="5599EEB4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7041" w14:textId="0E279123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Succinimonas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C3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D23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3F5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427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1F0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176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AB6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837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193A00" w:rsidRPr="00193A00" w14:paraId="563DB90F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4902" w14:textId="4EE2FD91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Succinivibrio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8E7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5D8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D12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4EC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4BE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DE8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5D7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E92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193A00" w:rsidRPr="00193A00" w14:paraId="34223E05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6106" w14:textId="77777777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Spirochaetes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DE3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0FA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E5D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313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880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C45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57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873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A00" w:rsidRPr="00193A00" w14:paraId="0144DE5B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505" w14:textId="24F613CA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Sediminispirochaeta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141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B34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9D2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85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F0B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59E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8A7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38B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193A00" w:rsidRPr="00193A00" w14:paraId="2C93CF8B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0CCB" w14:textId="5718F133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Sphaerochaeta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96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C72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FA7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1E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1A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A8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066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8A7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193A00" w:rsidRPr="00193A00" w14:paraId="0AB59101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DB4" w14:textId="3BC8BBFF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Treponema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53C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980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BD28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753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402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412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39A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BC5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193A00" w:rsidRPr="00193A00" w14:paraId="0BFAF18B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91B3" w14:textId="146C330D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Treponema_2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850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20E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232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2B7E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4D9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E13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A22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257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93A00" w:rsidRPr="00193A00" w14:paraId="724A5F8F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486" w14:textId="7E84776A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Synergistetes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26E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5E0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4B5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70A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13F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3D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86AA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ED2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A00" w:rsidRPr="00193A00" w14:paraId="6C99FC1F" w14:textId="77777777" w:rsidTr="00DF5580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D6DA" w14:textId="59992F97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Pyramidobacter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443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7FDF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723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9619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FDE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189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A0B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6A7B" w14:textId="2015D039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3A00" w:rsidRPr="00193A00" w14:paraId="07856A24" w14:textId="77777777" w:rsidTr="00353251">
        <w:trPr>
          <w:trHeight w:val="290"/>
        </w:trPr>
        <w:tc>
          <w:tcPr>
            <w:tcW w:w="1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2CF" w14:textId="39FF12EF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Tenericutes</w:t>
            </w:r>
            <w:proofErr w:type="spellEnd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31A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9036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387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6B2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AFDB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528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DDF0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1D8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A00" w:rsidRPr="00193A00" w14:paraId="55419C2E" w14:textId="77777777" w:rsidTr="00353251">
        <w:trPr>
          <w:trHeight w:val="290"/>
        </w:trPr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5983C" w14:textId="49C9B265" w:rsidR="00193A00" w:rsidRPr="00193A00" w:rsidRDefault="00193A00" w:rsidP="00193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93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Anaeroplasma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DEF45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0E9C1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47A1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8A43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1183C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BA537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E0CA4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CB5D" w14:textId="77777777" w:rsidR="00193A00" w:rsidRPr="00193A00" w:rsidRDefault="00193A00" w:rsidP="001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14:paraId="1454D1B9" w14:textId="44E7DC32" w:rsidR="00EB6D35" w:rsidRPr="00F73D38" w:rsidRDefault="00EB6D35" w:rsidP="00EB6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38">
        <w:rPr>
          <w:rFonts w:ascii="Times New Roman" w:eastAsia="SimSun" w:hAnsi="Times New Roman" w:cs="Times New Roman"/>
          <w:sz w:val="24"/>
          <w:szCs w:val="24"/>
          <w:vertAlign w:val="superscript"/>
        </w:rPr>
        <w:t>1</w:t>
      </w:r>
      <w:r w:rsidRPr="00F73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3D38">
        <w:rPr>
          <w:rFonts w:ascii="Times New Roman" w:hAnsi="Times New Roman" w:cs="Times New Roman"/>
          <w:sz w:val="24"/>
          <w:szCs w:val="24"/>
        </w:rPr>
        <w:t>Sequence counts of the bacterial genera were transformed to centered log ratio to avoid compositional data problem</w:t>
      </w:r>
    </w:p>
    <w:p w14:paraId="779B0E9F" w14:textId="77777777" w:rsidR="00DF5580" w:rsidRDefault="00DF5580" w:rsidP="00DF558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SimSun" w:hAnsi="Times New Roman" w:cs="Times New Roman"/>
          <w:sz w:val="24"/>
          <w:szCs w:val="24"/>
        </w:rPr>
        <w:t xml:space="preserve">Control versus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LpH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within the ruminal liquid fraction </w:t>
      </w:r>
    </w:p>
    <w:p w14:paraId="128CDBBB" w14:textId="77777777" w:rsidR="00DF5580" w:rsidRDefault="00DF5580" w:rsidP="00DF558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SimSun" w:hAnsi="Times New Roman" w:cs="Times New Roman"/>
          <w:sz w:val="24"/>
          <w:szCs w:val="24"/>
        </w:rPr>
        <w:t xml:space="preserve">Control versus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LpH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within the ruminal solid fraction </w:t>
      </w:r>
    </w:p>
    <w:p w14:paraId="4E5DC597" w14:textId="40D6530D" w:rsidR="00452832" w:rsidRPr="00B52854" w:rsidRDefault="00DF5580" w:rsidP="00DF5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SimSun" w:hAnsi="Times New Roman" w:cs="Times New Roman"/>
          <w:sz w:val="24"/>
          <w:szCs w:val="24"/>
        </w:rPr>
        <w:t xml:space="preserve">Ruminal sample fraction effect regardless of ruminal pH </w:t>
      </w:r>
      <w:r w:rsidR="00452832">
        <w:rPr>
          <w:rFonts w:ascii="Times New Roman" w:eastAsia="SimSun" w:hAnsi="Times New Roman" w:cs="Times New Roman"/>
          <w:sz w:val="24"/>
          <w:szCs w:val="24"/>
          <w:vertAlign w:val="superscript"/>
        </w:rPr>
        <w:br w:type="page"/>
      </w:r>
    </w:p>
    <w:p w14:paraId="51F9BBAA" w14:textId="57084052" w:rsidR="00452832" w:rsidRPr="00F73D38" w:rsidRDefault="00452832" w:rsidP="00452832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6" w:name="_Ref524620623"/>
      <w:r w:rsidRPr="00F73D38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bookmarkEnd w:id="6"/>
      <w:r w:rsidR="004D7E0C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F73D38">
        <w:rPr>
          <w:rFonts w:ascii="Times New Roman" w:hAnsi="Times New Roman" w:cs="Times New Roman"/>
          <w:i w:val="0"/>
          <w:color w:val="auto"/>
          <w:sz w:val="24"/>
          <w:szCs w:val="24"/>
        </w:rPr>
        <w:t>. Protozoa</w:t>
      </w:r>
      <w:r w:rsidR="00E83E37">
        <w:rPr>
          <w:rFonts w:ascii="Times New Roman" w:hAnsi="Times New Roman" w:cs="Times New Roman"/>
          <w:i w:val="0"/>
          <w:color w:val="auto"/>
          <w:sz w:val="24"/>
          <w:szCs w:val="24"/>
        </w:rPr>
        <w:t>l</w:t>
      </w:r>
      <w:r w:rsidRPr="00F73D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genera that </w:t>
      </w:r>
      <w:r w:rsidR="00353251">
        <w:rPr>
          <w:rFonts w:ascii="Times New Roman" w:hAnsi="Times New Roman" w:cs="Times New Roman"/>
          <w:i w:val="0"/>
          <w:color w:val="auto"/>
          <w:sz w:val="24"/>
          <w:szCs w:val="24"/>
        </w:rPr>
        <w:t>differed</w:t>
      </w:r>
      <w:r w:rsidRPr="00F73D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among treatments</w:t>
      </w:r>
      <w:r w:rsidRPr="00F73D38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5"/>
        <w:gridCol w:w="1115"/>
        <w:gridCol w:w="936"/>
        <w:gridCol w:w="1115"/>
        <w:gridCol w:w="936"/>
        <w:gridCol w:w="922"/>
        <w:gridCol w:w="1580"/>
        <w:gridCol w:w="1470"/>
        <w:gridCol w:w="2721"/>
      </w:tblGrid>
      <w:tr w:rsidR="00452832" w:rsidRPr="00F73D38" w14:paraId="0D846FD1" w14:textId="77777777" w:rsidTr="00FF10DE">
        <w:trPr>
          <w:trHeight w:val="380"/>
        </w:trPr>
        <w:tc>
          <w:tcPr>
            <w:tcW w:w="84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149C9" w14:textId="77777777" w:rsidR="00452832" w:rsidRPr="00F73D38" w:rsidRDefault="00452832" w:rsidP="00FF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8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8ACD6" w14:textId="77777777" w:rsidR="00452832" w:rsidRPr="00F73D38" w:rsidRDefault="00452832" w:rsidP="00FF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8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81A7" w14:textId="77777777" w:rsidR="00452832" w:rsidRPr="00F73D38" w:rsidRDefault="00452832" w:rsidP="00FF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</w:t>
            </w:r>
            <w:proofErr w:type="spellEnd"/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19E3CB" w14:textId="77777777" w:rsidR="00452832" w:rsidRPr="00F73D38" w:rsidRDefault="00452832" w:rsidP="00FF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21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4D3F7" w14:textId="2F4022DB" w:rsidR="00452832" w:rsidRPr="00F73D38" w:rsidRDefault="00452832" w:rsidP="00FF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DF5580" w:rsidRPr="00F73D38" w14:paraId="5BF4F204" w14:textId="77777777" w:rsidTr="00FF10DE">
        <w:trPr>
          <w:trHeight w:val="320"/>
        </w:trPr>
        <w:tc>
          <w:tcPr>
            <w:tcW w:w="84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C26A89" w14:textId="77777777" w:rsidR="00DF5580" w:rsidRPr="00F73D38" w:rsidRDefault="00DF5580" w:rsidP="00DF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DD9CB" w14:textId="77777777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91A49" w14:textId="77777777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3EAE" w14:textId="77777777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B8317" w14:textId="77777777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36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E0AFB8" w14:textId="77777777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FFAF" w14:textId="2A87A29C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vs LpH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AE3F" w14:textId="3D0656E0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vs LpH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8047" w14:textId="31567B2B" w:rsidR="00DF5580" w:rsidRPr="00F73D38" w:rsidRDefault="003F0755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Sol</w:t>
            </w:r>
            <w:r w:rsid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DF5580" w:rsidRPr="00F73D38" w14:paraId="3498BBB5" w14:textId="77777777" w:rsidTr="00FF10DE">
        <w:trPr>
          <w:trHeight w:val="29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DD9D" w14:textId="77777777" w:rsidR="00DF5580" w:rsidRPr="00F73D38" w:rsidRDefault="00DF5580" w:rsidP="00DF5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73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Diploplastron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B929" w14:textId="1B54AEFA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2DA9" w14:textId="3B7D09E7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F72" w14:textId="40370EEE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7669" w14:textId="2F50EB22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9DB9" w14:textId="508FF8DF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742E" w14:textId="4B3BE0F4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ED5" w14:textId="36153AAB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E09D" w14:textId="17AC61E3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F5580" w:rsidRPr="00F73D38" w14:paraId="7D9CC970" w14:textId="77777777" w:rsidTr="00FF10DE">
        <w:trPr>
          <w:trHeight w:val="29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CBF8" w14:textId="77777777" w:rsidR="00DF5580" w:rsidRPr="00F73D38" w:rsidRDefault="00DF5580" w:rsidP="00DF5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73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Entodinium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D24A" w14:textId="0A55C2B8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61FC" w14:textId="1DAB271A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D930" w14:textId="2AB9DAF4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DBB5" w14:textId="3911B357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7D5A" w14:textId="370D770E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D44A" w14:textId="22A79A78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89F" w14:textId="5B7EC0F3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A827" w14:textId="7AC6115B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DF5580" w:rsidRPr="00F73D38" w14:paraId="7105642F" w14:textId="77777777" w:rsidTr="00B52854">
        <w:trPr>
          <w:trHeight w:val="29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D5D6" w14:textId="4889A0FF" w:rsidR="00DF5580" w:rsidRPr="00B52854" w:rsidRDefault="00DF5580" w:rsidP="00DF55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B528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Eudiplodinium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027DE" w14:textId="31C4D423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412C" w14:textId="670AFEE1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F1770" w14:textId="2BE0F879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1773" w14:textId="70A901A9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890C" w14:textId="1EB1AA15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144FB" w14:textId="33DBD08F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5728" w14:textId="3A38B59F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6AAF" w14:textId="1F183849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F5580" w:rsidRPr="00F73D38" w14:paraId="40DA25AF" w14:textId="77777777" w:rsidTr="00FF10DE">
        <w:trPr>
          <w:trHeight w:val="290"/>
        </w:trPr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E02A" w14:textId="5332EF84" w:rsidR="00DF5580" w:rsidRPr="00F73D38" w:rsidRDefault="00DF5580" w:rsidP="00DF5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73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Isotricha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D9A73" w14:textId="0BCA11CB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B1CE5" w14:textId="7F2F1CA5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0656A" w14:textId="165CEA06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F86BF" w14:textId="3550C1DD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1352A" w14:textId="4503BA9F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155B0" w14:textId="31BA33BE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11B14" w14:textId="29CE7520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9574" w14:textId="1624FB93" w:rsidR="00DF5580" w:rsidRPr="00F73D38" w:rsidRDefault="00DF5580" w:rsidP="00D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</w:tbl>
    <w:p w14:paraId="0BE47A4D" w14:textId="2E35DF7F" w:rsidR="00452832" w:rsidRDefault="00452832" w:rsidP="004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38">
        <w:rPr>
          <w:rFonts w:ascii="Times New Roman" w:eastAsia="SimSun" w:hAnsi="Times New Roman" w:cs="Times New Roman"/>
          <w:sz w:val="24"/>
          <w:szCs w:val="24"/>
          <w:vertAlign w:val="superscript"/>
        </w:rPr>
        <w:t>1</w:t>
      </w:r>
      <w:r w:rsidRPr="00F73D38">
        <w:rPr>
          <w:rFonts w:ascii="Times New Roman" w:hAnsi="Times New Roman" w:cs="Times New Roman"/>
          <w:sz w:val="24"/>
          <w:szCs w:val="24"/>
        </w:rPr>
        <w:t xml:space="preserve">Sequence counts of the </w:t>
      </w:r>
      <w:r w:rsidR="00E83E37">
        <w:rPr>
          <w:rFonts w:ascii="Times New Roman" w:hAnsi="Times New Roman" w:cs="Times New Roman"/>
          <w:sz w:val="24"/>
          <w:szCs w:val="24"/>
        </w:rPr>
        <w:t>protozoal</w:t>
      </w:r>
      <w:r w:rsidRPr="00F73D38">
        <w:rPr>
          <w:rFonts w:ascii="Times New Roman" w:hAnsi="Times New Roman" w:cs="Times New Roman"/>
          <w:sz w:val="24"/>
          <w:szCs w:val="24"/>
        </w:rPr>
        <w:t xml:space="preserve"> genera were transformed to centered log ratio to avoid compositional data problem</w:t>
      </w:r>
    </w:p>
    <w:p w14:paraId="4E688611" w14:textId="77777777" w:rsidR="00DF5580" w:rsidRDefault="00DF5580" w:rsidP="00DF558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SimSun" w:hAnsi="Times New Roman" w:cs="Times New Roman"/>
          <w:sz w:val="24"/>
          <w:szCs w:val="24"/>
        </w:rPr>
        <w:t xml:space="preserve">Control versus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LpH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within the ruminal liquid fraction </w:t>
      </w:r>
    </w:p>
    <w:p w14:paraId="1AEC1897" w14:textId="77777777" w:rsidR="00DF5580" w:rsidRDefault="00DF5580" w:rsidP="00DF558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SimSun" w:hAnsi="Times New Roman" w:cs="Times New Roman"/>
          <w:sz w:val="24"/>
          <w:szCs w:val="24"/>
        </w:rPr>
        <w:t xml:space="preserve">Control versus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LpH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within the ruminal solid fraction </w:t>
      </w:r>
    </w:p>
    <w:p w14:paraId="513DE434" w14:textId="6E78073C" w:rsidR="00DF5580" w:rsidRPr="00F73D38" w:rsidRDefault="00DF5580" w:rsidP="00DF5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SimSun" w:hAnsi="Times New Roman" w:cs="Times New Roman"/>
          <w:sz w:val="24"/>
          <w:szCs w:val="24"/>
        </w:rPr>
        <w:t>Ruminal sample fraction effect regardless of ruminal pH</w:t>
      </w:r>
    </w:p>
    <w:p w14:paraId="75230685" w14:textId="77777777" w:rsidR="00B52854" w:rsidRDefault="00B5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BE073D" w14:textId="28225B15" w:rsidR="00B52854" w:rsidRPr="00F73D38" w:rsidRDefault="00B52854" w:rsidP="00B52854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7" w:name="_Ref524617792"/>
      <w:r w:rsidRPr="00F73D38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bookmarkEnd w:id="7"/>
      <w:r w:rsidR="004D7E0C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F73D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Archaea genera that </w:t>
      </w:r>
      <w:r w:rsidR="00353251">
        <w:rPr>
          <w:rFonts w:ascii="Times New Roman" w:hAnsi="Times New Roman" w:cs="Times New Roman"/>
          <w:i w:val="0"/>
          <w:color w:val="auto"/>
          <w:sz w:val="24"/>
          <w:szCs w:val="24"/>
        </w:rPr>
        <w:t>differed</w:t>
      </w:r>
      <w:r w:rsidRPr="00F73D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among treatments</w:t>
      </w:r>
      <w:r w:rsidRPr="00F73D38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3"/>
        <w:gridCol w:w="856"/>
        <w:gridCol w:w="723"/>
        <w:gridCol w:w="856"/>
        <w:gridCol w:w="1470"/>
        <w:gridCol w:w="710"/>
        <w:gridCol w:w="1470"/>
        <w:gridCol w:w="1470"/>
        <w:gridCol w:w="1762"/>
      </w:tblGrid>
      <w:tr w:rsidR="00C27F77" w:rsidRPr="00F73D38" w14:paraId="2309F85A" w14:textId="77777777" w:rsidTr="00D269FB">
        <w:trPr>
          <w:trHeight w:val="380"/>
        </w:trPr>
        <w:tc>
          <w:tcPr>
            <w:tcW w:w="140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2890CB" w14:textId="77777777" w:rsidR="00C27F77" w:rsidRPr="00F73D38" w:rsidRDefault="00C27F77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6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8939" w14:textId="77777777" w:rsidR="00C27F77" w:rsidRPr="00F73D38" w:rsidRDefault="00C27F77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82281" w14:textId="77777777" w:rsidR="00C27F77" w:rsidRPr="00F73D38" w:rsidRDefault="00C27F77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</w:t>
            </w:r>
            <w:proofErr w:type="spellEnd"/>
          </w:p>
        </w:tc>
        <w:tc>
          <w:tcPr>
            <w:tcW w:w="27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007DAF" w14:textId="77777777" w:rsidR="00C27F77" w:rsidRPr="00F73D38" w:rsidRDefault="00C27F77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8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2A613" w14:textId="7AF94005" w:rsidR="00C27F77" w:rsidRPr="00F73D38" w:rsidRDefault="00C27F77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C27F77" w:rsidRPr="00F73D38" w14:paraId="56CB0214" w14:textId="77777777" w:rsidTr="00D269FB">
        <w:trPr>
          <w:trHeight w:val="320"/>
        </w:trPr>
        <w:tc>
          <w:tcPr>
            <w:tcW w:w="140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89592E" w14:textId="77777777" w:rsidR="00C27F77" w:rsidRPr="00F73D38" w:rsidRDefault="00C27F77" w:rsidP="00C27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144D" w14:textId="77777777" w:rsidR="00C27F77" w:rsidRPr="00F73D38" w:rsidRDefault="00C27F77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A9899" w14:textId="77777777" w:rsidR="00C27F77" w:rsidRPr="00F73D38" w:rsidRDefault="00C27F77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D227D" w14:textId="77777777" w:rsidR="00C27F77" w:rsidRPr="00F73D38" w:rsidRDefault="00C27F77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E762" w14:textId="4C0F4B19" w:rsidR="00C27F77" w:rsidRPr="00F73D38" w:rsidRDefault="00C27F77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vs LpH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096981" w14:textId="77777777" w:rsidR="00C27F77" w:rsidRPr="00F73D38" w:rsidRDefault="00C27F77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1379B" w14:textId="5D0037BA" w:rsidR="00C27F77" w:rsidRPr="00F73D38" w:rsidRDefault="00C27F77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vs LpH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F0290" w14:textId="0AAE6104" w:rsidR="00C27F77" w:rsidRPr="00C27F77" w:rsidRDefault="00C27F77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9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vs LpH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0C33" w14:textId="6719F7D7" w:rsidR="00C27F77" w:rsidRPr="00F73D38" w:rsidRDefault="003F0755" w:rsidP="00C2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Sol</w:t>
            </w:r>
            <w:r w:rsidR="00C2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D269FB" w:rsidRPr="00F73D38" w14:paraId="175E9104" w14:textId="77777777" w:rsidTr="00D269FB">
        <w:trPr>
          <w:trHeight w:val="290"/>
        </w:trPr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55A" w14:textId="77777777" w:rsidR="00D269FB" w:rsidRPr="00F73D38" w:rsidRDefault="00D269FB" w:rsidP="00D26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73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Candidatus_Methanomethylophilus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09A" w14:textId="77777777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64CB" w14:textId="77777777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9936" w14:textId="77777777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81CF" w14:textId="77777777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031" w14:textId="77777777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DA84" w14:textId="3781FAB3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D764" w14:textId="699CE066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DE35" w14:textId="0482BD5E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D269FB" w:rsidRPr="00F73D38" w14:paraId="45475EC6" w14:textId="77777777" w:rsidTr="00D269FB">
        <w:trPr>
          <w:trHeight w:val="290"/>
        </w:trPr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0060" w14:textId="77777777" w:rsidR="00D269FB" w:rsidRPr="00F73D38" w:rsidRDefault="00D269FB" w:rsidP="00D26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73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Methanobrevibacter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2603" w14:textId="77777777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1156" w14:textId="77777777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FEB0" w14:textId="77777777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75BC" w14:textId="77777777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984C" w14:textId="77777777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5DC6" w14:textId="024C85A3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3751" w14:textId="7F22A212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5B7" w14:textId="09821028" w:rsidR="00D269FB" w:rsidRPr="00F73D38" w:rsidRDefault="00D269FB" w:rsidP="00D2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52854" w:rsidRPr="00F73D38" w14:paraId="4F1EF48C" w14:textId="77777777" w:rsidTr="00D269FB">
        <w:trPr>
          <w:trHeight w:val="290"/>
        </w:trPr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B9DFB" w14:textId="77777777" w:rsidR="00B52854" w:rsidRPr="00F73D38" w:rsidRDefault="00B52854" w:rsidP="00D370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73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Methanosphaera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88E08" w14:textId="77777777" w:rsidR="00B52854" w:rsidRPr="00F73D38" w:rsidRDefault="00B52854" w:rsidP="00D3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DBFAC" w14:textId="77777777" w:rsidR="00B52854" w:rsidRPr="00F73D38" w:rsidRDefault="00B52854" w:rsidP="00D3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ED937" w14:textId="77777777" w:rsidR="00B52854" w:rsidRPr="00F73D38" w:rsidRDefault="00B52854" w:rsidP="00D3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FE182" w14:textId="77777777" w:rsidR="00B52854" w:rsidRPr="00F73D38" w:rsidRDefault="00B52854" w:rsidP="00D3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AF97E" w14:textId="77777777" w:rsidR="00B52854" w:rsidRPr="00F73D38" w:rsidRDefault="00B52854" w:rsidP="00D3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21245" w14:textId="77777777" w:rsidR="00B52854" w:rsidRPr="00F73D38" w:rsidRDefault="00B52854" w:rsidP="00D3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39D16" w14:textId="77777777" w:rsidR="00B52854" w:rsidRPr="00F73D38" w:rsidRDefault="00B52854" w:rsidP="00D3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E1B6D" w14:textId="77777777" w:rsidR="00B52854" w:rsidRPr="00F73D38" w:rsidRDefault="00B52854" w:rsidP="00D3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</w:tbl>
    <w:p w14:paraId="3EEE3EE1" w14:textId="015D33E2" w:rsidR="00452832" w:rsidRPr="00F73D38" w:rsidRDefault="00B52854" w:rsidP="004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38">
        <w:rPr>
          <w:rFonts w:ascii="Times New Roman" w:eastAsia="SimSun" w:hAnsi="Times New Roman" w:cs="Times New Roman"/>
          <w:sz w:val="24"/>
          <w:szCs w:val="24"/>
          <w:vertAlign w:val="superscript"/>
        </w:rPr>
        <w:t>1</w:t>
      </w:r>
      <w:r w:rsidRPr="00F73D38">
        <w:rPr>
          <w:rFonts w:ascii="Times New Roman" w:hAnsi="Times New Roman" w:cs="Times New Roman"/>
          <w:sz w:val="24"/>
          <w:szCs w:val="24"/>
        </w:rPr>
        <w:t>Sequence counts of the bacterial genera were transformed to centered log ratio to avoid compositional data problem.</w:t>
      </w:r>
    </w:p>
    <w:p w14:paraId="5DBA026B" w14:textId="77777777" w:rsidR="00C27F77" w:rsidRDefault="00C27F77" w:rsidP="00C27F7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SimSun" w:hAnsi="Times New Roman" w:cs="Times New Roman"/>
          <w:sz w:val="24"/>
          <w:szCs w:val="24"/>
        </w:rPr>
        <w:t xml:space="preserve">Control versus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LpH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within the ruminal liquid fraction </w:t>
      </w:r>
    </w:p>
    <w:p w14:paraId="43FBB416" w14:textId="77777777" w:rsidR="00C27F77" w:rsidRDefault="00C27F77" w:rsidP="00C27F7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SimSun" w:hAnsi="Times New Roman" w:cs="Times New Roman"/>
          <w:sz w:val="24"/>
          <w:szCs w:val="24"/>
        </w:rPr>
        <w:t xml:space="preserve">Control versus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LpH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within the ruminal solid fraction </w:t>
      </w:r>
    </w:p>
    <w:p w14:paraId="7886445E" w14:textId="2A389B71" w:rsidR="003B3EE9" w:rsidRDefault="00C27F77" w:rsidP="00C27F77">
      <w:pPr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SimSun" w:hAnsi="Times New Roman" w:cs="Times New Roman"/>
          <w:sz w:val="24"/>
          <w:szCs w:val="24"/>
        </w:rPr>
        <w:t xml:space="preserve">Ruminal sample fraction effect regardless of ruminal pH </w:t>
      </w:r>
      <w:r w:rsidR="003B3EE9">
        <w:rPr>
          <w:rFonts w:ascii="Times New Roman" w:eastAsia="SimSun" w:hAnsi="Times New Roman" w:cs="Times New Roman"/>
          <w:sz w:val="24"/>
          <w:szCs w:val="24"/>
          <w:vertAlign w:val="superscript"/>
        </w:rPr>
        <w:br w:type="page"/>
      </w:r>
    </w:p>
    <w:p w14:paraId="34081CC8" w14:textId="3FF7001B" w:rsidR="003B3EE9" w:rsidRPr="00F73D38" w:rsidRDefault="003B3EE9" w:rsidP="003B3EE9">
      <w:pPr>
        <w:rPr>
          <w:rFonts w:ascii="Times New Roman" w:hAnsi="Times New Roman" w:cs="Times New Roman"/>
          <w:sz w:val="24"/>
          <w:szCs w:val="24"/>
        </w:rPr>
      </w:pPr>
      <w:r w:rsidRPr="00F73D38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8E26C9">
        <w:rPr>
          <w:rFonts w:ascii="Times New Roman" w:hAnsi="Times New Roman" w:cs="Times New Roman"/>
          <w:sz w:val="24"/>
          <w:szCs w:val="24"/>
        </w:rPr>
        <w:t>S</w:t>
      </w:r>
      <w:r w:rsidR="004D7E0C">
        <w:rPr>
          <w:rFonts w:ascii="Times New Roman" w:hAnsi="Times New Roman" w:cs="Times New Roman"/>
          <w:iCs/>
          <w:sz w:val="24"/>
          <w:szCs w:val="24"/>
        </w:rPr>
        <w:t>7</w:t>
      </w:r>
      <w:r w:rsidRPr="00F73D38">
        <w:rPr>
          <w:rFonts w:ascii="Times New Roman" w:hAnsi="Times New Roman" w:cs="Times New Roman"/>
          <w:sz w:val="24"/>
          <w:szCs w:val="24"/>
        </w:rPr>
        <w:t xml:space="preserve">. Carbohydrate-active degrading enzymes that </w:t>
      </w:r>
      <w:r w:rsidR="00353251">
        <w:rPr>
          <w:rFonts w:ascii="Times New Roman" w:hAnsi="Times New Roman" w:cs="Times New Roman"/>
          <w:sz w:val="24"/>
          <w:szCs w:val="24"/>
        </w:rPr>
        <w:t>differed</w:t>
      </w:r>
      <w:r w:rsidRPr="00F73D38">
        <w:rPr>
          <w:rFonts w:ascii="Times New Roman" w:hAnsi="Times New Roman" w:cs="Times New Roman"/>
          <w:sz w:val="24"/>
          <w:szCs w:val="24"/>
        </w:rPr>
        <w:t xml:space="preserve"> among treatments</w:t>
      </w:r>
      <w:r w:rsidRPr="00F73D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73D3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856"/>
        <w:gridCol w:w="723"/>
        <w:gridCol w:w="856"/>
        <w:gridCol w:w="723"/>
        <w:gridCol w:w="710"/>
        <w:gridCol w:w="1470"/>
        <w:gridCol w:w="1470"/>
        <w:gridCol w:w="1283"/>
      </w:tblGrid>
      <w:tr w:rsidR="00BD6B05" w:rsidRPr="00BD6B05" w14:paraId="26A0F512" w14:textId="77777777" w:rsidTr="0041471F">
        <w:trPr>
          <w:trHeight w:val="32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C29C82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0AB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8A2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DC4C3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3D2F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BD6B05" w:rsidRPr="00BD6B05" w14:paraId="54CBC594" w14:textId="77777777" w:rsidTr="0041471F">
        <w:trPr>
          <w:trHeight w:val="38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E674E1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E9E33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7E8C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A5430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CA83A" w14:textId="6F1677E6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EE9D66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3436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vs LpH</w:t>
            </w: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4D38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vs LpH</w:t>
            </w: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2FE8A" w14:textId="7C814B5F" w:rsidR="00BD6B05" w:rsidRPr="00BD6B05" w:rsidRDefault="003F075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Sol</w:t>
            </w:r>
            <w:r w:rsidR="00BD6B05"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BD6B05" w:rsidRPr="00BD6B05" w14:paraId="3D1F3047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A99D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Hlk18077143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Alpha-glucosidase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C6A0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B2C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6CA9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3B0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644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4272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DCA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4A03" w14:textId="209580E2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8B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6B05" w:rsidRPr="00BD6B05" w14:paraId="24C1E94D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FCD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8DC6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B9F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658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DB3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903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4CB2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23C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5E56" w14:textId="37F2EE52" w:rsidR="00BD6B05" w:rsidRPr="00BD6B05" w:rsidRDefault="008B7EE6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="00BD6B05"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B05" w:rsidRPr="00BD6B05" w14:paraId="06354952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0391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Beta-galactosidase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AE49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13D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F98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2C8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FC02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AA05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851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A62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BD6B05" w:rsidRPr="00BD6B05" w14:paraId="31B23FA7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603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Cellulase </w:t>
            </w:r>
            <w:proofErr w:type="spellStart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F5E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B6C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9112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14A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F4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889B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9F2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315" w14:textId="7DAD8BD6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8B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B05" w:rsidRPr="00BD6B05" w14:paraId="2E3E16FA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A709" w14:textId="5369823C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_Hlk18077551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Glucan 1,4-alpha-maltotetraohydrolase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D50B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D97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016" w14:textId="203B5E18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8B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899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BE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8566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660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1CB" w14:textId="05DA9EF6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8B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6B05" w:rsidRPr="00BD6B05" w14:paraId="491C36B8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5170" w14:textId="2D3524DD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_Hlk1807756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lucan phosphorylase</w:t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ED4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DAD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60D6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D493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D549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08BE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35D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A9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BD6B05" w:rsidRPr="00BD6B05" w14:paraId="42AC5FB1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0C7B" w14:textId="60A33EAC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lucosidase Cel1C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AA2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10A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DF5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814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0CA9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973E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C4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F289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BD6B05" w:rsidRPr="00BD6B05" w14:paraId="5DE8FC59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EC2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_Hlk18077584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Glycoside hydrolase family 43</w:t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D0ED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F5E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942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66B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96C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4CE6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F00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8D6" w14:textId="49708A06" w:rsidR="00BD6B05" w:rsidRPr="00BD6B05" w:rsidRDefault="008B7EE6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="00BD6B05"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B05" w:rsidRPr="00BD6B05" w14:paraId="0E554FAC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BDAB" w14:textId="6AF00704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Glycosyl hydrolase family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3313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0D3B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8C8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600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3D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2BA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B37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00E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BD6B05" w:rsidRPr="00BD6B05" w14:paraId="17C13A36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3101" w14:textId="154A110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Glycosyl hydrolase family 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E40E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E1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375B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6B76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59B2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D49B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416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45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BD6B05" w:rsidRPr="00BD6B05" w14:paraId="5C5F0A28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D7D8" w14:textId="557BF4A9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_Hlk18077616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Glycosyl hydrolase family 51 </w:t>
            </w:r>
            <w:bookmarkEnd w:id="1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7C72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E860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5EE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9376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F8C5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94C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6FD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1A8B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BD6B05" w:rsidRPr="00BD6B05" w14:paraId="7459FD5C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7B32" w14:textId="0F65DD4D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_Hlk18077200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Glycosyl hydrolase family 57</w:t>
            </w:r>
            <w:bookmarkEnd w:id="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FEC2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5143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49A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B050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E31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2CF6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CA23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701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BD6B05" w:rsidRPr="00BD6B05" w14:paraId="3E3BA168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B3AC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_Hlk18077660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Glycosyltransferase 36</w:t>
            </w:r>
            <w:bookmarkEnd w:id="1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B40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6D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857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9AB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533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3EF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699B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5925" w14:textId="7D6BF4AC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8B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B05" w:rsidRPr="00BD6B05" w14:paraId="511D9C54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D8C4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_Hlk18077674"/>
            <w:proofErr w:type="spellStart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Isoamylase</w:t>
            </w:r>
            <w:proofErr w:type="spellEnd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domain/esterase family protein</w:t>
            </w:r>
            <w:bookmarkEnd w:id="1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A3B5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1BB0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0CF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84B9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5F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6AD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6D3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DBF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BD6B05" w:rsidRPr="00BD6B05" w14:paraId="033D949F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226C" w14:textId="0A2275AC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Pectate lyase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7642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808B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21A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0C6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84E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6104" w14:textId="2D8BAF4F" w:rsidR="00BD6B05" w:rsidRPr="00BD6B05" w:rsidRDefault="00473F06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="00BD6B05"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8F8C" w14:textId="3AAAAF53" w:rsidR="00BD6B05" w:rsidRPr="00BD6B05" w:rsidRDefault="00473F06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="00BD6B05"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D770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BD6B05" w:rsidRPr="00BD6B05" w14:paraId="3D4DB63F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3C53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_Hlk18077253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Penicillin-binding protein 1A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2E92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6F8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7BBE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D88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9459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8B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FCFE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B70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BD6B05" w:rsidRPr="00BD6B05" w14:paraId="4FCF2798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7191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4-alpha-glucanotransferase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9F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E803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8F29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EA1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5829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4A3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DF9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7D8B" w14:textId="31966B4A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8B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6B05" w:rsidRPr="00BD6B05" w14:paraId="3665B199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3D9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alpha-</w:t>
            </w:r>
            <w:proofErr w:type="spellStart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xylosidase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1FAB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C4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850E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E30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7B0E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85F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A303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FB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BD6B05" w:rsidRPr="00BD6B05" w14:paraId="6987A8E7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0F9F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carbohydrate-active enzyme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4D2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D8D1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479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6B0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363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6BA6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78F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C998" w14:textId="092FBCB4" w:rsidR="00BD6B05" w:rsidRPr="00BD6B05" w:rsidRDefault="008B7EE6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="00BD6B05"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bookmarkEnd w:id="16"/>
      <w:tr w:rsidR="00BD6B05" w:rsidRPr="00BD6B05" w14:paraId="53D41D34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9A36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glycosyl 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B97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199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E1F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A36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D57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829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4860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8370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BD6B05" w:rsidRPr="00BD6B05" w14:paraId="78A09BE2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329B" w14:textId="5F625799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Rhamnogalacturonan </w:t>
            </w:r>
            <w:proofErr w:type="spellStart"/>
            <w:r w:rsidR="00C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cetylesterase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083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669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956F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905A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9C0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398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8AC0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A7E3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BD6B05" w:rsidRPr="00BD6B05" w14:paraId="2B98AAF3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26EF" w14:textId="2C88F960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_Hlk18076547"/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Sucrose alpha-glucosidase</w:t>
            </w:r>
            <w:bookmarkEnd w:id="1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8626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4C2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40A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CB6B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A5E8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8D8C" w14:textId="16B00B66" w:rsidR="00BD6B05" w:rsidRPr="00BD6B05" w:rsidRDefault="00473F06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="00BD6B05"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0CA5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1F82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BD6B05" w:rsidRPr="00BD6B05" w14:paraId="421136D5" w14:textId="77777777" w:rsidTr="004147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F556" w14:textId="77777777" w:rsidR="00BD6B05" w:rsidRPr="00BD6B05" w:rsidRDefault="00BD6B05" w:rsidP="00BD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UDP-3-0-acyl N-acetylglucosamine deacetylase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9B8B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D8E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9CC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EC89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1BBC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DE9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A117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DA94" w14:textId="77777777" w:rsidR="00BD6B05" w:rsidRPr="00BD6B05" w:rsidRDefault="00BD6B05" w:rsidP="00BD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</w:tbl>
    <w:p w14:paraId="1DDD251B" w14:textId="6EE00DFD" w:rsidR="003B3EE9" w:rsidRPr="00F73D38" w:rsidRDefault="003B3EE9" w:rsidP="003B3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22D">
        <w:rPr>
          <w:rFonts w:ascii="Times New Roman" w:eastAsia="SimSun" w:hAnsi="Times New Roman" w:cs="Times New Roman"/>
          <w:iCs/>
          <w:sz w:val="24"/>
          <w:szCs w:val="24"/>
          <w:vertAlign w:val="superscript"/>
        </w:rPr>
        <w:t>1</w:t>
      </w:r>
      <w:r w:rsidRPr="0005222D">
        <w:rPr>
          <w:rFonts w:ascii="Times New Roman" w:hAnsi="Times New Roman" w:cs="Times New Roman"/>
          <w:iCs/>
          <w:sz w:val="24"/>
          <w:szCs w:val="24"/>
        </w:rPr>
        <w:t>Sequence</w:t>
      </w:r>
      <w:r w:rsidRPr="00F73D38">
        <w:rPr>
          <w:rFonts w:ascii="Times New Roman" w:hAnsi="Times New Roman" w:cs="Times New Roman"/>
          <w:sz w:val="24"/>
          <w:szCs w:val="24"/>
        </w:rPr>
        <w:t xml:space="preserve"> counts of the enzyme expression were transformed to centered log ratio to avoid compositional data problem.</w:t>
      </w:r>
    </w:p>
    <w:p w14:paraId="4C2917D4" w14:textId="77777777" w:rsidR="0005222D" w:rsidRDefault="0005222D" w:rsidP="0005222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SimSun" w:hAnsi="Times New Roman" w:cs="Times New Roman"/>
          <w:sz w:val="24"/>
          <w:szCs w:val="24"/>
        </w:rPr>
        <w:t xml:space="preserve">Control versus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LpH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within the ruminal liquid fraction </w:t>
      </w:r>
    </w:p>
    <w:p w14:paraId="5F840EFC" w14:textId="77777777" w:rsidR="0005222D" w:rsidRDefault="0005222D" w:rsidP="0005222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SimSun" w:hAnsi="Times New Roman" w:cs="Times New Roman"/>
          <w:sz w:val="24"/>
          <w:szCs w:val="24"/>
        </w:rPr>
        <w:t xml:space="preserve">Control versus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LpH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within the ruminal solid fraction </w:t>
      </w:r>
    </w:p>
    <w:p w14:paraId="1476FE57" w14:textId="683FB3C2" w:rsidR="00F8213D" w:rsidRPr="00F73D38" w:rsidRDefault="0005222D" w:rsidP="0005222D">
      <w:pPr>
        <w:spacing w:after="0"/>
        <w:rPr>
          <w:rFonts w:ascii="Times New Roman" w:eastAsia="SimSun" w:hAnsi="Times New Roman" w:cs="Times New Roman"/>
          <w:sz w:val="24"/>
          <w:szCs w:val="24"/>
          <w:vertAlign w:val="superscript"/>
        </w:rPr>
        <w:sectPr w:rsidR="00F8213D" w:rsidRPr="00F73D38" w:rsidSect="00030D8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SimSun" w:hAnsi="Times New Roman" w:cs="Times New Roman"/>
          <w:sz w:val="24"/>
          <w:szCs w:val="24"/>
        </w:rPr>
        <w:t>Ruminal sample fraction effect regardless of ruminal pH</w:t>
      </w:r>
    </w:p>
    <w:p w14:paraId="73024C23" w14:textId="0A73F94A" w:rsidR="00730D81" w:rsidRPr="00A14807" w:rsidRDefault="00730D81" w:rsidP="00730D81">
      <w:pPr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7E0C">
        <w:rPr>
          <w:rFonts w:ascii="Times New Roman" w:hAnsi="Times New Roman" w:cs="Times New Roman"/>
          <w:iCs/>
          <w:sz w:val="24"/>
          <w:szCs w:val="24"/>
        </w:rPr>
        <w:t>8</w:t>
      </w:r>
      <w:r w:rsidRPr="00EB776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8" w:name="_Hlk8300754"/>
      <w:r w:rsidRPr="00EB776B">
        <w:rPr>
          <w:rFonts w:ascii="Times New Roman" w:hAnsi="Times New Roman" w:cs="Times New Roman"/>
          <w:sz w:val="24"/>
          <w:szCs w:val="24"/>
        </w:rPr>
        <w:t xml:space="preserve">Effects of ruminal pH on DMI and ruminal short chain fatty acid concentrations. </w:t>
      </w:r>
    </w:p>
    <w:tbl>
      <w:tblPr>
        <w:tblStyle w:val="PlainTable2"/>
        <w:tblW w:w="5000" w:type="pct"/>
        <w:tblLook w:val="0600" w:firstRow="0" w:lastRow="0" w:firstColumn="0" w:lastColumn="0" w:noHBand="1" w:noVBand="1"/>
      </w:tblPr>
      <w:tblGrid>
        <w:gridCol w:w="3242"/>
        <w:gridCol w:w="1696"/>
        <w:gridCol w:w="1350"/>
        <w:gridCol w:w="1267"/>
        <w:gridCol w:w="1805"/>
      </w:tblGrid>
      <w:tr w:rsidR="00730D81" w:rsidRPr="00F73D38" w14:paraId="636A5330" w14:textId="77777777" w:rsidTr="00030D87">
        <w:trPr>
          <w:trHeight w:val="310"/>
        </w:trPr>
        <w:tc>
          <w:tcPr>
            <w:tcW w:w="1732" w:type="pct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bookmarkEnd w:id="18"/>
          <w:p w14:paraId="3A2FD586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627" w:type="pct"/>
            <w:gridSpan w:val="2"/>
            <w:tcBorders>
              <w:top w:val="single" w:sz="8" w:space="0" w:color="auto"/>
            </w:tcBorders>
            <w:noWrap/>
            <w:hideMark/>
          </w:tcPr>
          <w:p w14:paraId="581F446E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677" w:type="pct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42910621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964" w:type="pct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50A4F57B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</w:tr>
      <w:tr w:rsidR="00730D81" w:rsidRPr="00F73D38" w14:paraId="25193388" w14:textId="77777777" w:rsidTr="00030D87">
        <w:trPr>
          <w:trHeight w:val="310"/>
        </w:trPr>
        <w:tc>
          <w:tcPr>
            <w:tcW w:w="1732" w:type="pct"/>
            <w:vMerge/>
            <w:tcBorders>
              <w:bottom w:val="single" w:sz="4" w:space="0" w:color="auto"/>
            </w:tcBorders>
            <w:hideMark/>
          </w:tcPr>
          <w:p w14:paraId="01063AAC" w14:textId="77777777" w:rsidR="00730D81" w:rsidRPr="00F73D38" w:rsidRDefault="00730D81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0590FA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97C560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</w:t>
            </w:r>
            <w:proofErr w:type="spellEnd"/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hideMark/>
          </w:tcPr>
          <w:p w14:paraId="687BD129" w14:textId="77777777" w:rsidR="00730D81" w:rsidRPr="00F73D38" w:rsidRDefault="00730D81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vMerge/>
            <w:tcBorders>
              <w:bottom w:val="single" w:sz="4" w:space="0" w:color="auto"/>
            </w:tcBorders>
            <w:hideMark/>
          </w:tcPr>
          <w:p w14:paraId="7113F133" w14:textId="77777777" w:rsidR="00730D81" w:rsidRPr="00F73D38" w:rsidRDefault="00730D81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D81" w:rsidRPr="00F73D38" w14:paraId="70301A1E" w14:textId="77777777" w:rsidTr="00030D87">
        <w:trPr>
          <w:trHeight w:val="310"/>
        </w:trPr>
        <w:tc>
          <w:tcPr>
            <w:tcW w:w="1732" w:type="pct"/>
            <w:noWrap/>
            <w:hideMark/>
          </w:tcPr>
          <w:p w14:paraId="52DAA193" w14:textId="77777777" w:rsidR="00730D81" w:rsidRPr="00F73D38" w:rsidRDefault="00730D81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906" w:type="pct"/>
            <w:noWrap/>
            <w:hideMark/>
          </w:tcPr>
          <w:p w14:paraId="287574F2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  <w:tc>
          <w:tcPr>
            <w:tcW w:w="721" w:type="pct"/>
            <w:noWrap/>
            <w:hideMark/>
          </w:tcPr>
          <w:p w14:paraId="3D143B03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677" w:type="pct"/>
            <w:noWrap/>
            <w:hideMark/>
          </w:tcPr>
          <w:p w14:paraId="4C28A66D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4" w:type="pct"/>
            <w:noWrap/>
            <w:hideMark/>
          </w:tcPr>
          <w:p w14:paraId="4E857040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</w:tr>
      <w:tr w:rsidR="00730D81" w:rsidRPr="00F73D38" w14:paraId="37788677" w14:textId="77777777" w:rsidTr="00030D87">
        <w:trPr>
          <w:trHeight w:val="310"/>
        </w:trPr>
        <w:tc>
          <w:tcPr>
            <w:tcW w:w="1732" w:type="pct"/>
            <w:noWrap/>
          </w:tcPr>
          <w:p w14:paraId="0066ED0F" w14:textId="77777777" w:rsidR="00730D81" w:rsidRPr="00F73D38" w:rsidRDefault="00730D81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DMI, kg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/d</w:t>
            </w:r>
          </w:p>
        </w:tc>
        <w:tc>
          <w:tcPr>
            <w:tcW w:w="906" w:type="pct"/>
            <w:noWrap/>
          </w:tcPr>
          <w:p w14:paraId="07A10B2E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9.75</w:t>
            </w:r>
          </w:p>
        </w:tc>
        <w:tc>
          <w:tcPr>
            <w:tcW w:w="721" w:type="pct"/>
            <w:noWrap/>
          </w:tcPr>
          <w:p w14:paraId="48369610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7.82</w:t>
            </w:r>
          </w:p>
        </w:tc>
        <w:tc>
          <w:tcPr>
            <w:tcW w:w="677" w:type="pct"/>
            <w:noWrap/>
          </w:tcPr>
          <w:p w14:paraId="7127CE6C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4" w:type="pct"/>
            <w:noWrap/>
          </w:tcPr>
          <w:p w14:paraId="1F27085C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730D81" w:rsidRPr="00F73D38" w14:paraId="005E07E8" w14:textId="77777777" w:rsidTr="00030D87">
        <w:trPr>
          <w:trHeight w:val="310"/>
        </w:trPr>
        <w:tc>
          <w:tcPr>
            <w:tcW w:w="1732" w:type="pct"/>
            <w:noWrap/>
            <w:hideMark/>
          </w:tcPr>
          <w:p w14:paraId="25CB634A" w14:textId="77777777" w:rsidR="00730D81" w:rsidRPr="00F73D38" w:rsidRDefault="00730D81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VFA</w:t>
            </w: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906" w:type="pct"/>
            <w:noWrap/>
            <w:hideMark/>
          </w:tcPr>
          <w:p w14:paraId="06ACE27B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82.84</w:t>
            </w:r>
          </w:p>
        </w:tc>
        <w:tc>
          <w:tcPr>
            <w:tcW w:w="721" w:type="pct"/>
            <w:noWrap/>
            <w:hideMark/>
          </w:tcPr>
          <w:p w14:paraId="31793EEF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62.31</w:t>
            </w:r>
          </w:p>
        </w:tc>
        <w:tc>
          <w:tcPr>
            <w:tcW w:w="677" w:type="pct"/>
            <w:noWrap/>
            <w:hideMark/>
          </w:tcPr>
          <w:p w14:paraId="13701DC9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964" w:type="pct"/>
            <w:noWrap/>
            <w:hideMark/>
          </w:tcPr>
          <w:p w14:paraId="4F335C05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30D81" w:rsidRPr="00F73D38" w14:paraId="2C199500" w14:textId="77777777" w:rsidTr="00030D87">
        <w:trPr>
          <w:trHeight w:val="310"/>
        </w:trPr>
        <w:tc>
          <w:tcPr>
            <w:tcW w:w="1732" w:type="pct"/>
            <w:noWrap/>
            <w:hideMark/>
          </w:tcPr>
          <w:p w14:paraId="32620BD3" w14:textId="77777777" w:rsidR="00730D81" w:rsidRPr="00F73D38" w:rsidRDefault="00730D81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Acetate, mM</w:t>
            </w:r>
          </w:p>
        </w:tc>
        <w:tc>
          <w:tcPr>
            <w:tcW w:w="906" w:type="pct"/>
            <w:noWrap/>
            <w:hideMark/>
          </w:tcPr>
          <w:p w14:paraId="766C6E80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54.71</w:t>
            </w:r>
          </w:p>
        </w:tc>
        <w:tc>
          <w:tcPr>
            <w:tcW w:w="721" w:type="pct"/>
            <w:noWrap/>
            <w:hideMark/>
          </w:tcPr>
          <w:p w14:paraId="38D80C5A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42.12</w:t>
            </w:r>
          </w:p>
        </w:tc>
        <w:tc>
          <w:tcPr>
            <w:tcW w:w="677" w:type="pct"/>
            <w:noWrap/>
            <w:hideMark/>
          </w:tcPr>
          <w:p w14:paraId="535EA93E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964" w:type="pct"/>
            <w:noWrap/>
            <w:hideMark/>
          </w:tcPr>
          <w:p w14:paraId="718F937A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30D81" w:rsidRPr="00F73D38" w14:paraId="6AB710DB" w14:textId="77777777" w:rsidTr="00030D87">
        <w:trPr>
          <w:trHeight w:val="310"/>
        </w:trPr>
        <w:tc>
          <w:tcPr>
            <w:tcW w:w="1732" w:type="pct"/>
            <w:noWrap/>
            <w:hideMark/>
          </w:tcPr>
          <w:p w14:paraId="6C75E735" w14:textId="77777777" w:rsidR="00730D81" w:rsidRPr="00F73D38" w:rsidRDefault="00730D81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Propionate, mM</w:t>
            </w:r>
          </w:p>
        </w:tc>
        <w:tc>
          <w:tcPr>
            <w:tcW w:w="906" w:type="pct"/>
            <w:noWrap/>
            <w:hideMark/>
          </w:tcPr>
          <w:p w14:paraId="0233BDAA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721" w:type="pct"/>
            <w:noWrap/>
            <w:hideMark/>
          </w:tcPr>
          <w:p w14:paraId="15FFDB55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14.61</w:t>
            </w:r>
          </w:p>
        </w:tc>
        <w:tc>
          <w:tcPr>
            <w:tcW w:w="677" w:type="pct"/>
            <w:noWrap/>
            <w:hideMark/>
          </w:tcPr>
          <w:p w14:paraId="138E04AE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964" w:type="pct"/>
            <w:noWrap/>
            <w:hideMark/>
          </w:tcPr>
          <w:p w14:paraId="4A56458D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30D81" w:rsidRPr="00F73D38" w14:paraId="1B031F91" w14:textId="77777777" w:rsidTr="00030D87">
        <w:trPr>
          <w:trHeight w:val="310"/>
        </w:trPr>
        <w:tc>
          <w:tcPr>
            <w:tcW w:w="1732" w:type="pct"/>
            <w:noWrap/>
            <w:hideMark/>
          </w:tcPr>
          <w:p w14:paraId="0C0E8B36" w14:textId="77777777" w:rsidR="00730D81" w:rsidRPr="00F73D38" w:rsidRDefault="00730D81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Butyrate, mM</w:t>
            </w:r>
          </w:p>
        </w:tc>
        <w:tc>
          <w:tcPr>
            <w:tcW w:w="906" w:type="pct"/>
            <w:noWrap/>
            <w:hideMark/>
          </w:tcPr>
          <w:p w14:paraId="24FF4E71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721" w:type="pct"/>
            <w:noWrap/>
            <w:hideMark/>
          </w:tcPr>
          <w:p w14:paraId="717104E3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677" w:type="pct"/>
            <w:noWrap/>
            <w:hideMark/>
          </w:tcPr>
          <w:p w14:paraId="17D56F61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64" w:type="pct"/>
            <w:noWrap/>
            <w:hideMark/>
          </w:tcPr>
          <w:p w14:paraId="721E99E7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30D81" w:rsidRPr="00F73D38" w14:paraId="406BD3C6" w14:textId="77777777" w:rsidTr="00030D87">
        <w:trPr>
          <w:trHeight w:val="310"/>
        </w:trPr>
        <w:tc>
          <w:tcPr>
            <w:tcW w:w="1732" w:type="pct"/>
            <w:noWrap/>
            <w:hideMark/>
          </w:tcPr>
          <w:p w14:paraId="61DEBFD6" w14:textId="77777777" w:rsidR="00730D81" w:rsidRPr="00F73D38" w:rsidRDefault="00730D81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Isobutyrate</w:t>
            </w:r>
            <w:proofErr w:type="spellEnd"/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906" w:type="pct"/>
            <w:noWrap/>
            <w:hideMark/>
          </w:tcPr>
          <w:p w14:paraId="39725D7E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721" w:type="pct"/>
            <w:noWrap/>
            <w:hideMark/>
          </w:tcPr>
          <w:p w14:paraId="73798210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677" w:type="pct"/>
            <w:noWrap/>
            <w:hideMark/>
          </w:tcPr>
          <w:p w14:paraId="177F911B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4" w:type="pct"/>
            <w:noWrap/>
            <w:hideMark/>
          </w:tcPr>
          <w:p w14:paraId="13EE84DD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30D81" w:rsidRPr="00F73D38" w14:paraId="117F252D" w14:textId="77777777" w:rsidTr="00030D87">
        <w:trPr>
          <w:trHeight w:val="310"/>
        </w:trPr>
        <w:tc>
          <w:tcPr>
            <w:tcW w:w="1732" w:type="pct"/>
            <w:noWrap/>
            <w:hideMark/>
          </w:tcPr>
          <w:p w14:paraId="03A82355" w14:textId="77777777" w:rsidR="00730D81" w:rsidRPr="00F73D38" w:rsidRDefault="00730D81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Valerate, mM</w:t>
            </w:r>
          </w:p>
        </w:tc>
        <w:tc>
          <w:tcPr>
            <w:tcW w:w="906" w:type="pct"/>
            <w:noWrap/>
            <w:hideMark/>
          </w:tcPr>
          <w:p w14:paraId="64602388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721" w:type="pct"/>
            <w:noWrap/>
            <w:hideMark/>
          </w:tcPr>
          <w:p w14:paraId="57400653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677" w:type="pct"/>
            <w:noWrap/>
            <w:hideMark/>
          </w:tcPr>
          <w:p w14:paraId="4E3F89E6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4" w:type="pct"/>
            <w:noWrap/>
            <w:hideMark/>
          </w:tcPr>
          <w:p w14:paraId="769A1E09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730D81" w:rsidRPr="00F73D38" w14:paraId="693C14D8" w14:textId="77777777" w:rsidTr="00030D87">
        <w:trPr>
          <w:trHeight w:val="310"/>
        </w:trPr>
        <w:tc>
          <w:tcPr>
            <w:tcW w:w="1732" w:type="pct"/>
            <w:tcBorders>
              <w:bottom w:val="single" w:sz="8" w:space="0" w:color="auto"/>
            </w:tcBorders>
            <w:noWrap/>
            <w:hideMark/>
          </w:tcPr>
          <w:p w14:paraId="55C1E405" w14:textId="77777777" w:rsidR="00730D81" w:rsidRPr="00F73D38" w:rsidRDefault="00730D81" w:rsidP="00030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Isovalerate, Mm</w:t>
            </w:r>
          </w:p>
        </w:tc>
        <w:tc>
          <w:tcPr>
            <w:tcW w:w="906" w:type="pct"/>
            <w:tcBorders>
              <w:bottom w:val="single" w:sz="8" w:space="0" w:color="auto"/>
            </w:tcBorders>
            <w:noWrap/>
            <w:hideMark/>
          </w:tcPr>
          <w:p w14:paraId="0A558842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21" w:type="pct"/>
            <w:tcBorders>
              <w:bottom w:val="single" w:sz="8" w:space="0" w:color="auto"/>
            </w:tcBorders>
            <w:noWrap/>
            <w:hideMark/>
          </w:tcPr>
          <w:p w14:paraId="0E5909CC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77" w:type="pct"/>
            <w:tcBorders>
              <w:bottom w:val="single" w:sz="8" w:space="0" w:color="auto"/>
            </w:tcBorders>
            <w:noWrap/>
            <w:hideMark/>
          </w:tcPr>
          <w:p w14:paraId="08D984F8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4" w:type="pct"/>
            <w:tcBorders>
              <w:bottom w:val="single" w:sz="8" w:space="0" w:color="auto"/>
            </w:tcBorders>
            <w:noWrap/>
            <w:hideMark/>
          </w:tcPr>
          <w:p w14:paraId="1BCED7DE" w14:textId="77777777" w:rsidR="00730D81" w:rsidRPr="00F73D38" w:rsidRDefault="00730D81" w:rsidP="000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</w:tbl>
    <w:p w14:paraId="7C266DE5" w14:textId="59EAE5BD" w:rsidR="00AA099F" w:rsidRDefault="00AA099F" w:rsidP="00195138">
      <w:pPr>
        <w:rPr>
          <w:rFonts w:ascii="Times New Roman" w:hAnsi="Times New Roman" w:cs="Times New Roman"/>
          <w:sz w:val="24"/>
          <w:szCs w:val="24"/>
        </w:rPr>
      </w:pPr>
    </w:p>
    <w:p w14:paraId="237C6CF0" w14:textId="77777777" w:rsidR="00AA099F" w:rsidRDefault="00AA0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6BEE87" w14:textId="14093055" w:rsidR="00AA099F" w:rsidRPr="00F73D38" w:rsidRDefault="00AA099F" w:rsidP="00AA099F">
      <w:pPr>
        <w:pStyle w:val="Caption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73D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 xml:space="preserve">Table </w:t>
      </w:r>
      <w:r w:rsidR="00E176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 w:rsidR="004D7E0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9</w:t>
      </w:r>
      <w:r w:rsidRPr="00F73D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Effects of ruminal pH change on in situ fiber degradation kinetics</w:t>
      </w:r>
      <w:r w:rsidRPr="00F73D38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1</w:t>
      </w:r>
      <w:r w:rsidRPr="00F73D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95"/>
        <w:gridCol w:w="1777"/>
        <w:gridCol w:w="1413"/>
        <w:gridCol w:w="1413"/>
        <w:gridCol w:w="1762"/>
      </w:tblGrid>
      <w:tr w:rsidR="00AA099F" w:rsidRPr="00F73D38" w14:paraId="53E19210" w14:textId="77777777" w:rsidTr="00030D87">
        <w:trPr>
          <w:trHeight w:val="310"/>
        </w:trPr>
        <w:tc>
          <w:tcPr>
            <w:tcW w:w="1600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ABDB" w14:textId="77777777" w:rsidR="00AA099F" w:rsidRPr="00F73D38" w:rsidRDefault="00AA099F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7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F98F1" w14:textId="77777777" w:rsidR="00AA099F" w:rsidRPr="00F73D38" w:rsidRDefault="00AA099F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755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5215" w14:textId="77777777" w:rsidR="00AA099F" w:rsidRPr="00F73D38" w:rsidRDefault="00AA099F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941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DC20" w14:textId="77777777" w:rsidR="00AA099F" w:rsidRPr="00F73D38" w:rsidRDefault="00AA099F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AA099F" w:rsidRPr="00F73D38" w14:paraId="6283EE1A" w14:textId="77777777" w:rsidTr="00030D87">
        <w:trPr>
          <w:trHeight w:val="310"/>
        </w:trPr>
        <w:tc>
          <w:tcPr>
            <w:tcW w:w="160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AD52DF" w14:textId="77777777" w:rsidR="00AA099F" w:rsidRPr="00F73D38" w:rsidRDefault="00AA099F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0ED70" w14:textId="77777777" w:rsidR="00AA099F" w:rsidRPr="00F73D38" w:rsidRDefault="00AA099F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8C8C" w14:textId="77777777" w:rsidR="00AA099F" w:rsidRPr="00F73D38" w:rsidRDefault="00AA099F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</w:t>
            </w:r>
            <w:proofErr w:type="spellEnd"/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9ACCE" w14:textId="77777777" w:rsidR="00AA099F" w:rsidRPr="00F73D38" w:rsidRDefault="00AA099F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171B6E" w14:textId="77777777" w:rsidR="00AA099F" w:rsidRPr="00F73D38" w:rsidRDefault="00AA099F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99F" w:rsidRPr="00F73D38" w14:paraId="2D428FB7" w14:textId="77777777" w:rsidTr="00030D87">
        <w:trPr>
          <w:trHeight w:val="310"/>
        </w:trPr>
        <w:tc>
          <w:tcPr>
            <w:tcW w:w="1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3C8D" w14:textId="77777777" w:rsidR="00AA099F" w:rsidRPr="00F73D38" w:rsidRDefault="00AA099F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D6A6" w14:textId="77777777" w:rsidR="00AA099F" w:rsidRPr="00F73D38" w:rsidRDefault="00AA099F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67AA" w14:textId="77777777" w:rsidR="00AA099F" w:rsidRPr="00F73D38" w:rsidRDefault="00AA099F" w:rsidP="000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9192" w14:textId="77777777" w:rsidR="00AA099F" w:rsidRPr="00F73D38" w:rsidRDefault="00AA099F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2FB" w14:textId="77777777" w:rsidR="00AA099F" w:rsidRPr="00F73D38" w:rsidRDefault="00AA099F" w:rsidP="000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74E" w:rsidRPr="00F73D38" w14:paraId="2126DE8F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2B9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a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BD7" w14:textId="0885952F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207" w14:textId="5C3C60AF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981A" w14:textId="658A229B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3F4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4B174E" w:rsidRPr="00F73D38" w14:paraId="6F2F1761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E266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43B6" w14:textId="68075332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833E" w14:textId="7AA78E19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D177" w14:textId="615B92B6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A74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4B174E" w:rsidRPr="00F73D38" w14:paraId="4460E781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CC29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3EB3" w14:textId="697871DE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31F8" w14:textId="6273D0FA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C1DF" w14:textId="76F2E9B4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6C7F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4B174E" w:rsidRPr="00F73D38" w14:paraId="049E6560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0F83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ED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F1A6" w14:textId="778873F8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5E13" w14:textId="4FB403AB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C08A" w14:textId="6572A1C1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C78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4B174E" w:rsidRPr="00F73D38" w14:paraId="56147337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B5D1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Hemicellulose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7A1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BA1F" w14:textId="77777777" w:rsidR="004B174E" w:rsidRPr="004B174E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20E9" w14:textId="77777777" w:rsidR="004B174E" w:rsidRPr="004B174E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68D4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74E" w:rsidRPr="00F73D38" w14:paraId="6F89DD1D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FBE4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a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3DC9" w14:textId="14E0AC26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0756" w14:textId="46633395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460" w14:textId="3D7C1C6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2150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4B174E" w:rsidRPr="00F73D38" w14:paraId="6110942B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A6B0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58DF" w14:textId="7370A9B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3FEC" w14:textId="5BC26A3D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2390" w14:textId="634B87A4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3B8E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4B174E" w:rsidRPr="00F73D38" w14:paraId="0A7B1A7D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30CD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9FD" w14:textId="784B8D7F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FDD" w14:textId="232F659A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2323" w14:textId="3FBB356A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C74F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4B174E" w:rsidRPr="00F73D38" w14:paraId="5561B884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D965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ED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C312" w14:textId="04144B0F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590A" w14:textId="4C1D1FAA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A3C3" w14:textId="0E7DE219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1C20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B174E" w:rsidRPr="00F73D38" w14:paraId="5C0875B5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5F9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Cellulose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903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F3D7" w14:textId="77777777" w:rsidR="004B174E" w:rsidRPr="004B174E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3A3A" w14:textId="77777777" w:rsidR="004B174E" w:rsidRPr="004B174E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829D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74E" w:rsidRPr="00F73D38" w14:paraId="24ABDB83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9531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a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CFB" w14:textId="52307F2B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D68" w14:textId="67249F00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988D" w14:textId="7FB598CE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34C9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4B174E" w:rsidRPr="00F73D38" w14:paraId="4E36E6E5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7EB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EF93" w14:textId="3B778839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69.78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C852" w14:textId="060F7366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DD89" w14:textId="12D3090C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B266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4B174E" w:rsidRPr="00F73D38" w14:paraId="19C09035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1FD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05BD" w14:textId="635FCEE0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A6F" w14:textId="574CF129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A5B3" w14:textId="6E6C56B0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818C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4B174E" w:rsidRPr="00F73D38" w14:paraId="4CC94DC2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B83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ED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544A" w14:textId="2487925E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8175" w14:textId="24A32840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58E4" w14:textId="55977E12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88B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B174E" w:rsidRPr="00F73D38" w14:paraId="4EBBB3FB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ED55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Lignin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B843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A8C5" w14:textId="77777777" w:rsidR="004B174E" w:rsidRPr="004B174E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83E0" w14:textId="77777777" w:rsidR="004B174E" w:rsidRPr="004B174E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214E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74E" w:rsidRPr="00F73D38" w14:paraId="097E54CE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8DC3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a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22B1" w14:textId="4F52A473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CAA1" w14:textId="134C4264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2C60" w14:textId="45350E52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26F4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4B174E" w:rsidRPr="00F73D38" w14:paraId="07FB798D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278B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EEFD" w14:textId="250049EF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448A" w14:textId="6D84F191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39CC" w14:textId="100F9BFD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34E1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4B174E" w:rsidRPr="00F73D38" w14:paraId="44198BE3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D995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0E49" w14:textId="48C9A920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23C" w14:textId="2DEF6B1A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6F16" w14:textId="1372F45A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90F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4B174E" w:rsidRPr="00F73D38" w14:paraId="17AAB43F" w14:textId="77777777" w:rsidTr="00030D87">
        <w:trPr>
          <w:trHeight w:val="310"/>
        </w:trPr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4B79" w14:textId="77777777" w:rsidR="004B174E" w:rsidRPr="00F73D38" w:rsidRDefault="004B174E" w:rsidP="004B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ED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429C9" w14:textId="069AE7F8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3F322" w14:textId="49B98962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36DF2" w14:textId="1BF031A0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D8381" w14:textId="77777777" w:rsidR="004B174E" w:rsidRPr="00F73D38" w:rsidRDefault="004B174E" w:rsidP="004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</w:tbl>
    <w:p w14:paraId="1EFA15B3" w14:textId="1F16E3BF" w:rsidR="00507107" w:rsidRPr="003B3EE9" w:rsidRDefault="00AA099F" w:rsidP="003B3EE9">
      <w:pPr>
        <w:rPr>
          <w:rFonts w:ascii="Times New Roman" w:hAnsi="Times New Roman" w:cs="Times New Roman"/>
          <w:sz w:val="24"/>
          <w:szCs w:val="24"/>
        </w:rPr>
      </w:pPr>
      <w:r w:rsidRPr="00F73D38">
        <w:rPr>
          <w:rFonts w:ascii="Times New Roman" w:eastAsia="SimSun" w:hAnsi="Times New Roman" w:cs="Times New Roman"/>
          <w:sz w:val="24"/>
          <w:szCs w:val="24"/>
          <w:vertAlign w:val="superscript"/>
        </w:rPr>
        <w:t>1</w:t>
      </w:r>
      <w:r w:rsidRPr="00F73D38">
        <w:rPr>
          <w:rFonts w:ascii="Times New Roman" w:eastAsia="SimSun" w:hAnsi="Times New Roman" w:cs="Times New Roman"/>
          <w:sz w:val="24"/>
          <w:szCs w:val="24"/>
        </w:rPr>
        <w:t>a represents proportion of rapidly degradable fraction (%); b represents proportion of potentially degradable fraction (%); </w:t>
      </w:r>
      <w:proofErr w:type="spellStart"/>
      <w:r w:rsidRPr="00F73D3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F73D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d</w:t>
      </w:r>
      <w:proofErr w:type="spellEnd"/>
      <w:r w:rsidRPr="00F73D38">
        <w:rPr>
          <w:rFonts w:ascii="Times New Roman" w:eastAsia="SimSun" w:hAnsi="Times New Roman" w:cs="Times New Roman"/>
          <w:sz w:val="24"/>
          <w:szCs w:val="24"/>
        </w:rPr>
        <w:t> represents the degradation rate constant of b (%/h); ED is effective degradability (%</w:t>
      </w:r>
      <w:r w:rsidR="003B3EE9">
        <w:rPr>
          <w:rFonts w:ascii="Times New Roman" w:eastAsia="SimSun" w:hAnsi="Times New Roman" w:cs="Times New Roman"/>
          <w:sz w:val="24"/>
          <w:szCs w:val="24"/>
        </w:rPr>
        <w:t>).</w:t>
      </w:r>
    </w:p>
    <w:sectPr w:rsidR="00507107" w:rsidRPr="003B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F71B3"/>
    <w:multiLevelType w:val="hybridMultilevel"/>
    <w:tmpl w:val="E35E2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A7"/>
    <w:rsid w:val="00030D87"/>
    <w:rsid w:val="0005222D"/>
    <w:rsid w:val="00090BC2"/>
    <w:rsid w:val="00135C0C"/>
    <w:rsid w:val="0015380D"/>
    <w:rsid w:val="00167987"/>
    <w:rsid w:val="00191F2F"/>
    <w:rsid w:val="00193A00"/>
    <w:rsid w:val="00195138"/>
    <w:rsid w:val="001E76A7"/>
    <w:rsid w:val="00224421"/>
    <w:rsid w:val="0028474C"/>
    <w:rsid w:val="00286958"/>
    <w:rsid w:val="002A0A81"/>
    <w:rsid w:val="002B036F"/>
    <w:rsid w:val="002E30AE"/>
    <w:rsid w:val="003025B0"/>
    <w:rsid w:val="003169DB"/>
    <w:rsid w:val="00353251"/>
    <w:rsid w:val="00361BBE"/>
    <w:rsid w:val="00370E09"/>
    <w:rsid w:val="00383ED2"/>
    <w:rsid w:val="003A0C67"/>
    <w:rsid w:val="003B3EE9"/>
    <w:rsid w:val="003F0755"/>
    <w:rsid w:val="004141CA"/>
    <w:rsid w:val="0041471F"/>
    <w:rsid w:val="00452832"/>
    <w:rsid w:val="00461682"/>
    <w:rsid w:val="00473F06"/>
    <w:rsid w:val="004B174E"/>
    <w:rsid w:val="004B5EE3"/>
    <w:rsid w:val="004D0DD6"/>
    <w:rsid w:val="004D7E0C"/>
    <w:rsid w:val="004F4CAA"/>
    <w:rsid w:val="00502E1B"/>
    <w:rsid w:val="00507107"/>
    <w:rsid w:val="005541BA"/>
    <w:rsid w:val="005C3A08"/>
    <w:rsid w:val="0064680A"/>
    <w:rsid w:val="00650478"/>
    <w:rsid w:val="00650645"/>
    <w:rsid w:val="006A6972"/>
    <w:rsid w:val="006C701E"/>
    <w:rsid w:val="006C78DB"/>
    <w:rsid w:val="00710FB0"/>
    <w:rsid w:val="00730D81"/>
    <w:rsid w:val="007511F8"/>
    <w:rsid w:val="00781F48"/>
    <w:rsid w:val="008058BC"/>
    <w:rsid w:val="008852A5"/>
    <w:rsid w:val="008B7EE6"/>
    <w:rsid w:val="008C41C1"/>
    <w:rsid w:val="008E26C9"/>
    <w:rsid w:val="00916A1E"/>
    <w:rsid w:val="0095595D"/>
    <w:rsid w:val="009710E8"/>
    <w:rsid w:val="00A11086"/>
    <w:rsid w:val="00A121AC"/>
    <w:rsid w:val="00A14807"/>
    <w:rsid w:val="00A152D6"/>
    <w:rsid w:val="00AA099F"/>
    <w:rsid w:val="00AB4613"/>
    <w:rsid w:val="00AB507C"/>
    <w:rsid w:val="00AB7A8D"/>
    <w:rsid w:val="00AD0269"/>
    <w:rsid w:val="00AE63D7"/>
    <w:rsid w:val="00B148B5"/>
    <w:rsid w:val="00B34C91"/>
    <w:rsid w:val="00B52854"/>
    <w:rsid w:val="00B96A03"/>
    <w:rsid w:val="00BD6B05"/>
    <w:rsid w:val="00BE7BED"/>
    <w:rsid w:val="00C27F77"/>
    <w:rsid w:val="00C30B6A"/>
    <w:rsid w:val="00C33D6A"/>
    <w:rsid w:val="00C80E48"/>
    <w:rsid w:val="00CA31CD"/>
    <w:rsid w:val="00CA4F95"/>
    <w:rsid w:val="00CD59F2"/>
    <w:rsid w:val="00CF4949"/>
    <w:rsid w:val="00D0620E"/>
    <w:rsid w:val="00D269FB"/>
    <w:rsid w:val="00D3703E"/>
    <w:rsid w:val="00D710B6"/>
    <w:rsid w:val="00D84753"/>
    <w:rsid w:val="00D86233"/>
    <w:rsid w:val="00D9088C"/>
    <w:rsid w:val="00DD47B3"/>
    <w:rsid w:val="00DF5580"/>
    <w:rsid w:val="00E1765A"/>
    <w:rsid w:val="00E258AB"/>
    <w:rsid w:val="00E83E37"/>
    <w:rsid w:val="00EB6D35"/>
    <w:rsid w:val="00EE7B99"/>
    <w:rsid w:val="00F57E91"/>
    <w:rsid w:val="00F71004"/>
    <w:rsid w:val="00F81D87"/>
    <w:rsid w:val="00F8213D"/>
    <w:rsid w:val="00FB365F"/>
    <w:rsid w:val="00FC20FB"/>
    <w:rsid w:val="00FE4BEB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7C24"/>
  <w15:chartTrackingRefBased/>
  <w15:docId w15:val="{ABEBB56C-627B-4AD1-80C6-34F1142B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2D6"/>
  </w:style>
  <w:style w:type="paragraph" w:styleId="Heading1">
    <w:name w:val="heading 1"/>
    <w:basedOn w:val="Normal"/>
    <w:link w:val="Heading1Char"/>
    <w:uiPriority w:val="9"/>
    <w:qFormat/>
    <w:rsid w:val="00CA3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1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152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A152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4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7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31CD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1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rsid w:val="00CA31CD"/>
    <w:pPr>
      <w:spacing w:after="0" w:line="240" w:lineRule="auto"/>
      <w:ind w:left="720"/>
      <w:jc w:val="both"/>
    </w:pPr>
    <w:rPr>
      <w:rFonts w:ascii="Times" w:eastAsia="SimSun" w:hAnsi="Times" w:cs="Times New Roman"/>
      <w:b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A31CD"/>
    <w:rPr>
      <w:rFonts w:ascii="Times" w:eastAsia="SimSun" w:hAnsi="Times" w:cs="Times New Roman"/>
      <w:b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31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31CD"/>
  </w:style>
  <w:style w:type="paragraph" w:customStyle="1" w:styleId="paragraph">
    <w:name w:val="paragraph"/>
    <w:basedOn w:val="Normal"/>
    <w:rsid w:val="00CA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31CD"/>
  </w:style>
  <w:style w:type="character" w:customStyle="1" w:styleId="spellingerror">
    <w:name w:val="spellingerror"/>
    <w:basedOn w:val="DefaultParagraphFont"/>
    <w:rsid w:val="00CA31CD"/>
  </w:style>
  <w:style w:type="character" w:customStyle="1" w:styleId="eop">
    <w:name w:val="eop"/>
    <w:basedOn w:val="DefaultParagraphFont"/>
    <w:rsid w:val="00CA31CD"/>
  </w:style>
  <w:style w:type="character" w:styleId="Hyperlink">
    <w:name w:val="Hyperlink"/>
    <w:basedOn w:val="DefaultParagraphFont"/>
    <w:uiPriority w:val="99"/>
    <w:unhideWhenUsed/>
    <w:rsid w:val="00CA31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1C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A31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A31C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CA31CD"/>
    <w:pPr>
      <w:tabs>
        <w:tab w:val="center" w:pos="4680"/>
        <w:tab w:val="right" w:pos="9360"/>
      </w:tabs>
      <w:spacing w:after="0" w:line="480" w:lineRule="auto"/>
      <w:ind w:firstLine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CA31CD"/>
    <w:rPr>
      <w:rFonts w:ascii="Times New Roman" w:eastAsia="SimSun" w:hAnsi="Times New Roman" w:cs="Times New Roman"/>
      <w:sz w:val="24"/>
      <w:szCs w:val="24"/>
    </w:rPr>
  </w:style>
  <w:style w:type="character" w:customStyle="1" w:styleId="MTEquationSection">
    <w:name w:val="MTEquationSection"/>
    <w:basedOn w:val="DefaultParagraphFont"/>
    <w:rsid w:val="00CA31CD"/>
    <w:rPr>
      <w:rFonts w:ascii="Times New Roman" w:hAnsi="Times New Roman" w:cs="Times New Roman"/>
      <w:b/>
      <w:vanish/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CD"/>
  </w:style>
  <w:style w:type="paragraph" w:styleId="Footer">
    <w:name w:val="footer"/>
    <w:basedOn w:val="Normal"/>
    <w:link w:val="FooterChar"/>
    <w:uiPriority w:val="99"/>
    <w:unhideWhenUsed/>
    <w:rsid w:val="00CA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CD"/>
  </w:style>
  <w:style w:type="paragraph" w:styleId="NormalWeb">
    <w:name w:val="Normal (Web)"/>
    <w:basedOn w:val="Normal"/>
    <w:uiPriority w:val="99"/>
    <w:unhideWhenUsed/>
    <w:rsid w:val="00CA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31CD"/>
    <w:rPr>
      <w:color w:val="954F72"/>
      <w:u w:val="single"/>
    </w:rPr>
  </w:style>
  <w:style w:type="paragraph" w:customStyle="1" w:styleId="msonormal0">
    <w:name w:val="msonormal"/>
    <w:basedOn w:val="Normal"/>
    <w:rsid w:val="00CA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1CD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A31C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31C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A31C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A31CD"/>
    <w:rPr>
      <w:rFonts w:ascii="Calibri" w:hAnsi="Calibri" w:cs="Calibri"/>
      <w:noProof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31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A741-3504-4B50-8B24-6048507D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5729</TotalTime>
  <Pages>14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Li</dc:creator>
  <cp:keywords/>
  <dc:description/>
  <cp:lastModifiedBy>Meng Li</cp:lastModifiedBy>
  <cp:revision>217</cp:revision>
  <dcterms:created xsi:type="dcterms:W3CDTF">2019-05-02T20:45:00Z</dcterms:created>
  <dcterms:modified xsi:type="dcterms:W3CDTF">2019-10-12T12:40:00Z</dcterms:modified>
</cp:coreProperties>
</file>