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0B37" w14:textId="369A4450" w:rsidR="0026056C" w:rsidRDefault="00E271A1">
      <w:pPr>
        <w:pStyle w:val="SupplementaryMaterial"/>
        <w:rPr>
          <w:b w:val="0"/>
        </w:rPr>
      </w:pPr>
      <w:r>
        <w:t>Additional file 3</w:t>
      </w:r>
    </w:p>
    <w:p w14:paraId="4C397D0A" w14:textId="77777777" w:rsidR="004C636A" w:rsidRDefault="004C636A">
      <w:pPr>
        <w:jc w:val="both"/>
        <w:rPr>
          <w:rFonts w:cs="Times New Roman"/>
          <w:b/>
          <w:bCs/>
          <w:szCs w:val="24"/>
        </w:rPr>
      </w:pPr>
    </w:p>
    <w:p w14:paraId="1FD9F025" w14:textId="70753C46" w:rsidR="0026056C" w:rsidRDefault="004C636A">
      <w:pPr>
        <w:jc w:val="both"/>
      </w:pPr>
      <w:r>
        <w:rPr>
          <w:rFonts w:cs="Times New Roman"/>
          <w:b/>
          <w:bCs/>
          <w:szCs w:val="24"/>
        </w:rPr>
        <w:t>Additional file</w:t>
      </w:r>
      <w:r w:rsidR="003E16B7">
        <w:rPr>
          <w:rFonts w:cs="Times New Roman"/>
          <w:b/>
          <w:bCs/>
          <w:szCs w:val="24"/>
        </w:rPr>
        <w:t xml:space="preserve"> </w:t>
      </w:r>
      <w:r w:rsidR="009F5EDE">
        <w:rPr>
          <w:rFonts w:cs="Times New Roman"/>
          <w:b/>
          <w:bCs/>
          <w:szCs w:val="24"/>
        </w:rPr>
        <w:t>3</w:t>
      </w:r>
      <w:r w:rsidR="003E16B7">
        <w:rPr>
          <w:rFonts w:cs="Times New Roman"/>
          <w:b/>
          <w:bCs/>
          <w:szCs w:val="24"/>
        </w:rPr>
        <w:t>.</w:t>
      </w:r>
      <w:r w:rsidR="003E16B7">
        <w:rPr>
          <w:rFonts w:cs="Times New Roman"/>
          <w:szCs w:val="24"/>
        </w:rPr>
        <w:t xml:space="preserve"> Original evidence for the depicted connections for “Blood and coagulation system”.</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08"/>
        <w:gridCol w:w="1276"/>
        <w:gridCol w:w="1417"/>
        <w:gridCol w:w="2835"/>
        <w:gridCol w:w="1276"/>
        <w:gridCol w:w="1701"/>
      </w:tblGrid>
      <w:tr w:rsidR="0026056C" w14:paraId="199C0010" w14:textId="77777777">
        <w:tc>
          <w:tcPr>
            <w:tcW w:w="1408" w:type="dxa"/>
            <w:shd w:val="clear" w:color="auto" w:fill="D9D9D9"/>
            <w:tcMar>
              <w:top w:w="100" w:type="dxa"/>
              <w:left w:w="100" w:type="dxa"/>
              <w:bottom w:w="100" w:type="dxa"/>
              <w:right w:w="100" w:type="dxa"/>
            </w:tcMar>
          </w:tcPr>
          <w:p w14:paraId="06DE87B9" w14:textId="77777777" w:rsidR="0026056C" w:rsidRDefault="003E16B7" w:rsidP="00E94B1A">
            <w:pPr>
              <w:widowControl w:val="0"/>
              <w:spacing w:before="0" w:after="0"/>
              <w:rPr>
                <w:rFonts w:cs="Arial"/>
                <w:b/>
                <w:szCs w:val="20"/>
              </w:rPr>
            </w:pPr>
            <w:r>
              <w:rPr>
                <w:rFonts w:cs="Arial"/>
                <w:b/>
                <w:szCs w:val="20"/>
              </w:rPr>
              <w:t>Source</w:t>
            </w:r>
          </w:p>
        </w:tc>
        <w:tc>
          <w:tcPr>
            <w:tcW w:w="1276" w:type="dxa"/>
            <w:shd w:val="clear" w:color="auto" w:fill="D9D9D9"/>
            <w:tcMar>
              <w:top w:w="100" w:type="dxa"/>
              <w:left w:w="100" w:type="dxa"/>
              <w:bottom w:w="100" w:type="dxa"/>
              <w:right w:w="100" w:type="dxa"/>
            </w:tcMar>
          </w:tcPr>
          <w:p w14:paraId="2209743D" w14:textId="77777777" w:rsidR="0026056C" w:rsidRDefault="003E16B7" w:rsidP="00E94B1A">
            <w:pPr>
              <w:widowControl w:val="0"/>
              <w:spacing w:before="0" w:after="0"/>
              <w:rPr>
                <w:rFonts w:cs="Arial"/>
                <w:b/>
                <w:szCs w:val="20"/>
              </w:rPr>
            </w:pPr>
            <w:r>
              <w:rPr>
                <w:rFonts w:cs="Arial"/>
                <w:b/>
                <w:szCs w:val="20"/>
              </w:rPr>
              <w:t>Relation</w:t>
            </w:r>
          </w:p>
        </w:tc>
        <w:tc>
          <w:tcPr>
            <w:tcW w:w="1417" w:type="dxa"/>
            <w:shd w:val="clear" w:color="auto" w:fill="D9D9D9"/>
            <w:tcMar>
              <w:top w:w="100" w:type="dxa"/>
              <w:left w:w="100" w:type="dxa"/>
              <w:bottom w:w="100" w:type="dxa"/>
              <w:right w:w="100" w:type="dxa"/>
            </w:tcMar>
          </w:tcPr>
          <w:p w14:paraId="5FBD0C32" w14:textId="77777777" w:rsidR="0026056C" w:rsidRDefault="003E16B7" w:rsidP="00E94B1A">
            <w:pPr>
              <w:widowControl w:val="0"/>
              <w:spacing w:before="0" w:after="0"/>
              <w:rPr>
                <w:rFonts w:cs="Arial"/>
                <w:b/>
                <w:szCs w:val="20"/>
              </w:rPr>
            </w:pPr>
            <w:r>
              <w:rPr>
                <w:rFonts w:cs="Arial"/>
                <w:b/>
                <w:szCs w:val="20"/>
              </w:rPr>
              <w:t>Target</w:t>
            </w:r>
          </w:p>
        </w:tc>
        <w:tc>
          <w:tcPr>
            <w:tcW w:w="2835" w:type="dxa"/>
            <w:shd w:val="clear" w:color="auto" w:fill="D9D9D9"/>
            <w:tcMar>
              <w:top w:w="100" w:type="dxa"/>
              <w:left w:w="100" w:type="dxa"/>
              <w:bottom w:w="100" w:type="dxa"/>
              <w:right w:w="100" w:type="dxa"/>
            </w:tcMar>
          </w:tcPr>
          <w:p w14:paraId="7289B14E" w14:textId="77777777" w:rsidR="0026056C" w:rsidRDefault="003E16B7" w:rsidP="00E94B1A">
            <w:pPr>
              <w:widowControl w:val="0"/>
              <w:spacing w:before="0" w:after="0"/>
              <w:jc w:val="both"/>
              <w:rPr>
                <w:rFonts w:cs="Arial"/>
                <w:b/>
                <w:szCs w:val="20"/>
              </w:rPr>
            </w:pPr>
            <w:r>
              <w:rPr>
                <w:rFonts w:cs="Arial"/>
                <w:b/>
                <w:szCs w:val="20"/>
              </w:rPr>
              <w:t>Original Evidence</w:t>
            </w:r>
          </w:p>
        </w:tc>
        <w:tc>
          <w:tcPr>
            <w:tcW w:w="1276" w:type="dxa"/>
            <w:shd w:val="clear" w:color="auto" w:fill="D9D9D9"/>
            <w:tcMar>
              <w:top w:w="100" w:type="dxa"/>
              <w:left w:w="100" w:type="dxa"/>
              <w:bottom w:w="100" w:type="dxa"/>
              <w:right w:w="100" w:type="dxa"/>
            </w:tcMar>
          </w:tcPr>
          <w:p w14:paraId="2763E0B1" w14:textId="77777777" w:rsidR="0026056C" w:rsidRDefault="003E16B7" w:rsidP="00E94B1A">
            <w:pPr>
              <w:widowControl w:val="0"/>
              <w:spacing w:before="0" w:after="0"/>
              <w:rPr>
                <w:rFonts w:cs="Arial"/>
                <w:b/>
                <w:szCs w:val="20"/>
              </w:rPr>
            </w:pPr>
            <w:r>
              <w:rPr>
                <w:rFonts w:cs="Arial"/>
                <w:b/>
                <w:szCs w:val="20"/>
              </w:rPr>
              <w:t>PMID</w:t>
            </w:r>
          </w:p>
        </w:tc>
        <w:tc>
          <w:tcPr>
            <w:tcW w:w="1701" w:type="dxa"/>
            <w:shd w:val="clear" w:color="auto" w:fill="D9D9D9"/>
            <w:tcMar>
              <w:top w:w="100" w:type="dxa"/>
              <w:left w:w="100" w:type="dxa"/>
              <w:bottom w:w="100" w:type="dxa"/>
              <w:right w:w="100" w:type="dxa"/>
            </w:tcMar>
          </w:tcPr>
          <w:p w14:paraId="3DAFBABF" w14:textId="77777777" w:rsidR="0026056C" w:rsidRDefault="003E16B7" w:rsidP="00E94B1A">
            <w:pPr>
              <w:widowControl w:val="0"/>
              <w:spacing w:before="0" w:after="0"/>
              <w:rPr>
                <w:rFonts w:cs="Arial"/>
                <w:b/>
                <w:szCs w:val="20"/>
              </w:rPr>
            </w:pPr>
            <w:r>
              <w:rPr>
                <w:rFonts w:cs="Arial"/>
                <w:b/>
                <w:szCs w:val="20"/>
              </w:rPr>
              <w:t>Resource</w:t>
            </w:r>
          </w:p>
        </w:tc>
      </w:tr>
      <w:tr w:rsidR="0026056C" w14:paraId="5560A9D3" w14:textId="77777777">
        <w:tc>
          <w:tcPr>
            <w:tcW w:w="1408" w:type="dxa"/>
            <w:shd w:val="clear" w:color="auto" w:fill="auto"/>
            <w:tcMar>
              <w:top w:w="100" w:type="dxa"/>
              <w:left w:w="100" w:type="dxa"/>
              <w:bottom w:w="100" w:type="dxa"/>
              <w:right w:w="100" w:type="dxa"/>
            </w:tcMar>
          </w:tcPr>
          <w:p w14:paraId="10BB3504" w14:textId="77777777" w:rsidR="0026056C" w:rsidRDefault="003E16B7" w:rsidP="00E94B1A">
            <w:pPr>
              <w:widowControl w:val="0"/>
              <w:spacing w:before="0" w:after="0"/>
              <w:rPr>
                <w:rFonts w:cs="Arial"/>
                <w:szCs w:val="20"/>
              </w:rPr>
            </w:pPr>
            <w:r>
              <w:rPr>
                <w:rFonts w:cs="Arial"/>
                <w:szCs w:val="20"/>
              </w:rPr>
              <w:t>COVID-19</w:t>
            </w:r>
          </w:p>
        </w:tc>
        <w:tc>
          <w:tcPr>
            <w:tcW w:w="1276" w:type="dxa"/>
            <w:shd w:val="clear" w:color="auto" w:fill="auto"/>
            <w:tcMar>
              <w:top w:w="100" w:type="dxa"/>
              <w:left w:w="100" w:type="dxa"/>
              <w:bottom w:w="100" w:type="dxa"/>
              <w:right w:w="100" w:type="dxa"/>
            </w:tcMar>
          </w:tcPr>
          <w:p w14:paraId="78ED8DB3" w14:textId="77777777" w:rsidR="0026056C" w:rsidRDefault="003E16B7" w:rsidP="00E94B1A">
            <w:pPr>
              <w:widowControl w:val="0"/>
              <w:spacing w:before="0" w:after="0"/>
              <w:rPr>
                <w:rFonts w:cs="Arial"/>
                <w:szCs w:val="20"/>
              </w:rPr>
            </w:pPr>
            <w:r>
              <w:rPr>
                <w:rFonts w:cs="Arial"/>
                <w:szCs w:val="20"/>
              </w:rPr>
              <w:t>Decreases</w:t>
            </w:r>
          </w:p>
        </w:tc>
        <w:tc>
          <w:tcPr>
            <w:tcW w:w="1417" w:type="dxa"/>
            <w:shd w:val="clear" w:color="auto" w:fill="auto"/>
            <w:tcMar>
              <w:top w:w="100" w:type="dxa"/>
              <w:left w:w="100" w:type="dxa"/>
              <w:bottom w:w="100" w:type="dxa"/>
              <w:right w:w="100" w:type="dxa"/>
            </w:tcMar>
          </w:tcPr>
          <w:p w14:paraId="4C621585" w14:textId="77777777" w:rsidR="0026056C" w:rsidRDefault="003E16B7" w:rsidP="00E94B1A">
            <w:pPr>
              <w:widowControl w:val="0"/>
              <w:spacing w:before="0" w:after="0"/>
              <w:rPr>
                <w:rFonts w:cs="Arial"/>
                <w:color w:val="000000"/>
                <w:szCs w:val="20"/>
              </w:rPr>
            </w:pPr>
            <w:r>
              <w:rPr>
                <w:rFonts w:cs="Arial"/>
                <w:color w:val="000000" w:themeColor="text1"/>
                <w:szCs w:val="20"/>
              </w:rPr>
              <w:t>Albumin</w:t>
            </w:r>
          </w:p>
        </w:tc>
        <w:tc>
          <w:tcPr>
            <w:tcW w:w="2835" w:type="dxa"/>
            <w:shd w:val="clear" w:color="auto" w:fill="auto"/>
            <w:tcMar>
              <w:top w:w="100" w:type="dxa"/>
              <w:left w:w="100" w:type="dxa"/>
              <w:bottom w:w="100" w:type="dxa"/>
              <w:right w:w="100" w:type="dxa"/>
            </w:tcMar>
          </w:tcPr>
          <w:p w14:paraId="69E07524" w14:textId="77777777" w:rsidR="0026056C" w:rsidRDefault="003E16B7" w:rsidP="00E94B1A">
            <w:pPr>
              <w:spacing w:before="0" w:after="0"/>
              <w:jc w:val="both"/>
              <w:rPr>
                <w:rFonts w:cs="Arial"/>
                <w:szCs w:val="20"/>
                <w:highlight w:val="white"/>
              </w:rPr>
            </w:pPr>
            <w:r>
              <w:rPr>
                <w:rFonts w:cs="Arial"/>
                <w:b/>
                <w:bCs/>
                <w:szCs w:val="20"/>
                <w:highlight w:val="white"/>
              </w:rPr>
              <w:t>Albumin</w:t>
            </w:r>
            <w:r>
              <w:rPr>
                <w:rFonts w:cs="Arial"/>
                <w:szCs w:val="20"/>
                <w:highlight w:val="white"/>
              </w:rPr>
              <w:t xml:space="preserve"> concentrations were significantly lower in deceased patients than in recovered patients.</w:t>
            </w:r>
          </w:p>
        </w:tc>
        <w:tc>
          <w:tcPr>
            <w:tcW w:w="1276" w:type="dxa"/>
            <w:shd w:val="clear" w:color="auto" w:fill="auto"/>
            <w:tcMar>
              <w:top w:w="100" w:type="dxa"/>
              <w:left w:w="100" w:type="dxa"/>
              <w:bottom w:w="100" w:type="dxa"/>
              <w:right w:w="100" w:type="dxa"/>
            </w:tcMar>
          </w:tcPr>
          <w:p w14:paraId="62FAE082" w14:textId="77777777" w:rsidR="0026056C" w:rsidRDefault="003E16B7" w:rsidP="00E94B1A">
            <w:pPr>
              <w:spacing w:before="0" w:after="0"/>
              <w:rPr>
                <w:rFonts w:cs="Arial"/>
                <w:szCs w:val="20"/>
                <w:highlight w:val="white"/>
              </w:rPr>
            </w:pPr>
            <w:r>
              <w:rPr>
                <w:rFonts w:cs="Arial"/>
                <w:szCs w:val="20"/>
                <w:highlight w:val="white"/>
              </w:rPr>
              <w:t>32217556</w:t>
            </w:r>
          </w:p>
        </w:tc>
        <w:tc>
          <w:tcPr>
            <w:tcW w:w="1701" w:type="dxa"/>
            <w:shd w:val="clear" w:color="auto" w:fill="auto"/>
            <w:tcMar>
              <w:top w:w="100" w:type="dxa"/>
              <w:left w:w="100" w:type="dxa"/>
              <w:bottom w:w="100" w:type="dxa"/>
              <w:right w:w="100" w:type="dxa"/>
            </w:tcMar>
          </w:tcPr>
          <w:p w14:paraId="4D83D3C9" w14:textId="77777777" w:rsidR="0026056C" w:rsidRDefault="003E16B7" w:rsidP="00E94B1A">
            <w:pPr>
              <w:spacing w:before="0" w:after="0"/>
              <w:rPr>
                <w:rFonts w:cs="Arial"/>
                <w:szCs w:val="20"/>
              </w:rPr>
            </w:pPr>
            <w:r>
              <w:rPr>
                <w:rFonts w:cs="Arial"/>
                <w:szCs w:val="20"/>
              </w:rPr>
              <w:t>COVID-19 KG</w:t>
            </w:r>
          </w:p>
        </w:tc>
      </w:tr>
      <w:tr w:rsidR="0026056C" w14:paraId="173CD6B6" w14:textId="77777777">
        <w:tc>
          <w:tcPr>
            <w:tcW w:w="1408" w:type="dxa"/>
            <w:shd w:val="clear" w:color="auto" w:fill="auto"/>
            <w:tcMar>
              <w:top w:w="100" w:type="dxa"/>
              <w:left w:w="100" w:type="dxa"/>
              <w:bottom w:w="100" w:type="dxa"/>
              <w:right w:w="100" w:type="dxa"/>
            </w:tcMar>
          </w:tcPr>
          <w:p w14:paraId="785FDB64" w14:textId="77777777" w:rsidR="0026056C" w:rsidRDefault="003E16B7" w:rsidP="00E94B1A">
            <w:pPr>
              <w:widowControl w:val="0"/>
              <w:spacing w:before="0" w:after="0"/>
              <w:rPr>
                <w:rFonts w:cs="Arial"/>
                <w:szCs w:val="20"/>
              </w:rPr>
            </w:pPr>
            <w:r>
              <w:rPr>
                <w:rFonts w:cs="Arial"/>
                <w:color w:val="000000" w:themeColor="text1"/>
                <w:szCs w:val="20"/>
              </w:rPr>
              <w:t>Albumin</w:t>
            </w:r>
          </w:p>
        </w:tc>
        <w:tc>
          <w:tcPr>
            <w:tcW w:w="1276" w:type="dxa"/>
            <w:shd w:val="clear" w:color="auto" w:fill="auto"/>
            <w:tcMar>
              <w:top w:w="100" w:type="dxa"/>
              <w:left w:w="100" w:type="dxa"/>
              <w:bottom w:w="100" w:type="dxa"/>
              <w:right w:w="100" w:type="dxa"/>
            </w:tcMar>
          </w:tcPr>
          <w:p w14:paraId="10708012" w14:textId="77777777" w:rsidR="0026056C" w:rsidRDefault="003E16B7" w:rsidP="00E94B1A">
            <w:pPr>
              <w:widowControl w:val="0"/>
              <w:spacing w:before="0" w:after="0"/>
              <w:rPr>
                <w:rFonts w:cs="Arial"/>
                <w:szCs w:val="20"/>
              </w:rPr>
            </w:pPr>
            <w:r>
              <w:rPr>
                <w:rFonts w:cs="Arial"/>
                <w:szCs w:val="20"/>
              </w:rPr>
              <w:t>Decreases</w:t>
            </w:r>
          </w:p>
        </w:tc>
        <w:tc>
          <w:tcPr>
            <w:tcW w:w="1417" w:type="dxa"/>
            <w:shd w:val="clear" w:color="auto" w:fill="auto"/>
            <w:tcMar>
              <w:top w:w="100" w:type="dxa"/>
              <w:left w:w="100" w:type="dxa"/>
              <w:bottom w:w="100" w:type="dxa"/>
              <w:right w:w="100" w:type="dxa"/>
            </w:tcMar>
          </w:tcPr>
          <w:p w14:paraId="46EDE604" w14:textId="77777777" w:rsidR="0026056C" w:rsidRDefault="003E16B7" w:rsidP="00E94B1A">
            <w:pPr>
              <w:widowControl w:val="0"/>
              <w:spacing w:before="0" w:after="0"/>
              <w:rPr>
                <w:rFonts w:cs="Arial"/>
                <w:color w:val="000000"/>
                <w:szCs w:val="20"/>
              </w:rPr>
            </w:pPr>
            <w:r>
              <w:rPr>
                <w:rFonts w:cs="Arial"/>
                <w:szCs w:val="20"/>
              </w:rPr>
              <w:t>Heme</w:t>
            </w:r>
          </w:p>
        </w:tc>
        <w:tc>
          <w:tcPr>
            <w:tcW w:w="2835" w:type="dxa"/>
            <w:shd w:val="clear" w:color="auto" w:fill="auto"/>
            <w:tcMar>
              <w:top w:w="100" w:type="dxa"/>
              <w:left w:w="100" w:type="dxa"/>
              <w:bottom w:w="100" w:type="dxa"/>
              <w:right w:w="100" w:type="dxa"/>
            </w:tcMar>
          </w:tcPr>
          <w:p w14:paraId="2F9DF920" w14:textId="77777777" w:rsidR="0026056C" w:rsidRDefault="003E16B7" w:rsidP="00E94B1A">
            <w:pPr>
              <w:spacing w:before="0" w:after="0"/>
              <w:jc w:val="both"/>
              <w:rPr>
                <w:rFonts w:cs="Arial"/>
                <w:szCs w:val="20"/>
              </w:rPr>
            </w:pPr>
            <w:r>
              <w:rPr>
                <w:rFonts w:cs="Arial"/>
                <w:szCs w:val="20"/>
              </w:rPr>
              <w:t xml:space="preserve">Serum </w:t>
            </w:r>
            <w:r>
              <w:rPr>
                <w:rFonts w:cs="Arial"/>
                <w:b/>
                <w:bCs/>
                <w:szCs w:val="20"/>
              </w:rPr>
              <w:t>albumin</w:t>
            </w:r>
            <w:r>
              <w:rPr>
                <w:rFonts w:cs="Arial"/>
                <w:szCs w:val="20"/>
              </w:rPr>
              <w:t xml:space="preserve"> (SA) can act as the heme scavenger by</w:t>
            </w:r>
          </w:p>
          <w:p w14:paraId="5A6B1A03" w14:textId="77777777" w:rsidR="0026056C" w:rsidRDefault="003E16B7" w:rsidP="00E94B1A">
            <w:pPr>
              <w:spacing w:before="0" w:after="0"/>
              <w:jc w:val="both"/>
              <w:rPr>
                <w:rFonts w:cs="Arial"/>
                <w:szCs w:val="20"/>
              </w:rPr>
            </w:pPr>
            <w:r>
              <w:rPr>
                <w:rFonts w:cs="Arial"/>
                <w:szCs w:val="20"/>
              </w:rPr>
              <w:t xml:space="preserve">forming </w:t>
            </w:r>
            <w:r>
              <w:rPr>
                <w:rFonts w:cs="Arial"/>
                <w:b/>
                <w:bCs/>
                <w:szCs w:val="20"/>
              </w:rPr>
              <w:t>heme</w:t>
            </w:r>
            <w:r>
              <w:rPr>
                <w:rFonts w:cs="Arial"/>
                <w:szCs w:val="20"/>
              </w:rPr>
              <w:t>-SA complex [2, 4–8].</w:t>
            </w:r>
          </w:p>
        </w:tc>
        <w:tc>
          <w:tcPr>
            <w:tcW w:w="1276" w:type="dxa"/>
            <w:shd w:val="clear" w:color="auto" w:fill="auto"/>
            <w:tcMar>
              <w:top w:w="100" w:type="dxa"/>
              <w:left w:w="100" w:type="dxa"/>
              <w:bottom w:w="100" w:type="dxa"/>
              <w:right w:w="100" w:type="dxa"/>
            </w:tcMar>
          </w:tcPr>
          <w:p w14:paraId="59D1D9AD" w14:textId="77777777" w:rsidR="0026056C" w:rsidRDefault="003E16B7" w:rsidP="00E94B1A">
            <w:pPr>
              <w:spacing w:before="0" w:after="0"/>
              <w:rPr>
                <w:rFonts w:cs="Arial"/>
                <w:szCs w:val="20"/>
              </w:rPr>
            </w:pPr>
            <w:r>
              <w:rPr>
                <w:rFonts w:cs="Arial"/>
                <w:szCs w:val="20"/>
              </w:rPr>
              <w:t>30324533</w:t>
            </w:r>
          </w:p>
        </w:tc>
        <w:tc>
          <w:tcPr>
            <w:tcW w:w="1701" w:type="dxa"/>
            <w:shd w:val="clear" w:color="auto" w:fill="auto"/>
            <w:tcMar>
              <w:top w:w="100" w:type="dxa"/>
              <w:left w:w="100" w:type="dxa"/>
              <w:bottom w:w="100" w:type="dxa"/>
              <w:right w:w="100" w:type="dxa"/>
            </w:tcMar>
          </w:tcPr>
          <w:p w14:paraId="6298B3F6" w14:textId="77777777" w:rsidR="0026056C" w:rsidRDefault="003E16B7" w:rsidP="00E94B1A">
            <w:pPr>
              <w:spacing w:before="0" w:after="0"/>
              <w:rPr>
                <w:rFonts w:cs="Arial"/>
                <w:szCs w:val="20"/>
              </w:rPr>
            </w:pPr>
            <w:r>
              <w:rPr>
                <w:rFonts w:cs="Arial"/>
                <w:szCs w:val="20"/>
              </w:rPr>
              <w:t>Heme KG</w:t>
            </w:r>
          </w:p>
        </w:tc>
      </w:tr>
      <w:tr w:rsidR="0026056C" w14:paraId="75D1A3A5" w14:textId="77777777">
        <w:tc>
          <w:tcPr>
            <w:tcW w:w="1408" w:type="dxa"/>
            <w:shd w:val="clear" w:color="auto" w:fill="auto"/>
            <w:tcMar>
              <w:top w:w="100" w:type="dxa"/>
              <w:left w:w="100" w:type="dxa"/>
              <w:bottom w:w="100" w:type="dxa"/>
              <w:right w:w="100" w:type="dxa"/>
            </w:tcMar>
          </w:tcPr>
          <w:p w14:paraId="1405BEA4" w14:textId="77777777" w:rsidR="0026056C" w:rsidRDefault="003E16B7" w:rsidP="00E94B1A">
            <w:pPr>
              <w:widowControl w:val="0"/>
              <w:spacing w:before="0" w:after="0"/>
              <w:rPr>
                <w:rFonts w:cs="Arial"/>
                <w:szCs w:val="20"/>
              </w:rPr>
            </w:pPr>
            <w:r>
              <w:rPr>
                <w:rFonts w:cs="Arial"/>
                <w:szCs w:val="20"/>
              </w:rPr>
              <w:t>COVID-19</w:t>
            </w:r>
          </w:p>
        </w:tc>
        <w:tc>
          <w:tcPr>
            <w:tcW w:w="1276" w:type="dxa"/>
            <w:shd w:val="clear" w:color="auto" w:fill="auto"/>
            <w:tcMar>
              <w:top w:w="100" w:type="dxa"/>
              <w:left w:w="100" w:type="dxa"/>
              <w:bottom w:w="100" w:type="dxa"/>
              <w:right w:w="100" w:type="dxa"/>
            </w:tcMar>
          </w:tcPr>
          <w:p w14:paraId="3B6F47BC" w14:textId="77777777" w:rsidR="0026056C" w:rsidRDefault="003E16B7" w:rsidP="00E94B1A">
            <w:pPr>
              <w:widowControl w:val="0"/>
              <w:spacing w:before="0" w:after="0"/>
              <w:rPr>
                <w:rFonts w:cs="Arial"/>
                <w:szCs w:val="20"/>
              </w:rPr>
            </w:pPr>
            <w:r>
              <w:rPr>
                <w:rFonts w:cs="Arial"/>
                <w:szCs w:val="20"/>
              </w:rPr>
              <w:t>Increases</w:t>
            </w:r>
          </w:p>
        </w:tc>
        <w:tc>
          <w:tcPr>
            <w:tcW w:w="1417" w:type="dxa"/>
            <w:shd w:val="clear" w:color="auto" w:fill="auto"/>
            <w:tcMar>
              <w:top w:w="100" w:type="dxa"/>
              <w:left w:w="100" w:type="dxa"/>
              <w:bottom w:w="100" w:type="dxa"/>
              <w:right w:w="100" w:type="dxa"/>
            </w:tcMar>
          </w:tcPr>
          <w:p w14:paraId="371FCCF1" w14:textId="77777777" w:rsidR="0026056C" w:rsidRDefault="003E16B7" w:rsidP="00E94B1A">
            <w:pPr>
              <w:widowControl w:val="0"/>
              <w:spacing w:before="0" w:after="0"/>
              <w:rPr>
                <w:rFonts w:cs="Arial"/>
                <w:color w:val="000000"/>
                <w:szCs w:val="20"/>
              </w:rPr>
            </w:pPr>
            <w:r>
              <w:rPr>
                <w:rFonts w:cs="Arial"/>
                <w:color w:val="000000" w:themeColor="text1"/>
                <w:szCs w:val="20"/>
              </w:rPr>
              <w:t>Ferritin</w:t>
            </w:r>
          </w:p>
        </w:tc>
        <w:tc>
          <w:tcPr>
            <w:tcW w:w="2835" w:type="dxa"/>
            <w:shd w:val="clear" w:color="auto" w:fill="auto"/>
            <w:tcMar>
              <w:top w:w="100" w:type="dxa"/>
              <w:left w:w="100" w:type="dxa"/>
              <w:bottom w:w="100" w:type="dxa"/>
              <w:right w:w="100" w:type="dxa"/>
            </w:tcMar>
          </w:tcPr>
          <w:p w14:paraId="5A0604A1" w14:textId="77777777" w:rsidR="0026056C" w:rsidRDefault="003E16B7" w:rsidP="00E94B1A">
            <w:pPr>
              <w:spacing w:before="0" w:after="0"/>
              <w:jc w:val="both"/>
              <w:rPr>
                <w:rFonts w:cs="Arial"/>
                <w:szCs w:val="20"/>
                <w:highlight w:val="white"/>
              </w:rPr>
            </w:pPr>
            <w:r>
              <w:rPr>
                <w:rFonts w:cs="Arial"/>
                <w:szCs w:val="20"/>
                <w:highlight w:val="white"/>
              </w:rPr>
              <w:t>Levels of lactate dehydrogenase (LDH), concentrations of serum high-sensitivity C-reactive protein (</w:t>
            </w:r>
            <w:proofErr w:type="spellStart"/>
            <w:r>
              <w:rPr>
                <w:rFonts w:cs="Arial"/>
                <w:szCs w:val="20"/>
                <w:highlight w:val="white"/>
              </w:rPr>
              <w:t>hsCRP</w:t>
            </w:r>
            <w:proofErr w:type="spellEnd"/>
            <w:r>
              <w:rPr>
                <w:rFonts w:cs="Arial"/>
                <w:szCs w:val="20"/>
                <w:highlight w:val="white"/>
              </w:rPr>
              <w:t xml:space="preserve">), </w:t>
            </w:r>
            <w:r>
              <w:rPr>
                <w:rFonts w:cs="Arial"/>
                <w:b/>
                <w:bCs/>
                <w:szCs w:val="20"/>
                <w:highlight w:val="white"/>
              </w:rPr>
              <w:t>ferritin</w:t>
            </w:r>
            <w:r>
              <w:rPr>
                <w:rFonts w:cs="Arial"/>
                <w:szCs w:val="20"/>
                <w:highlight w:val="white"/>
              </w:rPr>
              <w:t xml:space="preserve"> and D-dimer levels were markedly higher in severe cases than moderate cases.</w:t>
            </w:r>
          </w:p>
        </w:tc>
        <w:tc>
          <w:tcPr>
            <w:tcW w:w="1276" w:type="dxa"/>
            <w:shd w:val="clear" w:color="auto" w:fill="auto"/>
            <w:tcMar>
              <w:top w:w="100" w:type="dxa"/>
              <w:left w:w="100" w:type="dxa"/>
              <w:bottom w:w="100" w:type="dxa"/>
              <w:right w:w="100" w:type="dxa"/>
            </w:tcMar>
          </w:tcPr>
          <w:p w14:paraId="33EC6E7A" w14:textId="77777777" w:rsidR="0026056C" w:rsidRDefault="003E16B7" w:rsidP="00E94B1A">
            <w:pPr>
              <w:spacing w:before="0" w:after="0"/>
              <w:rPr>
                <w:rFonts w:cs="Arial"/>
                <w:szCs w:val="20"/>
                <w:highlight w:val="white"/>
              </w:rPr>
            </w:pPr>
            <w:r>
              <w:rPr>
                <w:rFonts w:cs="Arial"/>
                <w:szCs w:val="20"/>
                <w:highlight w:val="white"/>
              </w:rPr>
              <w:t>32217835</w:t>
            </w:r>
          </w:p>
          <w:p w14:paraId="10571DEF" w14:textId="77777777" w:rsidR="0026056C" w:rsidRDefault="0026056C" w:rsidP="00E94B1A">
            <w:pPr>
              <w:spacing w:before="0" w:after="0"/>
              <w:rPr>
                <w:rFonts w:cs="Arial"/>
                <w:szCs w:val="20"/>
              </w:rPr>
            </w:pPr>
          </w:p>
        </w:tc>
        <w:tc>
          <w:tcPr>
            <w:tcW w:w="1701" w:type="dxa"/>
            <w:shd w:val="clear" w:color="auto" w:fill="auto"/>
            <w:tcMar>
              <w:top w:w="100" w:type="dxa"/>
              <w:left w:w="100" w:type="dxa"/>
              <w:bottom w:w="100" w:type="dxa"/>
              <w:right w:w="100" w:type="dxa"/>
            </w:tcMar>
          </w:tcPr>
          <w:p w14:paraId="7924049B" w14:textId="77777777" w:rsidR="0026056C" w:rsidRDefault="003E16B7" w:rsidP="00E94B1A">
            <w:pPr>
              <w:spacing w:before="0" w:after="0"/>
              <w:rPr>
                <w:rFonts w:cs="Arial"/>
                <w:szCs w:val="20"/>
              </w:rPr>
            </w:pPr>
            <w:r>
              <w:rPr>
                <w:rFonts w:cs="Arial"/>
                <w:szCs w:val="20"/>
              </w:rPr>
              <w:t>COVID-19 KG</w:t>
            </w:r>
          </w:p>
        </w:tc>
      </w:tr>
      <w:tr w:rsidR="0026056C" w14:paraId="250BC6D1" w14:textId="77777777">
        <w:tc>
          <w:tcPr>
            <w:tcW w:w="1408" w:type="dxa"/>
            <w:shd w:val="clear" w:color="auto" w:fill="auto"/>
            <w:tcMar>
              <w:top w:w="100" w:type="dxa"/>
              <w:left w:w="100" w:type="dxa"/>
              <w:bottom w:w="100" w:type="dxa"/>
              <w:right w:w="100" w:type="dxa"/>
            </w:tcMar>
          </w:tcPr>
          <w:p w14:paraId="067FDC2B" w14:textId="77777777" w:rsidR="0026056C" w:rsidRDefault="003E16B7" w:rsidP="00E94B1A">
            <w:pPr>
              <w:widowControl w:val="0"/>
              <w:spacing w:before="0" w:after="0"/>
              <w:rPr>
                <w:rFonts w:cs="Arial"/>
                <w:szCs w:val="20"/>
              </w:rPr>
            </w:pPr>
            <w:r>
              <w:rPr>
                <w:rFonts w:cs="Arial"/>
                <w:szCs w:val="20"/>
              </w:rPr>
              <w:t>Heme</w:t>
            </w:r>
          </w:p>
        </w:tc>
        <w:tc>
          <w:tcPr>
            <w:tcW w:w="1276" w:type="dxa"/>
            <w:shd w:val="clear" w:color="auto" w:fill="auto"/>
            <w:tcMar>
              <w:top w:w="100" w:type="dxa"/>
              <w:left w:w="100" w:type="dxa"/>
              <w:bottom w:w="100" w:type="dxa"/>
              <w:right w:w="100" w:type="dxa"/>
            </w:tcMar>
          </w:tcPr>
          <w:p w14:paraId="722E0E66" w14:textId="77777777" w:rsidR="0026056C" w:rsidRDefault="003E16B7" w:rsidP="00E94B1A">
            <w:pPr>
              <w:widowControl w:val="0"/>
              <w:spacing w:before="0" w:after="0"/>
              <w:rPr>
                <w:rFonts w:cs="Arial"/>
                <w:szCs w:val="20"/>
              </w:rPr>
            </w:pPr>
            <w:r>
              <w:rPr>
                <w:rFonts w:cs="Arial"/>
                <w:szCs w:val="20"/>
              </w:rPr>
              <w:t>Increases</w:t>
            </w:r>
          </w:p>
        </w:tc>
        <w:tc>
          <w:tcPr>
            <w:tcW w:w="1417" w:type="dxa"/>
            <w:shd w:val="clear" w:color="auto" w:fill="auto"/>
            <w:tcMar>
              <w:top w:w="100" w:type="dxa"/>
              <w:left w:w="100" w:type="dxa"/>
              <w:bottom w:w="100" w:type="dxa"/>
              <w:right w:w="100" w:type="dxa"/>
            </w:tcMar>
          </w:tcPr>
          <w:p w14:paraId="6BEB4268" w14:textId="77777777" w:rsidR="0026056C" w:rsidRDefault="003E16B7" w:rsidP="00E94B1A">
            <w:pPr>
              <w:widowControl w:val="0"/>
              <w:spacing w:before="0" w:after="0"/>
              <w:rPr>
                <w:rFonts w:cs="Arial"/>
                <w:color w:val="000000"/>
                <w:szCs w:val="20"/>
              </w:rPr>
            </w:pPr>
            <w:r>
              <w:rPr>
                <w:rFonts w:cs="Arial"/>
                <w:color w:val="000000" w:themeColor="text1"/>
                <w:szCs w:val="20"/>
              </w:rPr>
              <w:t>Ferritin</w:t>
            </w:r>
          </w:p>
        </w:tc>
        <w:tc>
          <w:tcPr>
            <w:tcW w:w="2835" w:type="dxa"/>
            <w:shd w:val="clear" w:color="auto" w:fill="auto"/>
            <w:tcMar>
              <w:top w:w="100" w:type="dxa"/>
              <w:left w:w="100" w:type="dxa"/>
              <w:bottom w:w="100" w:type="dxa"/>
              <w:right w:w="100" w:type="dxa"/>
            </w:tcMar>
          </w:tcPr>
          <w:p w14:paraId="3B5F8A97" w14:textId="77777777" w:rsidR="0026056C" w:rsidRDefault="003E16B7" w:rsidP="00E94B1A">
            <w:pPr>
              <w:spacing w:before="0" w:after="0"/>
              <w:jc w:val="both"/>
              <w:rPr>
                <w:rFonts w:cs="Arial"/>
                <w:szCs w:val="20"/>
                <w:highlight w:val="white"/>
              </w:rPr>
            </w:pPr>
            <w:r>
              <w:rPr>
                <w:rFonts w:cs="Arial"/>
                <w:szCs w:val="20"/>
                <w:highlight w:val="white"/>
              </w:rPr>
              <w:t xml:space="preserve">In agreement with the electrical cell–substrate impedance sensing data described above, the proteome changes triggered by 10 </w:t>
            </w:r>
            <w:proofErr w:type="spellStart"/>
            <w:r>
              <w:rPr>
                <w:rFonts w:cs="Arial"/>
                <w:szCs w:val="20"/>
                <w:highlight w:val="white"/>
              </w:rPr>
              <w:t>μM</w:t>
            </w:r>
            <w:proofErr w:type="spellEnd"/>
            <w:r>
              <w:rPr>
                <w:rFonts w:cs="Arial"/>
                <w:szCs w:val="20"/>
                <w:highlight w:val="white"/>
              </w:rPr>
              <w:t xml:space="preserve"> </w:t>
            </w:r>
            <w:r>
              <w:rPr>
                <w:rFonts w:cs="Arial"/>
                <w:b/>
                <w:bCs/>
                <w:szCs w:val="20"/>
                <w:highlight w:val="white"/>
              </w:rPr>
              <w:t>heme</w:t>
            </w:r>
            <w:r>
              <w:rPr>
                <w:rFonts w:cs="Arial"/>
                <w:szCs w:val="20"/>
                <w:highlight w:val="white"/>
              </w:rPr>
              <w:t xml:space="preserve"> were indicative of an adaptive response with prominent induction of HMOX1 and </w:t>
            </w:r>
            <w:r>
              <w:rPr>
                <w:rFonts w:cs="Arial"/>
                <w:b/>
                <w:bCs/>
                <w:szCs w:val="20"/>
                <w:highlight w:val="white"/>
              </w:rPr>
              <w:t>ferritin</w:t>
            </w:r>
            <w:r>
              <w:rPr>
                <w:rFonts w:cs="Arial"/>
                <w:szCs w:val="20"/>
                <w:highlight w:val="white"/>
              </w:rPr>
              <w:t xml:space="preserve"> light (FTL) and heavy (FTH1) chains.</w:t>
            </w:r>
          </w:p>
        </w:tc>
        <w:tc>
          <w:tcPr>
            <w:tcW w:w="1276" w:type="dxa"/>
            <w:shd w:val="clear" w:color="auto" w:fill="auto"/>
            <w:tcMar>
              <w:top w:w="100" w:type="dxa"/>
              <w:left w:w="100" w:type="dxa"/>
              <w:bottom w:w="100" w:type="dxa"/>
              <w:right w:w="100" w:type="dxa"/>
            </w:tcMar>
          </w:tcPr>
          <w:p w14:paraId="5B54919B" w14:textId="77777777" w:rsidR="0026056C" w:rsidRDefault="003E16B7" w:rsidP="00E94B1A">
            <w:pPr>
              <w:spacing w:before="0" w:after="0"/>
              <w:rPr>
                <w:rFonts w:cs="Arial"/>
                <w:szCs w:val="20"/>
              </w:rPr>
            </w:pPr>
            <w:r>
              <w:rPr>
                <w:rFonts w:cs="Arial"/>
                <w:szCs w:val="20"/>
              </w:rPr>
              <w:t>26794659</w:t>
            </w:r>
          </w:p>
        </w:tc>
        <w:tc>
          <w:tcPr>
            <w:tcW w:w="1701" w:type="dxa"/>
            <w:shd w:val="clear" w:color="auto" w:fill="auto"/>
            <w:tcMar>
              <w:top w:w="100" w:type="dxa"/>
              <w:left w:w="100" w:type="dxa"/>
              <w:bottom w:w="100" w:type="dxa"/>
              <w:right w:w="100" w:type="dxa"/>
            </w:tcMar>
          </w:tcPr>
          <w:p w14:paraId="5662BD7A" w14:textId="77777777" w:rsidR="0026056C" w:rsidRDefault="003E16B7" w:rsidP="00E94B1A">
            <w:pPr>
              <w:spacing w:before="0" w:after="0"/>
              <w:rPr>
                <w:rFonts w:cs="Arial"/>
                <w:szCs w:val="20"/>
              </w:rPr>
            </w:pPr>
            <w:r>
              <w:rPr>
                <w:rFonts w:cs="Arial"/>
                <w:szCs w:val="20"/>
              </w:rPr>
              <w:t>Heme KG</w:t>
            </w:r>
          </w:p>
        </w:tc>
      </w:tr>
      <w:tr w:rsidR="0026056C" w14:paraId="2B8C513B" w14:textId="77777777">
        <w:tc>
          <w:tcPr>
            <w:tcW w:w="1408" w:type="dxa"/>
            <w:shd w:val="clear" w:color="auto" w:fill="auto"/>
            <w:tcMar>
              <w:top w:w="100" w:type="dxa"/>
              <w:left w:w="100" w:type="dxa"/>
              <w:bottom w:w="100" w:type="dxa"/>
              <w:right w:w="100" w:type="dxa"/>
            </w:tcMar>
          </w:tcPr>
          <w:p w14:paraId="4FD6FD11" w14:textId="77777777" w:rsidR="0026056C" w:rsidRDefault="003E16B7" w:rsidP="00E94B1A">
            <w:pPr>
              <w:widowControl w:val="0"/>
              <w:spacing w:before="0" w:after="0"/>
              <w:rPr>
                <w:rFonts w:cs="Arial"/>
                <w:szCs w:val="20"/>
              </w:rPr>
            </w:pPr>
            <w:r>
              <w:rPr>
                <w:rFonts w:cs="Arial"/>
                <w:szCs w:val="20"/>
              </w:rPr>
              <w:t>COVID-19</w:t>
            </w:r>
          </w:p>
        </w:tc>
        <w:tc>
          <w:tcPr>
            <w:tcW w:w="1276" w:type="dxa"/>
            <w:shd w:val="clear" w:color="auto" w:fill="auto"/>
            <w:tcMar>
              <w:top w:w="100" w:type="dxa"/>
              <w:left w:w="100" w:type="dxa"/>
              <w:bottom w:w="100" w:type="dxa"/>
              <w:right w:w="100" w:type="dxa"/>
            </w:tcMar>
          </w:tcPr>
          <w:p w14:paraId="05B75769" w14:textId="77777777" w:rsidR="0026056C" w:rsidRDefault="003E16B7" w:rsidP="00E94B1A">
            <w:pPr>
              <w:widowControl w:val="0"/>
              <w:spacing w:before="0" w:after="0"/>
              <w:rPr>
                <w:rFonts w:cs="Arial"/>
                <w:szCs w:val="20"/>
              </w:rPr>
            </w:pPr>
            <w:r>
              <w:rPr>
                <w:rFonts w:cs="Arial"/>
                <w:szCs w:val="20"/>
              </w:rPr>
              <w:t>Decreases</w:t>
            </w:r>
          </w:p>
        </w:tc>
        <w:tc>
          <w:tcPr>
            <w:tcW w:w="1417" w:type="dxa"/>
            <w:shd w:val="clear" w:color="auto" w:fill="auto"/>
            <w:tcMar>
              <w:top w:w="100" w:type="dxa"/>
              <w:left w:w="100" w:type="dxa"/>
              <w:bottom w:w="100" w:type="dxa"/>
              <w:right w:w="100" w:type="dxa"/>
            </w:tcMar>
          </w:tcPr>
          <w:p w14:paraId="65A10FA3" w14:textId="77777777" w:rsidR="0026056C" w:rsidRDefault="003E16B7" w:rsidP="00E94B1A">
            <w:pPr>
              <w:widowControl w:val="0"/>
              <w:spacing w:before="0" w:after="0"/>
              <w:rPr>
                <w:rFonts w:cs="Arial"/>
                <w:szCs w:val="20"/>
              </w:rPr>
            </w:pPr>
            <w:r>
              <w:rPr>
                <w:rFonts w:cs="Arial"/>
                <w:szCs w:val="20"/>
              </w:rPr>
              <w:t>Plasminogen activation</w:t>
            </w:r>
          </w:p>
        </w:tc>
        <w:tc>
          <w:tcPr>
            <w:tcW w:w="2835" w:type="dxa"/>
            <w:shd w:val="clear" w:color="auto" w:fill="auto"/>
            <w:tcMar>
              <w:top w:w="100" w:type="dxa"/>
              <w:left w:w="100" w:type="dxa"/>
              <w:bottom w:w="100" w:type="dxa"/>
              <w:right w:w="100" w:type="dxa"/>
            </w:tcMar>
          </w:tcPr>
          <w:p w14:paraId="6EE1DEC4" w14:textId="77777777" w:rsidR="0026056C" w:rsidRDefault="003E16B7" w:rsidP="00E94B1A">
            <w:pPr>
              <w:spacing w:before="0" w:after="0"/>
              <w:jc w:val="both"/>
              <w:rPr>
                <w:rFonts w:cs="Arial"/>
                <w:szCs w:val="20"/>
                <w:highlight w:val="white"/>
              </w:rPr>
            </w:pPr>
            <w:r>
              <w:rPr>
                <w:rFonts w:cs="Arial"/>
                <w:szCs w:val="20"/>
                <w:highlight w:val="white"/>
              </w:rPr>
              <w:t xml:space="preserve">Figure 2. GO-term and KEGG pathway enrichment of up-regulated expressed genes in BALF and PBMC of COVID-19 patients. </w:t>
            </w:r>
            <w:r>
              <w:rPr>
                <w:rFonts w:cs="Arial"/>
                <w:color w:val="000000" w:themeColor="text1"/>
                <w:szCs w:val="20"/>
                <w:highlight w:val="white"/>
              </w:rPr>
              <w:t>[figure content]</w:t>
            </w:r>
          </w:p>
        </w:tc>
        <w:tc>
          <w:tcPr>
            <w:tcW w:w="1276" w:type="dxa"/>
            <w:shd w:val="clear" w:color="auto" w:fill="auto"/>
            <w:tcMar>
              <w:top w:w="100" w:type="dxa"/>
              <w:left w:w="100" w:type="dxa"/>
              <w:bottom w:w="100" w:type="dxa"/>
              <w:right w:w="100" w:type="dxa"/>
            </w:tcMar>
          </w:tcPr>
          <w:p w14:paraId="6A2BFD63" w14:textId="77777777" w:rsidR="0026056C" w:rsidRDefault="003E16B7" w:rsidP="00E94B1A">
            <w:pPr>
              <w:spacing w:before="0" w:after="0"/>
              <w:rPr>
                <w:rFonts w:cs="Arial"/>
                <w:szCs w:val="20"/>
              </w:rPr>
            </w:pPr>
            <w:r>
              <w:rPr>
                <w:rFonts w:cs="Arial"/>
                <w:szCs w:val="20"/>
              </w:rPr>
              <w:t>32228226</w:t>
            </w:r>
          </w:p>
        </w:tc>
        <w:tc>
          <w:tcPr>
            <w:tcW w:w="1701" w:type="dxa"/>
            <w:shd w:val="clear" w:color="auto" w:fill="auto"/>
            <w:tcMar>
              <w:top w:w="100" w:type="dxa"/>
              <w:left w:w="100" w:type="dxa"/>
              <w:bottom w:w="100" w:type="dxa"/>
              <w:right w:w="100" w:type="dxa"/>
            </w:tcMar>
          </w:tcPr>
          <w:p w14:paraId="34A4A64B" w14:textId="77777777" w:rsidR="0026056C" w:rsidRDefault="003E16B7" w:rsidP="00E94B1A">
            <w:pPr>
              <w:spacing w:before="0" w:after="0"/>
              <w:rPr>
                <w:rFonts w:cs="Arial"/>
                <w:szCs w:val="20"/>
              </w:rPr>
            </w:pPr>
            <w:r>
              <w:rPr>
                <w:rFonts w:cs="Arial"/>
                <w:szCs w:val="20"/>
              </w:rPr>
              <w:t>COVID-19 KG</w:t>
            </w:r>
          </w:p>
        </w:tc>
      </w:tr>
      <w:tr w:rsidR="0026056C" w14:paraId="1D6C4197" w14:textId="77777777">
        <w:tc>
          <w:tcPr>
            <w:tcW w:w="1408" w:type="dxa"/>
            <w:shd w:val="clear" w:color="auto" w:fill="auto"/>
            <w:tcMar>
              <w:top w:w="100" w:type="dxa"/>
              <w:left w:w="100" w:type="dxa"/>
              <w:bottom w:w="100" w:type="dxa"/>
              <w:right w:w="100" w:type="dxa"/>
            </w:tcMar>
          </w:tcPr>
          <w:p w14:paraId="411510F0" w14:textId="77777777" w:rsidR="0026056C" w:rsidRDefault="003E16B7" w:rsidP="00E94B1A">
            <w:pPr>
              <w:widowControl w:val="0"/>
              <w:spacing w:before="0" w:after="0"/>
              <w:rPr>
                <w:rFonts w:cs="Arial"/>
                <w:szCs w:val="20"/>
              </w:rPr>
            </w:pPr>
            <w:r>
              <w:rPr>
                <w:rFonts w:cs="Arial"/>
                <w:szCs w:val="20"/>
              </w:rPr>
              <w:lastRenderedPageBreak/>
              <w:t>COVID-19</w:t>
            </w:r>
          </w:p>
        </w:tc>
        <w:tc>
          <w:tcPr>
            <w:tcW w:w="1276" w:type="dxa"/>
            <w:shd w:val="clear" w:color="auto" w:fill="auto"/>
            <w:tcMar>
              <w:top w:w="100" w:type="dxa"/>
              <w:left w:w="100" w:type="dxa"/>
              <w:bottom w:w="100" w:type="dxa"/>
              <w:right w:w="100" w:type="dxa"/>
            </w:tcMar>
          </w:tcPr>
          <w:p w14:paraId="60378C1F" w14:textId="77777777" w:rsidR="0026056C" w:rsidRDefault="003E16B7" w:rsidP="00E94B1A">
            <w:pPr>
              <w:widowControl w:val="0"/>
              <w:spacing w:before="0" w:after="0"/>
              <w:rPr>
                <w:rFonts w:cs="Arial"/>
                <w:szCs w:val="20"/>
              </w:rPr>
            </w:pPr>
            <w:r>
              <w:rPr>
                <w:rFonts w:cs="Arial"/>
                <w:szCs w:val="20"/>
              </w:rPr>
              <w:t>Decreases</w:t>
            </w:r>
          </w:p>
        </w:tc>
        <w:tc>
          <w:tcPr>
            <w:tcW w:w="1417" w:type="dxa"/>
            <w:shd w:val="clear" w:color="auto" w:fill="auto"/>
            <w:tcMar>
              <w:top w:w="100" w:type="dxa"/>
              <w:left w:w="100" w:type="dxa"/>
              <w:bottom w:w="100" w:type="dxa"/>
              <w:right w:w="100" w:type="dxa"/>
            </w:tcMar>
          </w:tcPr>
          <w:p w14:paraId="4E075F4C" w14:textId="77777777" w:rsidR="0026056C" w:rsidRDefault="003E16B7" w:rsidP="00E94B1A">
            <w:pPr>
              <w:widowControl w:val="0"/>
              <w:spacing w:before="0" w:after="0"/>
              <w:rPr>
                <w:rFonts w:cs="Arial"/>
                <w:szCs w:val="20"/>
              </w:rPr>
            </w:pPr>
            <w:r>
              <w:rPr>
                <w:rFonts w:cs="Arial"/>
                <w:szCs w:val="20"/>
              </w:rPr>
              <w:t>Platelet count</w:t>
            </w:r>
          </w:p>
        </w:tc>
        <w:tc>
          <w:tcPr>
            <w:tcW w:w="2835" w:type="dxa"/>
            <w:shd w:val="clear" w:color="auto" w:fill="auto"/>
            <w:tcMar>
              <w:top w:w="100" w:type="dxa"/>
              <w:left w:w="100" w:type="dxa"/>
              <w:bottom w:w="100" w:type="dxa"/>
              <w:right w:w="100" w:type="dxa"/>
            </w:tcMar>
          </w:tcPr>
          <w:p w14:paraId="0BDFBEE1" w14:textId="77777777" w:rsidR="0026056C" w:rsidRDefault="003E16B7" w:rsidP="00E94B1A">
            <w:pPr>
              <w:spacing w:before="0" w:after="0"/>
              <w:jc w:val="both"/>
              <w:rPr>
                <w:rFonts w:cs="Arial"/>
                <w:szCs w:val="20"/>
                <w:highlight w:val="white"/>
              </w:rPr>
            </w:pPr>
            <w:r>
              <w:rPr>
                <w:rFonts w:cs="Arial"/>
                <w:szCs w:val="20"/>
                <w:highlight w:val="white"/>
              </w:rPr>
              <w:t xml:space="preserve">Remarkable abnormalities in the CBC were detected on January 29, including increased </w:t>
            </w:r>
            <w:r>
              <w:rPr>
                <w:rFonts w:cs="Arial"/>
                <w:color w:val="000000" w:themeColor="text1"/>
                <w:szCs w:val="20"/>
                <w:highlight w:val="white"/>
              </w:rPr>
              <w:t>neutrophils (10.67×10</w:t>
            </w:r>
            <w:r>
              <w:rPr>
                <w:rFonts w:cs="Arial"/>
                <w:color w:val="000000" w:themeColor="text1"/>
                <w:szCs w:val="20"/>
                <w:highlight w:val="white"/>
                <w:vertAlign w:val="superscript"/>
              </w:rPr>
              <w:t>9</w:t>
            </w:r>
            <w:r>
              <w:rPr>
                <w:rFonts w:cs="Arial"/>
                <w:color w:val="000000" w:themeColor="text1"/>
                <w:szCs w:val="20"/>
                <w:highlight w:val="white"/>
              </w:rPr>
              <w:t>/L), leukocytes (11.73×10</w:t>
            </w:r>
            <w:r>
              <w:rPr>
                <w:rFonts w:cs="Arial"/>
                <w:color w:val="000000" w:themeColor="text1"/>
                <w:szCs w:val="20"/>
                <w:highlight w:val="white"/>
                <w:vertAlign w:val="superscript"/>
              </w:rPr>
              <w:t>9</w:t>
            </w:r>
            <w:r>
              <w:rPr>
                <w:rFonts w:cs="Arial"/>
                <w:color w:val="000000" w:themeColor="text1"/>
                <w:szCs w:val="20"/>
                <w:highlight w:val="white"/>
              </w:rPr>
              <w:t>/L), and decreased lymphocytes (0.51×10</w:t>
            </w:r>
            <w:r>
              <w:rPr>
                <w:rFonts w:cs="Arial"/>
                <w:color w:val="000000" w:themeColor="text1"/>
                <w:szCs w:val="20"/>
                <w:highlight w:val="white"/>
                <w:vertAlign w:val="superscript"/>
              </w:rPr>
              <w:t>9</w:t>
            </w:r>
            <w:r>
              <w:rPr>
                <w:rFonts w:cs="Arial"/>
                <w:color w:val="000000" w:themeColor="text1"/>
                <w:szCs w:val="20"/>
                <w:highlight w:val="white"/>
              </w:rPr>
              <w:t xml:space="preserve"> /L), and on February 4 decreased erythrocytes (2.40×10</w:t>
            </w:r>
            <w:r>
              <w:rPr>
                <w:rFonts w:cs="Arial"/>
                <w:color w:val="000000" w:themeColor="text1"/>
                <w:szCs w:val="20"/>
                <w:highlight w:val="white"/>
                <w:vertAlign w:val="superscript"/>
              </w:rPr>
              <w:t>12</w:t>
            </w:r>
            <w:r>
              <w:rPr>
                <w:rFonts w:cs="Arial"/>
                <w:color w:val="000000" w:themeColor="text1"/>
                <w:szCs w:val="20"/>
                <w:highlight w:val="white"/>
              </w:rPr>
              <w:t xml:space="preserve">/L) and </w:t>
            </w:r>
            <w:r>
              <w:rPr>
                <w:rFonts w:cs="Arial"/>
                <w:b/>
                <w:bCs/>
                <w:color w:val="000000" w:themeColor="text1"/>
                <w:szCs w:val="20"/>
                <w:highlight w:val="white"/>
              </w:rPr>
              <w:t>platelets</w:t>
            </w:r>
            <w:r>
              <w:rPr>
                <w:rFonts w:cs="Arial"/>
                <w:color w:val="000000" w:themeColor="text1"/>
                <w:szCs w:val="20"/>
                <w:highlight w:val="white"/>
              </w:rPr>
              <w:t xml:space="preserve"> (73×10</w:t>
            </w:r>
            <w:r>
              <w:rPr>
                <w:rFonts w:cs="Arial"/>
                <w:color w:val="000000" w:themeColor="text1"/>
                <w:szCs w:val="20"/>
                <w:highlight w:val="white"/>
                <w:vertAlign w:val="superscript"/>
              </w:rPr>
              <w:t>9</w:t>
            </w:r>
            <w:r>
              <w:rPr>
                <w:rFonts w:cs="Arial"/>
                <w:color w:val="000000" w:themeColor="text1"/>
                <w:szCs w:val="20"/>
                <w:highlight w:val="white"/>
              </w:rPr>
              <w:t xml:space="preserve"> /L).</w:t>
            </w:r>
          </w:p>
        </w:tc>
        <w:tc>
          <w:tcPr>
            <w:tcW w:w="1276" w:type="dxa"/>
            <w:shd w:val="clear" w:color="auto" w:fill="auto"/>
            <w:tcMar>
              <w:top w:w="100" w:type="dxa"/>
              <w:left w:w="100" w:type="dxa"/>
              <w:bottom w:w="100" w:type="dxa"/>
              <w:right w:w="100" w:type="dxa"/>
            </w:tcMar>
          </w:tcPr>
          <w:p w14:paraId="21AA702B" w14:textId="77777777" w:rsidR="0026056C" w:rsidRDefault="003E16B7" w:rsidP="00E94B1A">
            <w:pPr>
              <w:spacing w:before="0" w:after="0"/>
              <w:rPr>
                <w:rFonts w:cs="Arial"/>
                <w:szCs w:val="20"/>
              </w:rPr>
            </w:pPr>
            <w:r>
              <w:rPr>
                <w:rFonts w:cs="Arial"/>
                <w:szCs w:val="20"/>
              </w:rPr>
              <w:t>32196678</w:t>
            </w:r>
          </w:p>
        </w:tc>
        <w:tc>
          <w:tcPr>
            <w:tcW w:w="1701" w:type="dxa"/>
            <w:shd w:val="clear" w:color="auto" w:fill="auto"/>
            <w:tcMar>
              <w:top w:w="100" w:type="dxa"/>
              <w:left w:w="100" w:type="dxa"/>
              <w:bottom w:w="100" w:type="dxa"/>
              <w:right w:w="100" w:type="dxa"/>
            </w:tcMar>
          </w:tcPr>
          <w:p w14:paraId="229DDE77" w14:textId="77777777" w:rsidR="0026056C" w:rsidRDefault="003E16B7" w:rsidP="00E94B1A">
            <w:pPr>
              <w:spacing w:before="0" w:after="0"/>
              <w:rPr>
                <w:rFonts w:cs="Arial"/>
                <w:szCs w:val="20"/>
              </w:rPr>
            </w:pPr>
            <w:r>
              <w:rPr>
                <w:rFonts w:cs="Arial"/>
                <w:szCs w:val="20"/>
              </w:rPr>
              <w:t>COVID-19 KG</w:t>
            </w:r>
          </w:p>
        </w:tc>
      </w:tr>
      <w:tr w:rsidR="0026056C" w14:paraId="612815E0" w14:textId="77777777">
        <w:tc>
          <w:tcPr>
            <w:tcW w:w="1408" w:type="dxa"/>
            <w:shd w:val="clear" w:color="auto" w:fill="auto"/>
            <w:tcMar>
              <w:top w:w="100" w:type="dxa"/>
              <w:left w:w="100" w:type="dxa"/>
              <w:bottom w:w="100" w:type="dxa"/>
              <w:right w:w="100" w:type="dxa"/>
            </w:tcMar>
          </w:tcPr>
          <w:p w14:paraId="5D1D06D6" w14:textId="77777777" w:rsidR="0026056C" w:rsidRDefault="003E16B7" w:rsidP="00E94B1A">
            <w:pPr>
              <w:widowControl w:val="0"/>
              <w:spacing w:before="0" w:after="0"/>
              <w:rPr>
                <w:rFonts w:cs="Arial"/>
                <w:szCs w:val="20"/>
              </w:rPr>
            </w:pPr>
            <w:r>
              <w:rPr>
                <w:rFonts w:cs="Arial"/>
                <w:szCs w:val="20"/>
              </w:rPr>
              <w:t>Heme</w:t>
            </w:r>
          </w:p>
        </w:tc>
        <w:tc>
          <w:tcPr>
            <w:tcW w:w="1276" w:type="dxa"/>
            <w:shd w:val="clear" w:color="auto" w:fill="auto"/>
            <w:tcMar>
              <w:top w:w="100" w:type="dxa"/>
              <w:left w:w="100" w:type="dxa"/>
              <w:bottom w:w="100" w:type="dxa"/>
              <w:right w:w="100" w:type="dxa"/>
            </w:tcMar>
          </w:tcPr>
          <w:p w14:paraId="3D9C166F" w14:textId="77777777" w:rsidR="0026056C" w:rsidRDefault="003E16B7" w:rsidP="00E94B1A">
            <w:pPr>
              <w:widowControl w:val="0"/>
              <w:spacing w:before="0" w:after="0"/>
              <w:rPr>
                <w:rFonts w:cs="Arial"/>
                <w:szCs w:val="20"/>
              </w:rPr>
            </w:pPr>
            <w:r>
              <w:rPr>
                <w:rFonts w:cs="Arial"/>
                <w:szCs w:val="20"/>
              </w:rPr>
              <w:t>Increases</w:t>
            </w:r>
          </w:p>
        </w:tc>
        <w:tc>
          <w:tcPr>
            <w:tcW w:w="1417" w:type="dxa"/>
            <w:shd w:val="clear" w:color="auto" w:fill="auto"/>
            <w:tcMar>
              <w:top w:w="100" w:type="dxa"/>
              <w:left w:w="100" w:type="dxa"/>
              <w:bottom w:w="100" w:type="dxa"/>
              <w:right w:w="100" w:type="dxa"/>
            </w:tcMar>
          </w:tcPr>
          <w:p w14:paraId="2815803C" w14:textId="77777777" w:rsidR="0026056C" w:rsidRDefault="003E16B7" w:rsidP="00E94B1A">
            <w:pPr>
              <w:widowControl w:val="0"/>
              <w:spacing w:before="0" w:after="0"/>
              <w:rPr>
                <w:rFonts w:cs="Arial"/>
                <w:szCs w:val="20"/>
              </w:rPr>
            </w:pPr>
            <w:r>
              <w:rPr>
                <w:rFonts w:cs="Arial"/>
                <w:szCs w:val="20"/>
              </w:rPr>
              <w:t>Platelet aggregation</w:t>
            </w:r>
          </w:p>
        </w:tc>
        <w:tc>
          <w:tcPr>
            <w:tcW w:w="2835" w:type="dxa"/>
            <w:shd w:val="clear" w:color="auto" w:fill="auto"/>
            <w:tcMar>
              <w:top w:w="100" w:type="dxa"/>
              <w:left w:w="100" w:type="dxa"/>
              <w:bottom w:w="100" w:type="dxa"/>
              <w:right w:w="100" w:type="dxa"/>
            </w:tcMar>
          </w:tcPr>
          <w:p w14:paraId="5BE54474" w14:textId="77777777" w:rsidR="0026056C" w:rsidRDefault="003E16B7" w:rsidP="00E94B1A">
            <w:pPr>
              <w:pStyle w:val="berschrift1"/>
              <w:spacing w:before="0" w:after="0"/>
              <w:rPr>
                <w:rFonts w:cs="Arial"/>
                <w:b w:val="0"/>
                <w:color w:val="000000"/>
                <w:szCs w:val="20"/>
                <w:highlight w:val="white"/>
              </w:rPr>
            </w:pPr>
            <w:r>
              <w:rPr>
                <w:rFonts w:cs="Arial"/>
                <w:color w:val="000000" w:themeColor="text1"/>
                <w:szCs w:val="20"/>
                <w:highlight w:val="white"/>
              </w:rPr>
              <w:t>Heme</w:t>
            </w:r>
            <w:r>
              <w:rPr>
                <w:rFonts w:cs="Arial"/>
                <w:b w:val="0"/>
                <w:color w:val="000000" w:themeColor="text1"/>
                <w:szCs w:val="20"/>
                <w:highlight w:val="white"/>
              </w:rPr>
              <w:t xml:space="preserve"> induces </w:t>
            </w:r>
            <w:r>
              <w:rPr>
                <w:rFonts w:cs="Arial"/>
                <w:color w:val="000000" w:themeColor="text1"/>
                <w:szCs w:val="20"/>
                <w:highlight w:val="white"/>
              </w:rPr>
              <w:t>platelet</w:t>
            </w:r>
            <w:r>
              <w:rPr>
                <w:rFonts w:cs="Arial"/>
                <w:b w:val="0"/>
                <w:color w:val="000000" w:themeColor="text1"/>
                <w:szCs w:val="20"/>
                <w:highlight w:val="white"/>
              </w:rPr>
              <w:t xml:space="preserve"> activation and </w:t>
            </w:r>
            <w:r>
              <w:rPr>
                <w:rFonts w:cs="Arial"/>
                <w:color w:val="000000" w:themeColor="text1"/>
                <w:szCs w:val="20"/>
                <w:highlight w:val="white"/>
              </w:rPr>
              <w:t>aggregation</w:t>
            </w:r>
            <w:r>
              <w:rPr>
                <w:rFonts w:cs="Arial"/>
                <w:b w:val="0"/>
                <w:color w:val="000000" w:themeColor="text1"/>
                <w:szCs w:val="20"/>
                <w:highlight w:val="white"/>
              </w:rPr>
              <w:t xml:space="preserve"> through different pathways</w:t>
            </w:r>
          </w:p>
        </w:tc>
        <w:tc>
          <w:tcPr>
            <w:tcW w:w="1276" w:type="dxa"/>
            <w:shd w:val="clear" w:color="auto" w:fill="auto"/>
            <w:tcMar>
              <w:top w:w="100" w:type="dxa"/>
              <w:left w:w="100" w:type="dxa"/>
              <w:bottom w:w="100" w:type="dxa"/>
              <w:right w:w="100" w:type="dxa"/>
            </w:tcMar>
          </w:tcPr>
          <w:p w14:paraId="057FFAFF" w14:textId="77777777" w:rsidR="0026056C" w:rsidRDefault="003E16B7" w:rsidP="00E94B1A">
            <w:pPr>
              <w:spacing w:before="0" w:after="0"/>
              <w:rPr>
                <w:rFonts w:cs="Arial"/>
                <w:szCs w:val="20"/>
              </w:rPr>
            </w:pPr>
            <w:r>
              <w:rPr>
                <w:rFonts w:cs="Arial"/>
                <w:szCs w:val="20"/>
              </w:rPr>
              <w:t>26875449</w:t>
            </w:r>
          </w:p>
        </w:tc>
        <w:tc>
          <w:tcPr>
            <w:tcW w:w="1701" w:type="dxa"/>
            <w:shd w:val="clear" w:color="auto" w:fill="auto"/>
            <w:tcMar>
              <w:top w:w="100" w:type="dxa"/>
              <w:left w:w="100" w:type="dxa"/>
              <w:bottom w:w="100" w:type="dxa"/>
              <w:right w:w="100" w:type="dxa"/>
            </w:tcMar>
          </w:tcPr>
          <w:p w14:paraId="19CCCED9" w14:textId="77777777" w:rsidR="0026056C" w:rsidRDefault="003E16B7" w:rsidP="00E94B1A">
            <w:pPr>
              <w:spacing w:before="0" w:after="0"/>
              <w:rPr>
                <w:rFonts w:cs="Arial"/>
                <w:szCs w:val="20"/>
              </w:rPr>
            </w:pPr>
            <w:r>
              <w:rPr>
                <w:rFonts w:cs="Arial"/>
                <w:szCs w:val="20"/>
              </w:rPr>
              <w:t>Heme KG</w:t>
            </w:r>
          </w:p>
        </w:tc>
      </w:tr>
      <w:tr w:rsidR="0026056C" w14:paraId="1A52F41F" w14:textId="77777777">
        <w:tc>
          <w:tcPr>
            <w:tcW w:w="1408" w:type="dxa"/>
            <w:shd w:val="clear" w:color="auto" w:fill="auto"/>
            <w:tcMar>
              <w:top w:w="100" w:type="dxa"/>
              <w:left w:w="100" w:type="dxa"/>
              <w:bottom w:w="100" w:type="dxa"/>
              <w:right w:w="100" w:type="dxa"/>
            </w:tcMar>
          </w:tcPr>
          <w:p w14:paraId="59DC114F" w14:textId="77777777" w:rsidR="0026056C" w:rsidRDefault="003E16B7" w:rsidP="00E94B1A">
            <w:pPr>
              <w:widowControl w:val="0"/>
              <w:spacing w:before="0" w:after="0"/>
              <w:rPr>
                <w:rFonts w:cs="Arial"/>
                <w:szCs w:val="20"/>
              </w:rPr>
            </w:pPr>
            <w:r>
              <w:rPr>
                <w:rFonts w:cs="Arial"/>
                <w:szCs w:val="20"/>
              </w:rPr>
              <w:t>Heme</w:t>
            </w:r>
          </w:p>
        </w:tc>
        <w:tc>
          <w:tcPr>
            <w:tcW w:w="1276" w:type="dxa"/>
            <w:shd w:val="clear" w:color="auto" w:fill="auto"/>
            <w:tcMar>
              <w:top w:w="100" w:type="dxa"/>
              <w:left w:w="100" w:type="dxa"/>
              <w:bottom w:w="100" w:type="dxa"/>
              <w:right w:w="100" w:type="dxa"/>
            </w:tcMar>
          </w:tcPr>
          <w:p w14:paraId="6A90E2DB" w14:textId="77777777" w:rsidR="0026056C" w:rsidRDefault="003E16B7" w:rsidP="00E94B1A">
            <w:pPr>
              <w:widowControl w:val="0"/>
              <w:spacing w:before="0" w:after="0"/>
              <w:rPr>
                <w:rFonts w:cs="Arial"/>
                <w:szCs w:val="20"/>
              </w:rPr>
            </w:pPr>
            <w:r>
              <w:rPr>
                <w:rFonts w:cs="Arial"/>
                <w:szCs w:val="20"/>
              </w:rPr>
              <w:t>Decreases</w:t>
            </w:r>
          </w:p>
        </w:tc>
        <w:tc>
          <w:tcPr>
            <w:tcW w:w="1417" w:type="dxa"/>
            <w:shd w:val="clear" w:color="auto" w:fill="auto"/>
            <w:tcMar>
              <w:top w:w="100" w:type="dxa"/>
              <w:left w:w="100" w:type="dxa"/>
              <w:bottom w:w="100" w:type="dxa"/>
              <w:right w:w="100" w:type="dxa"/>
            </w:tcMar>
          </w:tcPr>
          <w:p w14:paraId="535BDF9F" w14:textId="77777777" w:rsidR="0026056C" w:rsidRDefault="003E16B7" w:rsidP="00E94B1A">
            <w:pPr>
              <w:widowControl w:val="0"/>
              <w:spacing w:before="0" w:after="0"/>
              <w:rPr>
                <w:rFonts w:cs="Arial"/>
                <w:szCs w:val="20"/>
              </w:rPr>
            </w:pPr>
            <w:r>
              <w:rPr>
                <w:rFonts w:cs="Arial"/>
                <w:szCs w:val="20"/>
              </w:rPr>
              <w:t>Fibrin</w:t>
            </w:r>
          </w:p>
        </w:tc>
        <w:tc>
          <w:tcPr>
            <w:tcW w:w="2835" w:type="dxa"/>
            <w:shd w:val="clear" w:color="auto" w:fill="auto"/>
            <w:tcMar>
              <w:top w:w="100" w:type="dxa"/>
              <w:left w:w="100" w:type="dxa"/>
              <w:bottom w:w="100" w:type="dxa"/>
              <w:right w:w="100" w:type="dxa"/>
            </w:tcMar>
          </w:tcPr>
          <w:p w14:paraId="069EBE77" w14:textId="77777777" w:rsidR="0026056C" w:rsidRDefault="003E16B7" w:rsidP="00E94B1A">
            <w:pPr>
              <w:spacing w:before="0" w:after="0"/>
              <w:jc w:val="both"/>
              <w:rPr>
                <w:rFonts w:cs="Arial"/>
                <w:szCs w:val="20"/>
                <w:highlight w:val="white"/>
              </w:rPr>
            </w:pPr>
            <w:r>
              <w:rPr>
                <w:rFonts w:cs="Arial"/>
                <w:szCs w:val="20"/>
                <w:highlight w:val="white"/>
              </w:rPr>
              <w:t xml:space="preserve">From another perspective, in vitro assays have demonstrated that </w:t>
            </w:r>
            <w:r>
              <w:rPr>
                <w:rFonts w:cs="Arial"/>
                <w:b/>
                <w:bCs/>
                <w:szCs w:val="20"/>
                <w:highlight w:val="white"/>
              </w:rPr>
              <w:t>heme</w:t>
            </w:r>
            <w:r>
              <w:rPr>
                <w:rFonts w:cs="Arial"/>
                <w:szCs w:val="20"/>
                <w:highlight w:val="white"/>
              </w:rPr>
              <w:t xml:space="preserve"> can also bind to fibrinogen and decrease its thrombin-mediated cleavage, thus affecting the final common coagulation pathway and reducing </w:t>
            </w:r>
            <w:r>
              <w:rPr>
                <w:rFonts w:cs="Arial"/>
                <w:b/>
                <w:bCs/>
                <w:szCs w:val="20"/>
                <w:highlight w:val="white"/>
              </w:rPr>
              <w:t>fibrin formation</w:t>
            </w:r>
            <w:r>
              <w:rPr>
                <w:rFonts w:cs="Arial"/>
                <w:szCs w:val="20"/>
                <w:highlight w:val="white"/>
              </w:rPr>
              <w:t>, important in clotting (Figure 1).</w:t>
            </w:r>
          </w:p>
        </w:tc>
        <w:tc>
          <w:tcPr>
            <w:tcW w:w="1276" w:type="dxa"/>
            <w:shd w:val="clear" w:color="auto" w:fill="auto"/>
            <w:tcMar>
              <w:top w:w="100" w:type="dxa"/>
              <w:left w:w="100" w:type="dxa"/>
              <w:bottom w:w="100" w:type="dxa"/>
              <w:right w:w="100" w:type="dxa"/>
            </w:tcMar>
          </w:tcPr>
          <w:p w14:paraId="12FD9DB2" w14:textId="77777777" w:rsidR="0026056C" w:rsidRDefault="003E16B7" w:rsidP="00E94B1A">
            <w:pPr>
              <w:spacing w:before="0" w:after="0"/>
              <w:rPr>
                <w:rFonts w:cs="Arial"/>
                <w:szCs w:val="20"/>
              </w:rPr>
            </w:pPr>
            <w:r>
              <w:rPr>
                <w:rFonts w:cs="Arial"/>
                <w:szCs w:val="20"/>
              </w:rPr>
              <w:t>26875449</w:t>
            </w:r>
          </w:p>
        </w:tc>
        <w:tc>
          <w:tcPr>
            <w:tcW w:w="1701" w:type="dxa"/>
            <w:shd w:val="clear" w:color="auto" w:fill="auto"/>
            <w:tcMar>
              <w:top w:w="100" w:type="dxa"/>
              <w:left w:w="100" w:type="dxa"/>
              <w:bottom w:w="100" w:type="dxa"/>
              <w:right w:w="100" w:type="dxa"/>
            </w:tcMar>
          </w:tcPr>
          <w:p w14:paraId="26976D90" w14:textId="77777777" w:rsidR="0026056C" w:rsidRDefault="003E16B7" w:rsidP="00E94B1A">
            <w:pPr>
              <w:spacing w:before="0" w:after="0"/>
              <w:rPr>
                <w:rFonts w:cs="Arial"/>
                <w:szCs w:val="20"/>
              </w:rPr>
            </w:pPr>
            <w:r>
              <w:rPr>
                <w:rFonts w:cs="Arial"/>
                <w:szCs w:val="20"/>
              </w:rPr>
              <w:t>Heme KG</w:t>
            </w:r>
          </w:p>
        </w:tc>
      </w:tr>
      <w:tr w:rsidR="0026056C" w14:paraId="04D461B6" w14:textId="77777777">
        <w:tc>
          <w:tcPr>
            <w:tcW w:w="1408" w:type="dxa"/>
            <w:shd w:val="clear" w:color="auto" w:fill="auto"/>
            <w:tcMar>
              <w:top w:w="100" w:type="dxa"/>
              <w:left w:w="100" w:type="dxa"/>
              <w:bottom w:w="100" w:type="dxa"/>
              <w:right w:w="100" w:type="dxa"/>
            </w:tcMar>
          </w:tcPr>
          <w:p w14:paraId="7B6C15AF" w14:textId="77777777" w:rsidR="0026056C" w:rsidRDefault="003E16B7" w:rsidP="00E94B1A">
            <w:pPr>
              <w:widowControl w:val="0"/>
              <w:spacing w:before="0" w:after="0"/>
              <w:rPr>
                <w:rFonts w:cs="Arial"/>
                <w:color w:val="000000"/>
                <w:szCs w:val="20"/>
              </w:rPr>
            </w:pPr>
            <w:r>
              <w:rPr>
                <w:rFonts w:cs="Arial"/>
                <w:color w:val="000000" w:themeColor="text1"/>
                <w:szCs w:val="20"/>
              </w:rPr>
              <w:t>Fibrin</w:t>
            </w:r>
          </w:p>
        </w:tc>
        <w:tc>
          <w:tcPr>
            <w:tcW w:w="1276" w:type="dxa"/>
            <w:shd w:val="clear" w:color="auto" w:fill="auto"/>
            <w:tcMar>
              <w:top w:w="100" w:type="dxa"/>
              <w:left w:w="100" w:type="dxa"/>
              <w:bottom w:w="100" w:type="dxa"/>
              <w:right w:w="100" w:type="dxa"/>
            </w:tcMar>
          </w:tcPr>
          <w:p w14:paraId="7C88E543" w14:textId="77777777" w:rsidR="0026056C" w:rsidRDefault="003E16B7" w:rsidP="00E94B1A">
            <w:pPr>
              <w:widowControl w:val="0"/>
              <w:spacing w:before="0" w:after="0"/>
              <w:rPr>
                <w:rFonts w:cs="Arial"/>
                <w:color w:val="000000"/>
                <w:szCs w:val="20"/>
              </w:rPr>
            </w:pPr>
            <w:r>
              <w:rPr>
                <w:rFonts w:cs="Arial"/>
                <w:color w:val="000000" w:themeColor="text1"/>
                <w:szCs w:val="20"/>
              </w:rPr>
              <w:t>Increases</w:t>
            </w:r>
          </w:p>
        </w:tc>
        <w:tc>
          <w:tcPr>
            <w:tcW w:w="1417" w:type="dxa"/>
            <w:shd w:val="clear" w:color="auto" w:fill="auto"/>
            <w:tcMar>
              <w:top w:w="100" w:type="dxa"/>
              <w:left w:w="100" w:type="dxa"/>
              <w:bottom w:w="100" w:type="dxa"/>
              <w:right w:w="100" w:type="dxa"/>
            </w:tcMar>
          </w:tcPr>
          <w:p w14:paraId="2AD043F0" w14:textId="77777777" w:rsidR="0026056C" w:rsidRDefault="003E16B7" w:rsidP="00E94B1A">
            <w:pPr>
              <w:widowControl w:val="0"/>
              <w:spacing w:before="0" w:after="0"/>
              <w:rPr>
                <w:rFonts w:cs="Arial"/>
                <w:color w:val="000000"/>
                <w:szCs w:val="20"/>
              </w:rPr>
            </w:pPr>
            <w:r>
              <w:rPr>
                <w:rFonts w:cs="Arial"/>
                <w:color w:val="000000" w:themeColor="text1"/>
                <w:szCs w:val="20"/>
              </w:rPr>
              <w:t>Hemoglobin</w:t>
            </w:r>
          </w:p>
        </w:tc>
        <w:tc>
          <w:tcPr>
            <w:tcW w:w="2835" w:type="dxa"/>
            <w:shd w:val="clear" w:color="auto" w:fill="auto"/>
            <w:tcMar>
              <w:top w:w="100" w:type="dxa"/>
              <w:left w:w="100" w:type="dxa"/>
              <w:bottom w:w="100" w:type="dxa"/>
              <w:right w:w="100" w:type="dxa"/>
            </w:tcMar>
          </w:tcPr>
          <w:p w14:paraId="12CB06C3" w14:textId="77777777" w:rsidR="0026056C" w:rsidRDefault="003E16B7" w:rsidP="00E94B1A">
            <w:pPr>
              <w:spacing w:before="0" w:after="0"/>
              <w:jc w:val="both"/>
              <w:rPr>
                <w:rFonts w:cs="Arial"/>
                <w:szCs w:val="20"/>
                <w:highlight w:val="white"/>
              </w:rPr>
            </w:pPr>
            <w:r>
              <w:rPr>
                <w:rFonts w:cs="Arial"/>
                <w:szCs w:val="20"/>
                <w:highlight w:val="white"/>
              </w:rPr>
              <w:t xml:space="preserve">During DIC, </w:t>
            </w:r>
            <w:r>
              <w:rPr>
                <w:rFonts w:cs="Arial"/>
                <w:b/>
                <w:bCs/>
                <w:szCs w:val="20"/>
                <w:highlight w:val="white"/>
              </w:rPr>
              <w:t>fibrin</w:t>
            </w:r>
            <w:r>
              <w:rPr>
                <w:rFonts w:cs="Arial"/>
                <w:szCs w:val="20"/>
                <w:highlight w:val="white"/>
              </w:rPr>
              <w:t xml:space="preserve"> strands within the fibrin mesh formed could cut red blood cells, resulting in the formation of schistocytes (strongly deformed red blood cells or fragments of red blood cells) and the release of </w:t>
            </w:r>
            <w:r>
              <w:rPr>
                <w:rFonts w:cs="Arial"/>
                <w:b/>
                <w:bCs/>
                <w:szCs w:val="20"/>
                <w:highlight w:val="white"/>
              </w:rPr>
              <w:t>hemoglobin</w:t>
            </w:r>
            <w:r>
              <w:rPr>
                <w:rFonts w:cs="Arial"/>
                <w:szCs w:val="20"/>
                <w:highlight w:val="white"/>
              </w:rPr>
              <w:t>.</w:t>
            </w:r>
          </w:p>
        </w:tc>
        <w:tc>
          <w:tcPr>
            <w:tcW w:w="1276" w:type="dxa"/>
            <w:shd w:val="clear" w:color="auto" w:fill="auto"/>
            <w:tcMar>
              <w:top w:w="100" w:type="dxa"/>
              <w:left w:w="100" w:type="dxa"/>
              <w:bottom w:w="100" w:type="dxa"/>
              <w:right w:w="100" w:type="dxa"/>
            </w:tcMar>
          </w:tcPr>
          <w:p w14:paraId="11CF1FA3" w14:textId="77777777" w:rsidR="0026056C" w:rsidRDefault="003E16B7" w:rsidP="00E94B1A">
            <w:pPr>
              <w:spacing w:before="0" w:after="0"/>
              <w:rPr>
                <w:rFonts w:cs="Arial"/>
                <w:szCs w:val="20"/>
              </w:rPr>
            </w:pPr>
            <w:r>
              <w:rPr>
                <w:rFonts w:cs="Arial"/>
                <w:szCs w:val="20"/>
              </w:rPr>
              <w:t>29956069</w:t>
            </w:r>
          </w:p>
        </w:tc>
        <w:tc>
          <w:tcPr>
            <w:tcW w:w="1701" w:type="dxa"/>
            <w:shd w:val="clear" w:color="auto" w:fill="auto"/>
            <w:tcMar>
              <w:top w:w="100" w:type="dxa"/>
              <w:left w:w="100" w:type="dxa"/>
              <w:bottom w:w="100" w:type="dxa"/>
              <w:right w:w="100" w:type="dxa"/>
            </w:tcMar>
          </w:tcPr>
          <w:p w14:paraId="51FD7DEA" w14:textId="77777777" w:rsidR="0026056C" w:rsidRDefault="003E16B7" w:rsidP="00E94B1A">
            <w:pPr>
              <w:spacing w:before="0" w:after="0"/>
              <w:rPr>
                <w:rFonts w:cs="Arial"/>
                <w:szCs w:val="20"/>
              </w:rPr>
            </w:pPr>
            <w:r>
              <w:rPr>
                <w:rFonts w:cs="Arial"/>
                <w:szCs w:val="20"/>
              </w:rPr>
              <w:t>Heme KG</w:t>
            </w:r>
          </w:p>
        </w:tc>
      </w:tr>
      <w:tr w:rsidR="0026056C" w14:paraId="310EFBFB" w14:textId="77777777">
        <w:tc>
          <w:tcPr>
            <w:tcW w:w="1408" w:type="dxa"/>
            <w:shd w:val="clear" w:color="auto" w:fill="auto"/>
            <w:tcMar>
              <w:top w:w="100" w:type="dxa"/>
              <w:left w:w="100" w:type="dxa"/>
              <w:bottom w:w="100" w:type="dxa"/>
              <w:right w:w="100" w:type="dxa"/>
            </w:tcMar>
          </w:tcPr>
          <w:p w14:paraId="62B54594" w14:textId="77777777" w:rsidR="0026056C" w:rsidRDefault="003E16B7" w:rsidP="00E94B1A">
            <w:pPr>
              <w:widowControl w:val="0"/>
              <w:spacing w:before="0" w:after="0"/>
              <w:rPr>
                <w:rFonts w:cs="Arial"/>
                <w:color w:val="000000"/>
                <w:szCs w:val="20"/>
              </w:rPr>
            </w:pPr>
            <w:r>
              <w:rPr>
                <w:rFonts w:cs="Arial"/>
                <w:color w:val="000000" w:themeColor="text1"/>
                <w:szCs w:val="20"/>
              </w:rPr>
              <w:t>Hemoglobin</w:t>
            </w:r>
          </w:p>
        </w:tc>
        <w:tc>
          <w:tcPr>
            <w:tcW w:w="1276" w:type="dxa"/>
            <w:shd w:val="clear" w:color="auto" w:fill="auto"/>
            <w:tcMar>
              <w:top w:w="100" w:type="dxa"/>
              <w:left w:w="100" w:type="dxa"/>
              <w:bottom w:w="100" w:type="dxa"/>
              <w:right w:w="100" w:type="dxa"/>
            </w:tcMar>
          </w:tcPr>
          <w:p w14:paraId="5F3B1D06" w14:textId="77777777" w:rsidR="0026056C" w:rsidRDefault="003E16B7" w:rsidP="00E94B1A">
            <w:pPr>
              <w:widowControl w:val="0"/>
              <w:spacing w:before="0" w:after="0"/>
              <w:rPr>
                <w:rFonts w:cs="Arial"/>
                <w:color w:val="000000"/>
                <w:szCs w:val="20"/>
              </w:rPr>
            </w:pPr>
            <w:r>
              <w:rPr>
                <w:rFonts w:cs="Arial"/>
                <w:color w:val="000000" w:themeColor="text1"/>
                <w:szCs w:val="20"/>
              </w:rPr>
              <w:t>Increases</w:t>
            </w:r>
          </w:p>
        </w:tc>
        <w:tc>
          <w:tcPr>
            <w:tcW w:w="1417" w:type="dxa"/>
            <w:shd w:val="clear" w:color="auto" w:fill="auto"/>
            <w:tcMar>
              <w:top w:w="100" w:type="dxa"/>
              <w:left w:w="100" w:type="dxa"/>
              <w:bottom w:w="100" w:type="dxa"/>
              <w:right w:w="100" w:type="dxa"/>
            </w:tcMar>
          </w:tcPr>
          <w:p w14:paraId="79D55C59" w14:textId="77777777" w:rsidR="0026056C" w:rsidRDefault="003E16B7" w:rsidP="00E94B1A">
            <w:pPr>
              <w:widowControl w:val="0"/>
              <w:spacing w:before="0" w:after="0"/>
              <w:rPr>
                <w:rFonts w:cs="Arial"/>
                <w:color w:val="000000"/>
                <w:szCs w:val="20"/>
              </w:rPr>
            </w:pPr>
            <w:r>
              <w:rPr>
                <w:rFonts w:cs="Arial"/>
                <w:color w:val="000000" w:themeColor="text1"/>
                <w:szCs w:val="20"/>
              </w:rPr>
              <w:t>Heme</w:t>
            </w:r>
          </w:p>
        </w:tc>
        <w:tc>
          <w:tcPr>
            <w:tcW w:w="2835" w:type="dxa"/>
            <w:shd w:val="clear" w:color="auto" w:fill="auto"/>
            <w:tcMar>
              <w:top w:w="100" w:type="dxa"/>
              <w:left w:w="100" w:type="dxa"/>
              <w:bottom w:w="100" w:type="dxa"/>
              <w:right w:w="100" w:type="dxa"/>
            </w:tcMar>
          </w:tcPr>
          <w:p w14:paraId="0944B520" w14:textId="77777777" w:rsidR="0026056C" w:rsidRDefault="003E16B7" w:rsidP="00E94B1A">
            <w:pPr>
              <w:spacing w:before="0" w:after="0"/>
              <w:jc w:val="both"/>
              <w:rPr>
                <w:rFonts w:cs="Arial"/>
                <w:szCs w:val="20"/>
                <w:highlight w:val="white"/>
              </w:rPr>
            </w:pPr>
            <w:r>
              <w:rPr>
                <w:rFonts w:cs="Arial"/>
                <w:szCs w:val="20"/>
                <w:highlight w:val="white"/>
              </w:rPr>
              <w:t xml:space="preserve">Toxicity of free </w:t>
            </w:r>
            <w:r>
              <w:rPr>
                <w:rFonts w:cs="Arial"/>
                <w:b/>
                <w:bCs/>
                <w:szCs w:val="20"/>
                <w:highlight w:val="white"/>
              </w:rPr>
              <w:t>hemoglobin</w:t>
            </w:r>
            <w:r>
              <w:rPr>
                <w:rFonts w:cs="Arial"/>
                <w:szCs w:val="20"/>
                <w:highlight w:val="white"/>
              </w:rPr>
              <w:t xml:space="preserve"> is also caused by the release of cell-free </w:t>
            </w:r>
            <w:r>
              <w:rPr>
                <w:rFonts w:cs="Arial"/>
                <w:b/>
                <w:bCs/>
                <w:szCs w:val="20"/>
                <w:highlight w:val="white"/>
              </w:rPr>
              <w:t>heme</w:t>
            </w:r>
            <w:r>
              <w:rPr>
                <w:rFonts w:cs="Arial"/>
                <w:szCs w:val="20"/>
                <w:highlight w:val="white"/>
              </w:rPr>
              <w:t>, which produces lipid peroxidation and mitochondrial damage and increases the production of reactive oxygen species.</w:t>
            </w:r>
          </w:p>
        </w:tc>
        <w:tc>
          <w:tcPr>
            <w:tcW w:w="1276" w:type="dxa"/>
            <w:shd w:val="clear" w:color="auto" w:fill="auto"/>
            <w:tcMar>
              <w:top w:w="100" w:type="dxa"/>
              <w:left w:w="100" w:type="dxa"/>
              <w:bottom w:w="100" w:type="dxa"/>
              <w:right w:w="100" w:type="dxa"/>
            </w:tcMar>
          </w:tcPr>
          <w:p w14:paraId="2BE54A98" w14:textId="77777777" w:rsidR="0026056C" w:rsidRDefault="003E16B7" w:rsidP="00E94B1A">
            <w:pPr>
              <w:spacing w:before="0" w:after="0"/>
              <w:rPr>
                <w:rFonts w:cs="Arial"/>
                <w:szCs w:val="20"/>
              </w:rPr>
            </w:pPr>
            <w:r>
              <w:rPr>
                <w:rFonts w:cs="Arial"/>
                <w:szCs w:val="20"/>
              </w:rPr>
              <w:t>27515135</w:t>
            </w:r>
          </w:p>
        </w:tc>
        <w:tc>
          <w:tcPr>
            <w:tcW w:w="1701" w:type="dxa"/>
            <w:shd w:val="clear" w:color="auto" w:fill="auto"/>
            <w:tcMar>
              <w:top w:w="100" w:type="dxa"/>
              <w:left w:w="100" w:type="dxa"/>
              <w:bottom w:w="100" w:type="dxa"/>
              <w:right w:w="100" w:type="dxa"/>
            </w:tcMar>
          </w:tcPr>
          <w:p w14:paraId="166B6504" w14:textId="77777777" w:rsidR="0026056C" w:rsidRDefault="003E16B7" w:rsidP="00E94B1A">
            <w:pPr>
              <w:spacing w:before="0" w:after="0"/>
              <w:rPr>
                <w:rFonts w:cs="Arial"/>
                <w:szCs w:val="20"/>
              </w:rPr>
            </w:pPr>
            <w:r>
              <w:rPr>
                <w:rFonts w:cs="Arial"/>
                <w:szCs w:val="20"/>
              </w:rPr>
              <w:t>Heme KG</w:t>
            </w:r>
          </w:p>
        </w:tc>
      </w:tr>
      <w:tr w:rsidR="0026056C" w14:paraId="75EFE400" w14:textId="77777777">
        <w:tc>
          <w:tcPr>
            <w:tcW w:w="1408" w:type="dxa"/>
            <w:shd w:val="clear" w:color="auto" w:fill="auto"/>
            <w:tcMar>
              <w:top w:w="100" w:type="dxa"/>
              <w:left w:w="100" w:type="dxa"/>
              <w:bottom w:w="100" w:type="dxa"/>
              <w:right w:w="100" w:type="dxa"/>
            </w:tcMar>
          </w:tcPr>
          <w:p w14:paraId="26E5A87F" w14:textId="77777777" w:rsidR="0026056C" w:rsidRDefault="003E16B7" w:rsidP="00E94B1A">
            <w:pPr>
              <w:widowControl w:val="0"/>
              <w:spacing w:before="0" w:after="0"/>
              <w:rPr>
                <w:rFonts w:cs="Arial"/>
                <w:color w:val="000000"/>
                <w:szCs w:val="20"/>
              </w:rPr>
            </w:pPr>
            <w:r>
              <w:rPr>
                <w:rFonts w:cs="Arial"/>
                <w:color w:val="000000" w:themeColor="text1"/>
                <w:szCs w:val="20"/>
              </w:rPr>
              <w:lastRenderedPageBreak/>
              <w:t>Hemoglobin</w:t>
            </w:r>
          </w:p>
        </w:tc>
        <w:tc>
          <w:tcPr>
            <w:tcW w:w="1276" w:type="dxa"/>
            <w:shd w:val="clear" w:color="auto" w:fill="auto"/>
            <w:tcMar>
              <w:top w:w="100" w:type="dxa"/>
              <w:left w:w="100" w:type="dxa"/>
              <w:bottom w:w="100" w:type="dxa"/>
              <w:right w:w="100" w:type="dxa"/>
            </w:tcMar>
          </w:tcPr>
          <w:p w14:paraId="537DE195" w14:textId="77777777" w:rsidR="0026056C" w:rsidRDefault="003E16B7" w:rsidP="00E94B1A">
            <w:pPr>
              <w:widowControl w:val="0"/>
              <w:spacing w:before="0" w:after="0"/>
              <w:rPr>
                <w:rFonts w:cs="Arial"/>
                <w:color w:val="000000"/>
                <w:szCs w:val="20"/>
              </w:rPr>
            </w:pPr>
            <w:r>
              <w:rPr>
                <w:rFonts w:cs="Arial"/>
                <w:color w:val="000000" w:themeColor="text1"/>
                <w:szCs w:val="20"/>
              </w:rPr>
              <w:t>Increases</w:t>
            </w:r>
          </w:p>
        </w:tc>
        <w:tc>
          <w:tcPr>
            <w:tcW w:w="1417" w:type="dxa"/>
            <w:shd w:val="clear" w:color="auto" w:fill="auto"/>
            <w:tcMar>
              <w:top w:w="100" w:type="dxa"/>
              <w:left w:w="100" w:type="dxa"/>
              <w:bottom w:w="100" w:type="dxa"/>
              <w:right w:w="100" w:type="dxa"/>
            </w:tcMar>
          </w:tcPr>
          <w:p w14:paraId="1F43FBFB" w14:textId="77777777" w:rsidR="0026056C" w:rsidRDefault="003E16B7" w:rsidP="00E94B1A">
            <w:pPr>
              <w:widowControl w:val="0"/>
              <w:spacing w:before="0" w:after="0"/>
              <w:rPr>
                <w:rFonts w:cs="Arial"/>
                <w:color w:val="000000"/>
                <w:szCs w:val="20"/>
              </w:rPr>
            </w:pPr>
            <w:r>
              <w:rPr>
                <w:rFonts w:cs="Arial"/>
                <w:color w:val="000000" w:themeColor="text1"/>
                <w:szCs w:val="20"/>
              </w:rPr>
              <w:t>Platelet aggregation</w:t>
            </w:r>
          </w:p>
        </w:tc>
        <w:tc>
          <w:tcPr>
            <w:tcW w:w="2835" w:type="dxa"/>
            <w:shd w:val="clear" w:color="auto" w:fill="auto"/>
            <w:tcMar>
              <w:top w:w="100" w:type="dxa"/>
              <w:left w:w="100" w:type="dxa"/>
              <w:bottom w:w="100" w:type="dxa"/>
              <w:right w:w="100" w:type="dxa"/>
            </w:tcMar>
          </w:tcPr>
          <w:p w14:paraId="0E268069" w14:textId="77777777" w:rsidR="0026056C" w:rsidRDefault="003E16B7" w:rsidP="00E94B1A">
            <w:pPr>
              <w:spacing w:before="0" w:after="0"/>
              <w:jc w:val="both"/>
              <w:rPr>
                <w:rFonts w:cs="Arial"/>
                <w:szCs w:val="20"/>
                <w:highlight w:val="white"/>
              </w:rPr>
            </w:pPr>
            <w:r>
              <w:rPr>
                <w:rFonts w:cs="Arial"/>
                <w:szCs w:val="20"/>
                <w:highlight w:val="white"/>
              </w:rPr>
              <w:t xml:space="preserve">When RBCs are damaged by high shear in continuous flow ventricular assist devices, free </w:t>
            </w:r>
            <w:r>
              <w:rPr>
                <w:rFonts w:cs="Arial"/>
                <w:b/>
                <w:bCs/>
                <w:szCs w:val="20"/>
                <w:highlight w:val="white"/>
              </w:rPr>
              <w:t>hemoglobin</w:t>
            </w:r>
            <w:r>
              <w:rPr>
                <w:rFonts w:cs="Arial"/>
                <w:szCs w:val="20"/>
                <w:highlight w:val="white"/>
              </w:rPr>
              <w:t xml:space="preserve"> induces </w:t>
            </w:r>
            <w:r>
              <w:rPr>
                <w:rFonts w:cs="Arial"/>
                <w:b/>
                <w:bCs/>
                <w:szCs w:val="20"/>
                <w:highlight w:val="white"/>
              </w:rPr>
              <w:t>platelet aggregation</w:t>
            </w:r>
            <w:r>
              <w:rPr>
                <w:rFonts w:cs="Arial"/>
                <w:szCs w:val="20"/>
                <w:highlight w:val="white"/>
              </w:rPr>
              <w:t>, contributing to high risk of thrombotic complications.</w:t>
            </w:r>
          </w:p>
        </w:tc>
        <w:tc>
          <w:tcPr>
            <w:tcW w:w="1276" w:type="dxa"/>
            <w:shd w:val="clear" w:color="auto" w:fill="auto"/>
            <w:tcMar>
              <w:top w:w="100" w:type="dxa"/>
              <w:left w:w="100" w:type="dxa"/>
              <w:bottom w:w="100" w:type="dxa"/>
              <w:right w:w="100" w:type="dxa"/>
            </w:tcMar>
          </w:tcPr>
          <w:p w14:paraId="761906C5" w14:textId="77777777" w:rsidR="0026056C" w:rsidRDefault="003E16B7" w:rsidP="00E94B1A">
            <w:pPr>
              <w:spacing w:before="0" w:after="0"/>
              <w:rPr>
                <w:rFonts w:cs="Arial"/>
                <w:szCs w:val="20"/>
              </w:rPr>
            </w:pPr>
            <w:r>
              <w:rPr>
                <w:rFonts w:cs="Arial"/>
                <w:szCs w:val="20"/>
              </w:rPr>
              <w:t>28458720</w:t>
            </w:r>
          </w:p>
        </w:tc>
        <w:tc>
          <w:tcPr>
            <w:tcW w:w="1701" w:type="dxa"/>
            <w:shd w:val="clear" w:color="auto" w:fill="auto"/>
            <w:tcMar>
              <w:top w:w="100" w:type="dxa"/>
              <w:left w:w="100" w:type="dxa"/>
              <w:bottom w:w="100" w:type="dxa"/>
              <w:right w:w="100" w:type="dxa"/>
            </w:tcMar>
          </w:tcPr>
          <w:p w14:paraId="3925B079" w14:textId="77777777" w:rsidR="0026056C" w:rsidRDefault="003E16B7" w:rsidP="00E94B1A">
            <w:pPr>
              <w:spacing w:before="0" w:after="0"/>
              <w:rPr>
                <w:rFonts w:cs="Arial"/>
                <w:szCs w:val="20"/>
              </w:rPr>
            </w:pPr>
            <w:r>
              <w:rPr>
                <w:rFonts w:cs="Arial"/>
                <w:szCs w:val="20"/>
              </w:rPr>
              <w:t>Heme KG</w:t>
            </w:r>
          </w:p>
        </w:tc>
      </w:tr>
    </w:tbl>
    <w:p w14:paraId="7729A23E" w14:textId="40CC8A46" w:rsidR="0026056C" w:rsidRDefault="0026056C" w:rsidP="00487A39">
      <w:pPr>
        <w:keepNext/>
      </w:pPr>
    </w:p>
    <w:sectPr w:rsidR="0026056C">
      <w:footerReference w:type="even" r:id="rId8"/>
      <w:footerReference w:type="default" r:id="rId9"/>
      <w:headerReference w:type="first" r:id="rId10"/>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CF18D" w14:textId="77777777" w:rsidR="004B2068" w:rsidRDefault="004B2068">
      <w:pPr>
        <w:spacing w:before="0" w:after="0"/>
      </w:pPr>
      <w:r>
        <w:separator/>
      </w:r>
    </w:p>
  </w:endnote>
  <w:endnote w:type="continuationSeparator" w:id="0">
    <w:p w14:paraId="1924AD4F" w14:textId="77777777" w:rsidR="004B2068" w:rsidRDefault="004B20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4CFB" w14:textId="77777777" w:rsidR="0026056C" w:rsidRDefault="003E16B7">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223CFBD3" wp14:editId="18958A59">
              <wp:simplePos x="0" y="0"/>
              <wp:positionH relativeFrom="margin">
                <wp:align>right</wp:align>
              </wp:positionH>
              <wp:positionV relativeFrom="bottomMargin">
                <wp:align>top</wp:align>
              </wp:positionV>
              <wp:extent cx="1508760" cy="501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59" cy="501650"/>
                      </a:xfrm>
                      <a:prstGeom prst="rect">
                        <a:avLst/>
                      </a:prstGeom>
                      <a:noFill/>
                      <a:ln w="6350">
                        <a:noFill/>
                      </a:ln>
                    </wps:spPr>
                    <wps:txbx>
                      <w:txbxContent>
                        <w:p w14:paraId="592BC1EB" w14:textId="77777777" w:rsidR="0026056C" w:rsidRDefault="003E16B7">
                          <w:pPr>
                            <w:jc w:val="right"/>
                            <w:rPr>
                              <w:color w:val="000000"/>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sidR="006D2EE8">
                            <w:rPr>
                              <w:noProof/>
                              <w:color w:val="000000" w:themeColor="text1"/>
                              <w:szCs w:val="40"/>
                            </w:rPr>
                            <w:t>2</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rect w14:anchorId="223CFBD3" id="Text Box 1" o:spid="_x0000_s1026" style="position:absolute;margin-left:67.6pt;margin-top:0;width:118.8pt;height:39.5pt;z-index:251659264;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" filled="f" stroked="f" strokeweight=".5pt">
              <v:textbox style="mso-fit-shape-to-text:t">
                <w:txbxContent>
                  <w:p w14:paraId="592BC1EB" w14:textId="77777777" w:rsidR="0026056C" w:rsidRDefault="003E16B7">
                    <w:pPr>
                      <w:jc w:val="right"/>
                      <w:rPr>
                        <w:color w:val="000000"/>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sidR="006D2EE8">
                      <w:rPr>
                        <w:noProof/>
                        <w:color w:val="000000" w:themeColor="text1"/>
                        <w:szCs w:val="40"/>
                      </w:rPr>
                      <w:t>2</w:t>
                    </w:r>
                    <w:r>
                      <w:rPr>
                        <w:color w:val="000000" w:themeColor="text1"/>
                        <w:szCs w:val="4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0089" w14:textId="77777777" w:rsidR="0026056C" w:rsidRDefault="003E16B7">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3BE930C1" wp14:editId="7C002D55">
              <wp:simplePos x="0" y="0"/>
              <wp:positionH relativeFrom="margin">
                <wp:align>right</wp:align>
              </wp:positionH>
              <wp:positionV relativeFrom="bottomMargin">
                <wp:align>top</wp:align>
              </wp:positionV>
              <wp:extent cx="1508760" cy="501650"/>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59" cy="501650"/>
                      </a:xfrm>
                      <a:prstGeom prst="rect">
                        <a:avLst/>
                      </a:prstGeom>
                      <a:noFill/>
                      <a:ln w="6350">
                        <a:noFill/>
                      </a:ln>
                    </wps:spPr>
                    <wps:txbx>
                      <w:txbxContent>
                        <w:p w14:paraId="6E6159DB" w14:textId="77777777" w:rsidR="0026056C" w:rsidRDefault="003E16B7">
                          <w:pPr>
                            <w:jc w:val="right"/>
                            <w:rPr>
                              <w:color w:val="000000"/>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sidR="006D2EE8">
                            <w:rPr>
                              <w:noProof/>
                              <w:color w:val="000000" w:themeColor="text1"/>
                              <w:szCs w:val="40"/>
                            </w:rPr>
                            <w:t>13</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rect w14:anchorId="3BE930C1" id="Text Box 56" o:spid="_x0000_s1027" style="position:absolute;margin-left:67.6pt;margin-top:0;width:118.8pt;height:39.5pt;z-index:251646976;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" filled="f" stroked="f" strokeweight=".5pt">
              <v:textbox style="mso-fit-shape-to-text:t">
                <w:txbxContent>
                  <w:p w14:paraId="6E6159DB" w14:textId="77777777" w:rsidR="0026056C" w:rsidRDefault="003E16B7">
                    <w:pPr>
                      <w:jc w:val="right"/>
                      <w:rPr>
                        <w:color w:val="000000"/>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sidR="006D2EE8">
                      <w:rPr>
                        <w:noProof/>
                        <w:color w:val="000000" w:themeColor="text1"/>
                        <w:szCs w:val="40"/>
                      </w:rPr>
                      <w:t>13</w:t>
                    </w:r>
                    <w:r>
                      <w:rPr>
                        <w:color w:val="000000" w:themeColor="text1"/>
                        <w:szCs w:val="40"/>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36F2" w14:textId="77777777" w:rsidR="004B2068" w:rsidRDefault="004B2068">
      <w:pPr>
        <w:spacing w:before="0" w:after="0"/>
      </w:pPr>
      <w:r>
        <w:separator/>
      </w:r>
    </w:p>
  </w:footnote>
  <w:footnote w:type="continuationSeparator" w:id="0">
    <w:p w14:paraId="6BD91CD2" w14:textId="77777777" w:rsidR="004B2068" w:rsidRDefault="004B20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5061" w14:textId="009EA8CE" w:rsidR="0026056C" w:rsidRDefault="003E16B7">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0D2C"/>
    <w:multiLevelType w:val="hybridMultilevel"/>
    <w:tmpl w:val="E4786BD8"/>
    <w:lvl w:ilvl="0" w:tplc="AFD070E0">
      <w:start w:val="1"/>
      <w:numFmt w:val="bullet"/>
      <w:pStyle w:val="Aufzhlungszeichen"/>
      <w:lvlText w:val=""/>
      <w:lvlJc w:val="left"/>
      <w:pPr>
        <w:tabs>
          <w:tab w:val="left" w:pos="360"/>
        </w:tabs>
        <w:ind w:left="360" w:hanging="360"/>
      </w:pPr>
      <w:rPr>
        <w:rFonts w:ascii="Symbol" w:hAnsi="Symbol" w:hint="default"/>
      </w:rPr>
    </w:lvl>
    <w:lvl w:ilvl="1" w:tplc="BDF4D3B0">
      <w:start w:val="1"/>
      <w:numFmt w:val="bullet"/>
      <w:lvlText w:val="o"/>
      <w:lvlJc w:val="left"/>
      <w:pPr>
        <w:ind w:left="1440" w:hanging="360"/>
      </w:pPr>
      <w:rPr>
        <w:rFonts w:ascii="Courier New" w:eastAsia="Courier New" w:hAnsi="Courier New" w:cs="Courier New" w:hint="default"/>
      </w:rPr>
    </w:lvl>
    <w:lvl w:ilvl="2" w:tplc="96142C54">
      <w:start w:val="1"/>
      <w:numFmt w:val="bullet"/>
      <w:lvlText w:val="§"/>
      <w:lvlJc w:val="left"/>
      <w:pPr>
        <w:ind w:left="2160" w:hanging="360"/>
      </w:pPr>
      <w:rPr>
        <w:rFonts w:ascii="Wingdings" w:eastAsia="Wingdings" w:hAnsi="Wingdings" w:cs="Wingdings" w:hint="default"/>
      </w:rPr>
    </w:lvl>
    <w:lvl w:ilvl="3" w:tplc="ECE8300C">
      <w:start w:val="1"/>
      <w:numFmt w:val="bullet"/>
      <w:lvlText w:val="·"/>
      <w:lvlJc w:val="left"/>
      <w:pPr>
        <w:ind w:left="2880" w:hanging="360"/>
      </w:pPr>
      <w:rPr>
        <w:rFonts w:ascii="Symbol" w:eastAsia="Symbol" w:hAnsi="Symbol" w:cs="Symbol" w:hint="default"/>
      </w:rPr>
    </w:lvl>
    <w:lvl w:ilvl="4" w:tplc="C8F84ABA">
      <w:start w:val="1"/>
      <w:numFmt w:val="bullet"/>
      <w:lvlText w:val="o"/>
      <w:lvlJc w:val="left"/>
      <w:pPr>
        <w:ind w:left="3600" w:hanging="360"/>
      </w:pPr>
      <w:rPr>
        <w:rFonts w:ascii="Courier New" w:eastAsia="Courier New" w:hAnsi="Courier New" w:cs="Courier New" w:hint="default"/>
      </w:rPr>
    </w:lvl>
    <w:lvl w:ilvl="5" w:tplc="516E505A">
      <w:start w:val="1"/>
      <w:numFmt w:val="bullet"/>
      <w:lvlText w:val="§"/>
      <w:lvlJc w:val="left"/>
      <w:pPr>
        <w:ind w:left="4320" w:hanging="360"/>
      </w:pPr>
      <w:rPr>
        <w:rFonts w:ascii="Wingdings" w:eastAsia="Wingdings" w:hAnsi="Wingdings" w:cs="Wingdings" w:hint="default"/>
      </w:rPr>
    </w:lvl>
    <w:lvl w:ilvl="6" w:tplc="260E3FC0">
      <w:start w:val="1"/>
      <w:numFmt w:val="bullet"/>
      <w:lvlText w:val="·"/>
      <w:lvlJc w:val="left"/>
      <w:pPr>
        <w:ind w:left="5040" w:hanging="360"/>
      </w:pPr>
      <w:rPr>
        <w:rFonts w:ascii="Symbol" w:eastAsia="Symbol" w:hAnsi="Symbol" w:cs="Symbol" w:hint="default"/>
      </w:rPr>
    </w:lvl>
    <w:lvl w:ilvl="7" w:tplc="0A2E0672">
      <w:start w:val="1"/>
      <w:numFmt w:val="bullet"/>
      <w:lvlText w:val="o"/>
      <w:lvlJc w:val="left"/>
      <w:pPr>
        <w:ind w:left="5760" w:hanging="360"/>
      </w:pPr>
      <w:rPr>
        <w:rFonts w:ascii="Courier New" w:eastAsia="Courier New" w:hAnsi="Courier New" w:cs="Courier New" w:hint="default"/>
      </w:rPr>
    </w:lvl>
    <w:lvl w:ilvl="8" w:tplc="B9ACA7A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7315CF5"/>
    <w:multiLevelType w:val="multilevel"/>
    <w:tmpl w:val="C728E9FC"/>
    <w:lvl w:ilvl="0">
      <w:start w:val="1"/>
      <w:numFmt w:val="decimal"/>
      <w:pStyle w:val="berschrift1"/>
      <w:lvlText w:val="%1"/>
      <w:lvlJc w:val="left"/>
      <w:pPr>
        <w:tabs>
          <w:tab w:val="left" w:pos="567"/>
        </w:tabs>
        <w:ind w:left="567" w:hanging="567"/>
      </w:pPr>
      <w:rPr>
        <w:rFonts w:hint="default"/>
      </w:rPr>
    </w:lvl>
    <w:lvl w:ilvl="1">
      <w:start w:val="1"/>
      <w:numFmt w:val="decimal"/>
      <w:pStyle w:val="berschrift2"/>
      <w:lvlText w:val="%1.%2"/>
      <w:lvlJc w:val="left"/>
      <w:pPr>
        <w:tabs>
          <w:tab w:val="left" w:pos="567"/>
        </w:tabs>
        <w:ind w:left="567" w:hanging="567"/>
      </w:pPr>
      <w:rPr>
        <w:rFonts w:hint="default"/>
      </w:rPr>
    </w:lvl>
    <w:lvl w:ilvl="2">
      <w:start w:val="1"/>
      <w:numFmt w:val="decimal"/>
      <w:pStyle w:val="berschrift3"/>
      <w:lvlText w:val="%1.%2.%3"/>
      <w:lvlJc w:val="left"/>
      <w:pPr>
        <w:tabs>
          <w:tab w:val="left" w:pos="567"/>
        </w:tabs>
        <w:ind w:left="567" w:hanging="567"/>
      </w:pPr>
      <w:rPr>
        <w:rFonts w:hint="default"/>
      </w:rPr>
    </w:lvl>
    <w:lvl w:ilvl="3">
      <w:start w:val="1"/>
      <w:numFmt w:val="decimal"/>
      <w:pStyle w:val="berschrift4"/>
      <w:lvlText w:val="%1.%2.%3.%4"/>
      <w:lvlJc w:val="left"/>
      <w:pPr>
        <w:tabs>
          <w:tab w:val="left" w:pos="567"/>
        </w:tabs>
        <w:ind w:left="567" w:hanging="567"/>
      </w:pPr>
      <w:rPr>
        <w:rFonts w:hint="default"/>
      </w:rPr>
    </w:lvl>
    <w:lvl w:ilvl="4">
      <w:start w:val="1"/>
      <w:numFmt w:val="decimal"/>
      <w:pStyle w:val="berschrift5"/>
      <w:lvlText w:val="%1.%2.%3.%4.%5"/>
      <w:lvlJc w:val="left"/>
      <w:pPr>
        <w:tabs>
          <w:tab w:val="left" w:pos="567"/>
        </w:tabs>
        <w:ind w:left="567" w:hanging="567"/>
      </w:pPr>
      <w:rPr>
        <w:rFonts w:hint="default"/>
      </w:rPr>
    </w:lvl>
    <w:lvl w:ilvl="5">
      <w:start w:val="1"/>
      <w:numFmt w:val="lowerRoman"/>
      <w:lvlText w:val="%6."/>
      <w:lvlJc w:val="right"/>
      <w:pPr>
        <w:tabs>
          <w:tab w:val="left" w:pos="567"/>
        </w:tabs>
        <w:ind w:left="567" w:hanging="567"/>
      </w:pPr>
      <w:rPr>
        <w:rFonts w:hint="default"/>
      </w:rPr>
    </w:lvl>
    <w:lvl w:ilvl="6">
      <w:start w:val="1"/>
      <w:numFmt w:val="decimal"/>
      <w:lvlText w:val="%7."/>
      <w:lvlJc w:val="left"/>
      <w:pPr>
        <w:tabs>
          <w:tab w:val="left" w:pos="567"/>
        </w:tabs>
        <w:ind w:left="567" w:hanging="567"/>
      </w:pPr>
      <w:rPr>
        <w:rFonts w:hint="default"/>
      </w:rPr>
    </w:lvl>
    <w:lvl w:ilvl="7">
      <w:start w:val="1"/>
      <w:numFmt w:val="lowerLetter"/>
      <w:lvlText w:val="%8."/>
      <w:lvlJc w:val="left"/>
      <w:pPr>
        <w:tabs>
          <w:tab w:val="left" w:pos="567"/>
        </w:tabs>
        <w:ind w:left="567" w:hanging="567"/>
      </w:pPr>
      <w:rPr>
        <w:rFonts w:hint="default"/>
      </w:rPr>
    </w:lvl>
    <w:lvl w:ilvl="8">
      <w:start w:val="1"/>
      <w:numFmt w:val="lowerRoman"/>
      <w:lvlText w:val="%9."/>
      <w:lvlJc w:val="right"/>
      <w:pPr>
        <w:tabs>
          <w:tab w:val="left" w:pos="567"/>
        </w:tabs>
        <w:ind w:left="567" w:hanging="567"/>
      </w:pPr>
      <w:rPr>
        <w:rFonts w:hint="default"/>
      </w:rPr>
    </w:lvl>
  </w:abstractNum>
  <w:abstractNum w:abstractNumId="2" w15:restartNumberingAfterBreak="0">
    <w:nsid w:val="4ECF2816"/>
    <w:multiLevelType w:val="hybridMultilevel"/>
    <w:tmpl w:val="408A72DA"/>
    <w:lvl w:ilvl="0" w:tplc="8C9A78BC">
      <w:start w:val="1"/>
      <w:numFmt w:val="bullet"/>
      <w:pStyle w:val="Listenabsatz"/>
      <w:lvlText w:val=""/>
      <w:lvlJc w:val="left"/>
      <w:pPr>
        <w:ind w:left="1440" w:hanging="360"/>
      </w:pPr>
      <w:rPr>
        <w:rFonts w:ascii="Symbol" w:hAnsi="Symbol" w:hint="default"/>
      </w:rPr>
    </w:lvl>
    <w:lvl w:ilvl="1" w:tplc="400C67CA">
      <w:start w:val="1"/>
      <w:numFmt w:val="bullet"/>
      <w:lvlText w:val="o"/>
      <w:lvlJc w:val="left"/>
      <w:pPr>
        <w:ind w:left="2160" w:hanging="360"/>
      </w:pPr>
      <w:rPr>
        <w:rFonts w:ascii="Courier New" w:hAnsi="Courier New" w:cs="Courier New" w:hint="default"/>
      </w:rPr>
    </w:lvl>
    <w:lvl w:ilvl="2" w:tplc="351AB5D0">
      <w:start w:val="1"/>
      <w:numFmt w:val="bullet"/>
      <w:lvlText w:val=""/>
      <w:lvlJc w:val="left"/>
      <w:pPr>
        <w:ind w:left="2880" w:hanging="360"/>
      </w:pPr>
      <w:rPr>
        <w:rFonts w:ascii="Wingdings" w:hAnsi="Wingdings" w:hint="default"/>
      </w:rPr>
    </w:lvl>
    <w:lvl w:ilvl="3" w:tplc="7BF28970">
      <w:start w:val="1"/>
      <w:numFmt w:val="bullet"/>
      <w:lvlText w:val=""/>
      <w:lvlJc w:val="left"/>
      <w:pPr>
        <w:ind w:left="3600" w:hanging="360"/>
      </w:pPr>
      <w:rPr>
        <w:rFonts w:ascii="Symbol" w:hAnsi="Symbol" w:hint="default"/>
      </w:rPr>
    </w:lvl>
    <w:lvl w:ilvl="4" w:tplc="FECC8ECC">
      <w:start w:val="1"/>
      <w:numFmt w:val="bullet"/>
      <w:lvlText w:val="o"/>
      <w:lvlJc w:val="left"/>
      <w:pPr>
        <w:ind w:left="4320" w:hanging="360"/>
      </w:pPr>
      <w:rPr>
        <w:rFonts w:ascii="Courier New" w:hAnsi="Courier New" w:cs="Courier New" w:hint="default"/>
      </w:rPr>
    </w:lvl>
    <w:lvl w:ilvl="5" w:tplc="AD0ADFDE">
      <w:start w:val="1"/>
      <w:numFmt w:val="bullet"/>
      <w:lvlText w:val=""/>
      <w:lvlJc w:val="left"/>
      <w:pPr>
        <w:ind w:left="5040" w:hanging="360"/>
      </w:pPr>
      <w:rPr>
        <w:rFonts w:ascii="Wingdings" w:hAnsi="Wingdings" w:hint="default"/>
      </w:rPr>
    </w:lvl>
    <w:lvl w:ilvl="6" w:tplc="CA12C248">
      <w:start w:val="1"/>
      <w:numFmt w:val="bullet"/>
      <w:lvlText w:val=""/>
      <w:lvlJc w:val="left"/>
      <w:pPr>
        <w:ind w:left="5760" w:hanging="360"/>
      </w:pPr>
      <w:rPr>
        <w:rFonts w:ascii="Symbol" w:hAnsi="Symbol" w:hint="default"/>
      </w:rPr>
    </w:lvl>
    <w:lvl w:ilvl="7" w:tplc="C11A7BD0">
      <w:start w:val="1"/>
      <w:numFmt w:val="bullet"/>
      <w:lvlText w:val="o"/>
      <w:lvlJc w:val="left"/>
      <w:pPr>
        <w:ind w:left="6480" w:hanging="360"/>
      </w:pPr>
      <w:rPr>
        <w:rFonts w:ascii="Courier New" w:hAnsi="Courier New" w:cs="Courier New" w:hint="default"/>
      </w:rPr>
    </w:lvl>
    <w:lvl w:ilvl="8" w:tplc="68D08E2C">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6C"/>
    <w:rsid w:val="000018CA"/>
    <w:rsid w:val="00007A5E"/>
    <w:rsid w:val="00010D9E"/>
    <w:rsid w:val="00014E60"/>
    <w:rsid w:val="0003224A"/>
    <w:rsid w:val="0003453D"/>
    <w:rsid w:val="00037ADC"/>
    <w:rsid w:val="0005061C"/>
    <w:rsid w:val="00057017"/>
    <w:rsid w:val="000752DE"/>
    <w:rsid w:val="00080198"/>
    <w:rsid w:val="000838C8"/>
    <w:rsid w:val="00094DE4"/>
    <w:rsid w:val="000A561A"/>
    <w:rsid w:val="000A5944"/>
    <w:rsid w:val="000C1336"/>
    <w:rsid w:val="000C5B4C"/>
    <w:rsid w:val="000D0EE5"/>
    <w:rsid w:val="000D1568"/>
    <w:rsid w:val="000D2022"/>
    <w:rsid w:val="000D322A"/>
    <w:rsid w:val="000D7AEC"/>
    <w:rsid w:val="000E0E46"/>
    <w:rsid w:val="000F0397"/>
    <w:rsid w:val="000F498F"/>
    <w:rsid w:val="000F52F9"/>
    <w:rsid w:val="0010318E"/>
    <w:rsid w:val="00113607"/>
    <w:rsid w:val="00117FA0"/>
    <w:rsid w:val="001215F1"/>
    <w:rsid w:val="00122AA2"/>
    <w:rsid w:val="001311FD"/>
    <w:rsid w:val="001320E1"/>
    <w:rsid w:val="001348BB"/>
    <w:rsid w:val="001378B6"/>
    <w:rsid w:val="0014424D"/>
    <w:rsid w:val="001626DB"/>
    <w:rsid w:val="00173FD9"/>
    <w:rsid w:val="0018796D"/>
    <w:rsid w:val="00190DF4"/>
    <w:rsid w:val="00197919"/>
    <w:rsid w:val="001A1D3F"/>
    <w:rsid w:val="001A34C5"/>
    <w:rsid w:val="001A4EC8"/>
    <w:rsid w:val="001A4EDC"/>
    <w:rsid w:val="001A6F35"/>
    <w:rsid w:val="001B2F04"/>
    <w:rsid w:val="001B319F"/>
    <w:rsid w:val="001B3A69"/>
    <w:rsid w:val="001C3995"/>
    <w:rsid w:val="001D05F9"/>
    <w:rsid w:val="001E0D76"/>
    <w:rsid w:val="001E30FB"/>
    <w:rsid w:val="001E4FC7"/>
    <w:rsid w:val="001F3662"/>
    <w:rsid w:val="00200157"/>
    <w:rsid w:val="0021066B"/>
    <w:rsid w:val="00222137"/>
    <w:rsid w:val="0022594C"/>
    <w:rsid w:val="00231669"/>
    <w:rsid w:val="0025517A"/>
    <w:rsid w:val="00256AB2"/>
    <w:rsid w:val="0026056C"/>
    <w:rsid w:val="00270B1B"/>
    <w:rsid w:val="002738E2"/>
    <w:rsid w:val="00280112"/>
    <w:rsid w:val="002827FE"/>
    <w:rsid w:val="00284782"/>
    <w:rsid w:val="00291C57"/>
    <w:rsid w:val="0029273F"/>
    <w:rsid w:val="00296080"/>
    <w:rsid w:val="002A32E9"/>
    <w:rsid w:val="002C1345"/>
    <w:rsid w:val="002C14C7"/>
    <w:rsid w:val="002C67B3"/>
    <w:rsid w:val="002D24D9"/>
    <w:rsid w:val="002D43BD"/>
    <w:rsid w:val="002D5D3A"/>
    <w:rsid w:val="002E0197"/>
    <w:rsid w:val="002E42B4"/>
    <w:rsid w:val="003033AB"/>
    <w:rsid w:val="003070EA"/>
    <w:rsid w:val="00317DEF"/>
    <w:rsid w:val="00320F81"/>
    <w:rsid w:val="00327F84"/>
    <w:rsid w:val="00335C51"/>
    <w:rsid w:val="003361BB"/>
    <w:rsid w:val="00336FD6"/>
    <w:rsid w:val="00346375"/>
    <w:rsid w:val="00357BA6"/>
    <w:rsid w:val="00357D91"/>
    <w:rsid w:val="003618B9"/>
    <w:rsid w:val="00365053"/>
    <w:rsid w:val="003721AD"/>
    <w:rsid w:val="0038511D"/>
    <w:rsid w:val="003875B1"/>
    <w:rsid w:val="0039278F"/>
    <w:rsid w:val="0039321C"/>
    <w:rsid w:val="00393B0B"/>
    <w:rsid w:val="00396B29"/>
    <w:rsid w:val="003A4228"/>
    <w:rsid w:val="003B22FF"/>
    <w:rsid w:val="003C1DBC"/>
    <w:rsid w:val="003C2940"/>
    <w:rsid w:val="003D0A76"/>
    <w:rsid w:val="003D2CBB"/>
    <w:rsid w:val="003E16B7"/>
    <w:rsid w:val="003E3B86"/>
    <w:rsid w:val="003E571C"/>
    <w:rsid w:val="003F04F4"/>
    <w:rsid w:val="00400F6A"/>
    <w:rsid w:val="00417265"/>
    <w:rsid w:val="0042604D"/>
    <w:rsid w:val="00427BB9"/>
    <w:rsid w:val="00431368"/>
    <w:rsid w:val="004314FC"/>
    <w:rsid w:val="004353CD"/>
    <w:rsid w:val="0043681F"/>
    <w:rsid w:val="00442D62"/>
    <w:rsid w:val="004444A3"/>
    <w:rsid w:val="004500A4"/>
    <w:rsid w:val="00451CF7"/>
    <w:rsid w:val="00460125"/>
    <w:rsid w:val="00475467"/>
    <w:rsid w:val="0048339A"/>
    <w:rsid w:val="00487A39"/>
    <w:rsid w:val="00493281"/>
    <w:rsid w:val="004A12A3"/>
    <w:rsid w:val="004A72F5"/>
    <w:rsid w:val="004B02BB"/>
    <w:rsid w:val="004B07B9"/>
    <w:rsid w:val="004B2068"/>
    <w:rsid w:val="004B6B6D"/>
    <w:rsid w:val="004C0CE0"/>
    <w:rsid w:val="004C1135"/>
    <w:rsid w:val="004C3805"/>
    <w:rsid w:val="004C636A"/>
    <w:rsid w:val="004C6BB2"/>
    <w:rsid w:val="004D2E02"/>
    <w:rsid w:val="004E075C"/>
    <w:rsid w:val="004E1773"/>
    <w:rsid w:val="004E2D91"/>
    <w:rsid w:val="004E38B2"/>
    <w:rsid w:val="004F51EA"/>
    <w:rsid w:val="00500A61"/>
    <w:rsid w:val="00512891"/>
    <w:rsid w:val="00513380"/>
    <w:rsid w:val="00523E2F"/>
    <w:rsid w:val="005260E9"/>
    <w:rsid w:val="005279B4"/>
    <w:rsid w:val="005354D4"/>
    <w:rsid w:val="005366B3"/>
    <w:rsid w:val="00537675"/>
    <w:rsid w:val="00540832"/>
    <w:rsid w:val="0054190C"/>
    <w:rsid w:val="00541F58"/>
    <w:rsid w:val="00545DA3"/>
    <w:rsid w:val="00576EF3"/>
    <w:rsid w:val="00577F8C"/>
    <w:rsid w:val="0058570F"/>
    <w:rsid w:val="00586D6F"/>
    <w:rsid w:val="00591804"/>
    <w:rsid w:val="00592C2A"/>
    <w:rsid w:val="00593C0F"/>
    <w:rsid w:val="005A277A"/>
    <w:rsid w:val="005A4305"/>
    <w:rsid w:val="005A4FBA"/>
    <w:rsid w:val="005B0A1B"/>
    <w:rsid w:val="005B388B"/>
    <w:rsid w:val="005B4699"/>
    <w:rsid w:val="005B588B"/>
    <w:rsid w:val="005C5B3E"/>
    <w:rsid w:val="005D7697"/>
    <w:rsid w:val="005D7880"/>
    <w:rsid w:val="005D794A"/>
    <w:rsid w:val="005E25AD"/>
    <w:rsid w:val="005E73E3"/>
    <w:rsid w:val="005F1B9A"/>
    <w:rsid w:val="005F7C91"/>
    <w:rsid w:val="006055E7"/>
    <w:rsid w:val="00606EC8"/>
    <w:rsid w:val="0061023B"/>
    <w:rsid w:val="00611B9E"/>
    <w:rsid w:val="00620377"/>
    <w:rsid w:val="00620DB3"/>
    <w:rsid w:val="0062164A"/>
    <w:rsid w:val="0063182B"/>
    <w:rsid w:val="00632D49"/>
    <w:rsid w:val="0063592D"/>
    <w:rsid w:val="00635B87"/>
    <w:rsid w:val="0064116A"/>
    <w:rsid w:val="00651DC3"/>
    <w:rsid w:val="00653909"/>
    <w:rsid w:val="006553D3"/>
    <w:rsid w:val="0065599D"/>
    <w:rsid w:val="00662964"/>
    <w:rsid w:val="00665549"/>
    <w:rsid w:val="00665E37"/>
    <w:rsid w:val="00665F1D"/>
    <w:rsid w:val="006753A1"/>
    <w:rsid w:val="0067564B"/>
    <w:rsid w:val="00675B1D"/>
    <w:rsid w:val="00686397"/>
    <w:rsid w:val="006913EC"/>
    <w:rsid w:val="006A2E4E"/>
    <w:rsid w:val="006A5B5B"/>
    <w:rsid w:val="006B1E60"/>
    <w:rsid w:val="006B3ECB"/>
    <w:rsid w:val="006B58C5"/>
    <w:rsid w:val="006B6024"/>
    <w:rsid w:val="006C1884"/>
    <w:rsid w:val="006C698E"/>
    <w:rsid w:val="006D2EE8"/>
    <w:rsid w:val="006E0988"/>
    <w:rsid w:val="006E13F9"/>
    <w:rsid w:val="006E4699"/>
    <w:rsid w:val="006E73FD"/>
    <w:rsid w:val="00701B83"/>
    <w:rsid w:val="00702981"/>
    <w:rsid w:val="00713574"/>
    <w:rsid w:val="00713A1A"/>
    <w:rsid w:val="007154B7"/>
    <w:rsid w:val="00722403"/>
    <w:rsid w:val="00730F14"/>
    <w:rsid w:val="00733AC3"/>
    <w:rsid w:val="00734C33"/>
    <w:rsid w:val="00735C4E"/>
    <w:rsid w:val="007454E9"/>
    <w:rsid w:val="00752477"/>
    <w:rsid w:val="00756266"/>
    <w:rsid w:val="00760567"/>
    <w:rsid w:val="007616FB"/>
    <w:rsid w:val="00762F76"/>
    <w:rsid w:val="00765090"/>
    <w:rsid w:val="00771709"/>
    <w:rsid w:val="00775AA0"/>
    <w:rsid w:val="00780E96"/>
    <w:rsid w:val="0078113D"/>
    <w:rsid w:val="007821DF"/>
    <w:rsid w:val="0079465C"/>
    <w:rsid w:val="007A2E76"/>
    <w:rsid w:val="007A3D0E"/>
    <w:rsid w:val="007A4C9C"/>
    <w:rsid w:val="007B190D"/>
    <w:rsid w:val="007C2F71"/>
    <w:rsid w:val="007C464C"/>
    <w:rsid w:val="007C6926"/>
    <w:rsid w:val="007D1F93"/>
    <w:rsid w:val="007E0B51"/>
    <w:rsid w:val="007F1216"/>
    <w:rsid w:val="007F46D5"/>
    <w:rsid w:val="00803755"/>
    <w:rsid w:val="008051F7"/>
    <w:rsid w:val="00806FAB"/>
    <w:rsid w:val="00814A86"/>
    <w:rsid w:val="008161C6"/>
    <w:rsid w:val="008204B4"/>
    <w:rsid w:val="00822B39"/>
    <w:rsid w:val="008263FA"/>
    <w:rsid w:val="008345DB"/>
    <w:rsid w:val="00836A33"/>
    <w:rsid w:val="00837B05"/>
    <w:rsid w:val="00840333"/>
    <w:rsid w:val="0085455D"/>
    <w:rsid w:val="00854DDE"/>
    <w:rsid w:val="0085581F"/>
    <w:rsid w:val="00857F91"/>
    <w:rsid w:val="00862FF9"/>
    <w:rsid w:val="0087383E"/>
    <w:rsid w:val="00874389"/>
    <w:rsid w:val="0087731E"/>
    <w:rsid w:val="00877B10"/>
    <w:rsid w:val="00880E01"/>
    <w:rsid w:val="0088427C"/>
    <w:rsid w:val="00886857"/>
    <w:rsid w:val="0089459E"/>
    <w:rsid w:val="00894BF0"/>
    <w:rsid w:val="0089588C"/>
    <w:rsid w:val="008A0AD9"/>
    <w:rsid w:val="008A353D"/>
    <w:rsid w:val="008A4F0F"/>
    <w:rsid w:val="008A55D0"/>
    <w:rsid w:val="008B1C4C"/>
    <w:rsid w:val="008B24E3"/>
    <w:rsid w:val="008B5297"/>
    <w:rsid w:val="008D0260"/>
    <w:rsid w:val="008D54F8"/>
    <w:rsid w:val="008D7797"/>
    <w:rsid w:val="008E03E3"/>
    <w:rsid w:val="008E5CC3"/>
    <w:rsid w:val="008F6263"/>
    <w:rsid w:val="00904CE1"/>
    <w:rsid w:val="00904CE7"/>
    <w:rsid w:val="00905DB1"/>
    <w:rsid w:val="00905E14"/>
    <w:rsid w:val="00915068"/>
    <w:rsid w:val="00915520"/>
    <w:rsid w:val="009156E1"/>
    <w:rsid w:val="00916D6D"/>
    <w:rsid w:val="00931EB6"/>
    <w:rsid w:val="00947071"/>
    <w:rsid w:val="00947CC2"/>
    <w:rsid w:val="00956996"/>
    <w:rsid w:val="00971EBF"/>
    <w:rsid w:val="009A1A1D"/>
    <w:rsid w:val="009A6F5A"/>
    <w:rsid w:val="009A723C"/>
    <w:rsid w:val="009B012A"/>
    <w:rsid w:val="009B2691"/>
    <w:rsid w:val="009B7C9C"/>
    <w:rsid w:val="009C5E08"/>
    <w:rsid w:val="009C7B72"/>
    <w:rsid w:val="009C7F85"/>
    <w:rsid w:val="009E3234"/>
    <w:rsid w:val="009F5EDE"/>
    <w:rsid w:val="009F7983"/>
    <w:rsid w:val="00A01830"/>
    <w:rsid w:val="00A17D67"/>
    <w:rsid w:val="00A24C3F"/>
    <w:rsid w:val="00A2611D"/>
    <w:rsid w:val="00A30E30"/>
    <w:rsid w:val="00A32211"/>
    <w:rsid w:val="00A36910"/>
    <w:rsid w:val="00A44E9A"/>
    <w:rsid w:val="00A45D89"/>
    <w:rsid w:val="00A46C14"/>
    <w:rsid w:val="00A53D08"/>
    <w:rsid w:val="00A611DE"/>
    <w:rsid w:val="00A71439"/>
    <w:rsid w:val="00A84D27"/>
    <w:rsid w:val="00A90F92"/>
    <w:rsid w:val="00A95F7A"/>
    <w:rsid w:val="00AA7709"/>
    <w:rsid w:val="00AC0490"/>
    <w:rsid w:val="00AC29AE"/>
    <w:rsid w:val="00AD1BCE"/>
    <w:rsid w:val="00AD2076"/>
    <w:rsid w:val="00AF4346"/>
    <w:rsid w:val="00AF7F43"/>
    <w:rsid w:val="00B0577E"/>
    <w:rsid w:val="00B346D7"/>
    <w:rsid w:val="00B4110F"/>
    <w:rsid w:val="00B56017"/>
    <w:rsid w:val="00B56B74"/>
    <w:rsid w:val="00B60DDA"/>
    <w:rsid w:val="00B62DE5"/>
    <w:rsid w:val="00B636B5"/>
    <w:rsid w:val="00B7235C"/>
    <w:rsid w:val="00B73458"/>
    <w:rsid w:val="00B92707"/>
    <w:rsid w:val="00B932D8"/>
    <w:rsid w:val="00B974F9"/>
    <w:rsid w:val="00B97C60"/>
    <w:rsid w:val="00BA0E54"/>
    <w:rsid w:val="00BD1BD1"/>
    <w:rsid w:val="00BE2207"/>
    <w:rsid w:val="00BE2EAE"/>
    <w:rsid w:val="00BF05DC"/>
    <w:rsid w:val="00BF14CB"/>
    <w:rsid w:val="00BF1A56"/>
    <w:rsid w:val="00BF41AB"/>
    <w:rsid w:val="00C013C8"/>
    <w:rsid w:val="00C0356A"/>
    <w:rsid w:val="00C07E5E"/>
    <w:rsid w:val="00C12310"/>
    <w:rsid w:val="00C14637"/>
    <w:rsid w:val="00C2042D"/>
    <w:rsid w:val="00C22804"/>
    <w:rsid w:val="00C24D7D"/>
    <w:rsid w:val="00C2748A"/>
    <w:rsid w:val="00C33240"/>
    <w:rsid w:val="00C467A0"/>
    <w:rsid w:val="00C56232"/>
    <w:rsid w:val="00C667FE"/>
    <w:rsid w:val="00C66F76"/>
    <w:rsid w:val="00C84802"/>
    <w:rsid w:val="00C84979"/>
    <w:rsid w:val="00CA2E0C"/>
    <w:rsid w:val="00CB03CC"/>
    <w:rsid w:val="00CB1086"/>
    <w:rsid w:val="00CB3F37"/>
    <w:rsid w:val="00CB6B25"/>
    <w:rsid w:val="00CC0256"/>
    <w:rsid w:val="00CC41D7"/>
    <w:rsid w:val="00CC6AA5"/>
    <w:rsid w:val="00CD10B0"/>
    <w:rsid w:val="00CD7DE1"/>
    <w:rsid w:val="00CD7EED"/>
    <w:rsid w:val="00CE15A4"/>
    <w:rsid w:val="00CE223E"/>
    <w:rsid w:val="00CE3A24"/>
    <w:rsid w:val="00CE4627"/>
    <w:rsid w:val="00CF38B0"/>
    <w:rsid w:val="00CF6BFB"/>
    <w:rsid w:val="00D102CE"/>
    <w:rsid w:val="00D12D80"/>
    <w:rsid w:val="00D26806"/>
    <w:rsid w:val="00D30F97"/>
    <w:rsid w:val="00D31743"/>
    <w:rsid w:val="00D32731"/>
    <w:rsid w:val="00D41354"/>
    <w:rsid w:val="00D41D31"/>
    <w:rsid w:val="00D43826"/>
    <w:rsid w:val="00D6341E"/>
    <w:rsid w:val="00D63AB8"/>
    <w:rsid w:val="00D64704"/>
    <w:rsid w:val="00D6633E"/>
    <w:rsid w:val="00D70E02"/>
    <w:rsid w:val="00D771E1"/>
    <w:rsid w:val="00D80636"/>
    <w:rsid w:val="00D817BA"/>
    <w:rsid w:val="00D81F9A"/>
    <w:rsid w:val="00DA7C0A"/>
    <w:rsid w:val="00DB107D"/>
    <w:rsid w:val="00DC17EA"/>
    <w:rsid w:val="00DC1ADB"/>
    <w:rsid w:val="00DC247C"/>
    <w:rsid w:val="00DD1C67"/>
    <w:rsid w:val="00DD2221"/>
    <w:rsid w:val="00DD5C93"/>
    <w:rsid w:val="00DD63DB"/>
    <w:rsid w:val="00DD7DEA"/>
    <w:rsid w:val="00DE0981"/>
    <w:rsid w:val="00DF0A27"/>
    <w:rsid w:val="00DF29CF"/>
    <w:rsid w:val="00DF427E"/>
    <w:rsid w:val="00DF4C0D"/>
    <w:rsid w:val="00E057FC"/>
    <w:rsid w:val="00E11F14"/>
    <w:rsid w:val="00E14188"/>
    <w:rsid w:val="00E14AB2"/>
    <w:rsid w:val="00E14B08"/>
    <w:rsid w:val="00E162D8"/>
    <w:rsid w:val="00E21396"/>
    <w:rsid w:val="00E23BB7"/>
    <w:rsid w:val="00E25085"/>
    <w:rsid w:val="00E271A1"/>
    <w:rsid w:val="00E31265"/>
    <w:rsid w:val="00E36E48"/>
    <w:rsid w:val="00E419ED"/>
    <w:rsid w:val="00E621E9"/>
    <w:rsid w:val="00E67F9E"/>
    <w:rsid w:val="00E70DB5"/>
    <w:rsid w:val="00E71867"/>
    <w:rsid w:val="00E726B3"/>
    <w:rsid w:val="00E83665"/>
    <w:rsid w:val="00E863ED"/>
    <w:rsid w:val="00E87FC8"/>
    <w:rsid w:val="00E92089"/>
    <w:rsid w:val="00E94B1A"/>
    <w:rsid w:val="00E958C2"/>
    <w:rsid w:val="00E97AA6"/>
    <w:rsid w:val="00EA29A4"/>
    <w:rsid w:val="00EA5635"/>
    <w:rsid w:val="00EA64B5"/>
    <w:rsid w:val="00EB194F"/>
    <w:rsid w:val="00ED06E3"/>
    <w:rsid w:val="00ED6DBB"/>
    <w:rsid w:val="00EE0359"/>
    <w:rsid w:val="00EF3A55"/>
    <w:rsid w:val="00EF71BB"/>
    <w:rsid w:val="00F04844"/>
    <w:rsid w:val="00F12651"/>
    <w:rsid w:val="00F153E9"/>
    <w:rsid w:val="00F350EA"/>
    <w:rsid w:val="00F41BA0"/>
    <w:rsid w:val="00F4308D"/>
    <w:rsid w:val="00F477F4"/>
    <w:rsid w:val="00F5590A"/>
    <w:rsid w:val="00F65711"/>
    <w:rsid w:val="00F74313"/>
    <w:rsid w:val="00F80327"/>
    <w:rsid w:val="00F80B80"/>
    <w:rsid w:val="00F80CB8"/>
    <w:rsid w:val="00F8237C"/>
    <w:rsid w:val="00F827A1"/>
    <w:rsid w:val="00F82DB7"/>
    <w:rsid w:val="00F835A2"/>
    <w:rsid w:val="00F90E0B"/>
    <w:rsid w:val="00F91564"/>
    <w:rsid w:val="00FA5B97"/>
    <w:rsid w:val="00FB326A"/>
    <w:rsid w:val="00FB42E1"/>
    <w:rsid w:val="00FB7044"/>
    <w:rsid w:val="00FC233D"/>
    <w:rsid w:val="00FC3EB0"/>
    <w:rsid w:val="00FC41ED"/>
    <w:rsid w:val="00FC7F76"/>
    <w:rsid w:val="00FD0BE7"/>
    <w:rsid w:val="00FD2259"/>
    <w:rsid w:val="00FE0EC7"/>
    <w:rsid w:val="00FE7057"/>
    <w:rsid w:val="00FF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6C8F6"/>
  <w15:docId w15:val="{7C0A2946-2A09-469B-86A1-3B2A22DE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240"/>
    </w:pPr>
    <w:rPr>
      <w:rFonts w:eastAsia="Calibri" w:cs="Calibri"/>
      <w:sz w:val="24"/>
    </w:rPr>
  </w:style>
  <w:style w:type="paragraph" w:styleId="berschrift1">
    <w:name w:val="heading 1"/>
    <w:basedOn w:val="Listenabsatz"/>
    <w:next w:val="Standard"/>
    <w:link w:val="berschrift1Zchn"/>
    <w:uiPriority w:val="2"/>
    <w:qFormat/>
    <w:pPr>
      <w:numPr>
        <w:numId w:val="1"/>
      </w:numPr>
      <w:spacing w:before="240"/>
      <w:contextualSpacing w:val="0"/>
      <w:outlineLvl w:val="0"/>
    </w:pPr>
    <w:rPr>
      <w:b/>
    </w:rPr>
  </w:style>
  <w:style w:type="paragraph" w:styleId="berschrift2">
    <w:name w:val="heading 2"/>
    <w:basedOn w:val="berschrift1"/>
    <w:next w:val="Standard"/>
    <w:link w:val="berschrift2Zchn"/>
    <w:uiPriority w:val="2"/>
    <w:qFormat/>
    <w:pPr>
      <w:numPr>
        <w:ilvl w:val="1"/>
      </w:numPr>
      <w:spacing w:after="200"/>
      <w:outlineLvl w:val="1"/>
    </w:pPr>
  </w:style>
  <w:style w:type="paragraph" w:styleId="berschrift3">
    <w:name w:val="heading 3"/>
    <w:basedOn w:val="Standard"/>
    <w:next w:val="Standard"/>
    <w:link w:val="berschrift3Zchn"/>
    <w:uiPriority w:val="2"/>
    <w:qFormat/>
    <w:pPr>
      <w:keepNext/>
      <w:keepLines/>
      <w:numPr>
        <w:ilvl w:val="2"/>
        <w:numId w:val="1"/>
      </w:numPr>
      <w:spacing w:before="40" w:after="120"/>
      <w:outlineLvl w:val="2"/>
    </w:pPr>
    <w:rPr>
      <w:rFonts w:eastAsia="Cambria" w:cs="Cambria"/>
      <w:b/>
      <w:szCs w:val="24"/>
    </w:rPr>
  </w:style>
  <w:style w:type="paragraph" w:styleId="berschrift4">
    <w:name w:val="heading 4"/>
    <w:basedOn w:val="berschrift3"/>
    <w:next w:val="Standard"/>
    <w:link w:val="berschrift4Zchn"/>
    <w:uiPriority w:val="2"/>
    <w:qFormat/>
    <w:pPr>
      <w:numPr>
        <w:ilvl w:val="3"/>
      </w:numPr>
      <w:outlineLvl w:val="3"/>
    </w:pPr>
    <w:rPr>
      <w:iCs/>
    </w:rPr>
  </w:style>
  <w:style w:type="paragraph" w:styleId="berschrift5">
    <w:name w:val="heading 5"/>
    <w:basedOn w:val="berschrift4"/>
    <w:next w:val="Standard"/>
    <w:link w:val="berschrift5Zchn"/>
    <w:uiPriority w:val="2"/>
    <w:qFormat/>
    <w:pPr>
      <w:numPr>
        <w:ilvl w:val="4"/>
      </w:numPr>
      <w:outlineLvl w:val="4"/>
    </w:p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uiPriority w:val="3"/>
    <w:qFormat/>
    <w:pPr>
      <w:numPr>
        <w:numId w:val="2"/>
      </w:numPr>
      <w:contextualSpacing/>
    </w:pPr>
    <w:rPr>
      <w:rFonts w:eastAsia="Cambria" w:cs="Times New Roman"/>
      <w:szCs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paragraph" w:styleId="Beschriftung">
    <w:name w:val="caption"/>
    <w:basedOn w:val="Standard"/>
    <w:next w:val="KeinLeerraum"/>
    <w:uiPriority w:val="35"/>
    <w:unhideWhenUsed/>
    <w:qFormat/>
    <w:pPr>
      <w:keepNext/>
    </w:pPr>
    <w:rPr>
      <w:rFonts w:cs="Times New Roman"/>
      <w:b/>
      <w:bCs/>
      <w:szCs w:val="24"/>
    </w:rPr>
  </w:style>
  <w:style w:type="paragraph" w:styleId="KeinLeerraum">
    <w:name w:val="No Spacing"/>
    <w:uiPriority w:val="99"/>
    <w:unhideWhenUsed/>
    <w:qFormat/>
    <w:rPr>
      <w:rFonts w:eastAsia="Calibri" w:cs="Calibri"/>
      <w:sz w:val="24"/>
    </w:rPr>
  </w:style>
  <w:style w:type="paragraph" w:styleId="Kommentartext">
    <w:name w:val="annotation text"/>
    <w:basedOn w:val="Standard"/>
    <w:link w:val="KommentartextZchn"/>
    <w:uiPriority w:val="99"/>
    <w:semiHidden/>
    <w:unhideWhenUsed/>
    <w:qFormat/>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paragraph" w:styleId="Endnotentext">
    <w:name w:val="endnote text"/>
    <w:basedOn w:val="Standard"/>
    <w:link w:val="EndnotentextZchn"/>
    <w:uiPriority w:val="99"/>
    <w:semiHidden/>
    <w:unhideWhenUsed/>
    <w:pPr>
      <w:spacing w:after="0"/>
    </w:pPr>
    <w:rPr>
      <w:sz w:val="20"/>
      <w:szCs w:val="20"/>
    </w:rPr>
  </w:style>
  <w:style w:type="paragraph" w:styleId="Fuzeile">
    <w:name w:val="footer"/>
    <w:basedOn w:val="Standard"/>
    <w:link w:val="FuzeileZchn"/>
    <w:uiPriority w:val="99"/>
    <w:unhideWhenUsed/>
    <w:pPr>
      <w:tabs>
        <w:tab w:val="center" w:pos="4844"/>
        <w:tab w:val="right" w:pos="9689"/>
      </w:tabs>
      <w:spacing w:after="0"/>
    </w:pPr>
  </w:style>
  <w:style w:type="paragraph" w:styleId="Funotentext">
    <w:name w:val="footnote text"/>
    <w:basedOn w:val="Standard"/>
    <w:link w:val="FunotentextZchn"/>
    <w:uiPriority w:val="99"/>
    <w:semiHidden/>
    <w:unhideWhenUsed/>
    <w:qFormat/>
    <w:pPr>
      <w:spacing w:after="0"/>
    </w:pPr>
    <w:rPr>
      <w:sz w:val="20"/>
      <w:szCs w:val="20"/>
    </w:rPr>
  </w:style>
  <w:style w:type="paragraph" w:styleId="Kopfzeile">
    <w:name w:val="header"/>
    <w:basedOn w:val="Standard"/>
    <w:link w:val="KopfzeileZchn"/>
    <w:uiPriority w:val="99"/>
    <w:unhideWhenUsed/>
    <w:pPr>
      <w:tabs>
        <w:tab w:val="center" w:pos="4844"/>
        <w:tab w:val="right" w:pos="9689"/>
      </w:tabs>
    </w:pPr>
    <w:rPr>
      <w:b/>
    </w:rPr>
  </w:style>
  <w:style w:type="paragraph" w:styleId="HTMLVorformatiert">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paragraph" w:styleId="StandardWeb">
    <w:name w:val="Normal (Web)"/>
    <w:basedOn w:val="Standard"/>
    <w:uiPriority w:val="99"/>
    <w:unhideWhenUsed/>
    <w:qFormat/>
    <w:pPr>
      <w:spacing w:before="100" w:beforeAutospacing="1" w:after="100" w:afterAutospacing="1"/>
    </w:pPr>
    <w:rPr>
      <w:rFonts w:eastAsia="Times New Roman" w:cs="Times New Roman"/>
      <w:szCs w:val="24"/>
    </w:rPr>
  </w:style>
  <w:style w:type="paragraph" w:styleId="Untertitel">
    <w:name w:val="Subtitle"/>
    <w:basedOn w:val="Standard"/>
    <w:next w:val="Standard"/>
    <w:link w:val="UntertitelZchn"/>
    <w:uiPriority w:val="99"/>
    <w:unhideWhenUsed/>
    <w:qFormat/>
    <w:pPr>
      <w:spacing w:before="240"/>
    </w:pPr>
    <w:rPr>
      <w:rFonts w:cs="Times New Roman"/>
      <w:b/>
      <w:szCs w:val="24"/>
    </w:rPr>
  </w:style>
  <w:style w:type="paragraph" w:styleId="Titel">
    <w:name w:val="Title"/>
    <w:basedOn w:val="Standard"/>
    <w:next w:val="Standard"/>
    <w:link w:val="TitelZchn"/>
    <w:qFormat/>
    <w:pPr>
      <w:spacing w:before="240" w:after="360"/>
      <w:jc w:val="center"/>
    </w:pPr>
    <w:rPr>
      <w:rFonts w:cs="Times New Roman"/>
      <w:b/>
      <w:sz w:val="32"/>
      <w:szCs w:val="32"/>
    </w:rPr>
  </w:style>
  <w:style w:type="character" w:styleId="Kommentarzeichen">
    <w:name w:val="annotation reference"/>
    <w:basedOn w:val="Absatz-Standardschriftart"/>
    <w:uiPriority w:val="99"/>
    <w:semiHidden/>
    <w:unhideWhenUsed/>
    <w:rPr>
      <w:sz w:val="16"/>
      <w:szCs w:val="16"/>
    </w:rPr>
  </w:style>
  <w:style w:type="character" w:styleId="Hervorhebung">
    <w:name w:val="Emphasis"/>
    <w:basedOn w:val="Absatz-Standardschriftart"/>
    <w:uiPriority w:val="20"/>
    <w:qFormat/>
    <w:rPr>
      <w:rFonts w:ascii="Times New Roman" w:hAnsi="Times New Roman"/>
      <w:i/>
      <w:iCs/>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800080" w:themeColor="followedHyperlink"/>
      <w:u w:val="single"/>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qFormat/>
    <w:rPr>
      <w:color w:val="0000FF"/>
      <w:u w:val="single"/>
    </w:rPr>
  </w:style>
  <w:style w:type="character" w:styleId="Zeilennummer">
    <w:name w:val="line number"/>
    <w:basedOn w:val="Absatz-Standardschriftart"/>
    <w:uiPriority w:val="99"/>
    <w:semiHidden/>
    <w:unhideWhenUsed/>
    <w:qFormat/>
  </w:style>
  <w:style w:type="character" w:styleId="Fett">
    <w:name w:val="Strong"/>
    <w:basedOn w:val="Absatz-Standardschriftart"/>
    <w:uiPriority w:val="22"/>
    <w:qFormat/>
    <w:rPr>
      <w:rFonts w:ascii="Times New Roman" w:hAnsi="Times New Roman"/>
      <w:b/>
      <w:bCs/>
    </w:rPr>
  </w:style>
  <w:style w:type="table" w:styleId="Tabellenraster">
    <w:name w:val="Table Grid"/>
    <w:basedOn w:val="NormaleTabelle"/>
    <w:uiPriority w:val="59"/>
    <w:qFormat/>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2"/>
    <w:qFormat/>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qFormat/>
    <w:rPr>
      <w:rFonts w:ascii="Times New Roman" w:eastAsia="Cambria" w:hAnsi="Times New Roman" w:cs="Times New Roman"/>
      <w:b/>
      <w:sz w:val="24"/>
      <w:szCs w:val="24"/>
    </w:rPr>
  </w:style>
  <w:style w:type="character" w:customStyle="1" w:styleId="UntertitelZchn">
    <w:name w:val="Untertitel Zchn"/>
    <w:basedOn w:val="Absatz-Standardschriftart"/>
    <w:link w:val="Untertitel"/>
    <w:uiPriority w:val="99"/>
    <w:qFormat/>
    <w:rPr>
      <w:rFonts w:ascii="Times New Roman" w:hAnsi="Times New Roman" w:cs="Times New Roman"/>
      <w:b/>
      <w:sz w:val="24"/>
      <w:szCs w:val="24"/>
    </w:rPr>
  </w:style>
  <w:style w:type="paragraph" w:customStyle="1" w:styleId="AuthorList">
    <w:name w:val="Author List"/>
    <w:basedOn w:val="Untertitel"/>
    <w:next w:val="Standard"/>
    <w:uiPriority w:val="1"/>
    <w:qFormat/>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 w:type="character" w:customStyle="1" w:styleId="BookTitle1">
    <w:name w:val="Book Title1"/>
    <w:basedOn w:val="Absatz-Standardschriftart"/>
    <w:uiPriority w:val="33"/>
    <w:qFormat/>
    <w:rPr>
      <w:rFonts w:ascii="Times New Roman" w:hAnsi="Times New Roman"/>
      <w:b/>
      <w:bCs/>
      <w:i/>
      <w:iCs/>
      <w:spacing w:val="5"/>
    </w:rPr>
  </w:style>
  <w:style w:type="character" w:customStyle="1" w:styleId="KommentartextZchn">
    <w:name w:val="Kommentartext Zchn"/>
    <w:basedOn w:val="Absatz-Standardschriftart"/>
    <w:link w:val="Kommentartext"/>
    <w:uiPriority w:val="99"/>
    <w:semiHidden/>
    <w:rPr>
      <w:rFonts w:ascii="Times New Roman" w:hAnsi="Times New Roman"/>
      <w:sz w:val="20"/>
      <w:szCs w:val="20"/>
    </w:rPr>
  </w:style>
  <w:style w:type="character" w:customStyle="1" w:styleId="KommentarthemaZchn">
    <w:name w:val="Kommentarthema Zchn"/>
    <w:basedOn w:val="KommentartextZchn"/>
    <w:link w:val="Kommentarthema"/>
    <w:uiPriority w:val="99"/>
    <w:semiHidden/>
    <w:qFormat/>
    <w:rPr>
      <w:rFonts w:ascii="Times New Roman" w:hAnsi="Times New Roman"/>
      <w:b/>
      <w:bCs/>
      <w:sz w:val="20"/>
      <w:szCs w:val="20"/>
    </w:rPr>
  </w:style>
  <w:style w:type="character" w:customStyle="1" w:styleId="EndnotentextZchn">
    <w:name w:val="Endnotentext Zchn"/>
    <w:basedOn w:val="Absatz-Standardschriftart"/>
    <w:link w:val="Endnotentext"/>
    <w:uiPriority w:val="99"/>
    <w:semiHidden/>
    <w:qFormat/>
    <w:rPr>
      <w:rFonts w:ascii="Times New Roman" w:hAnsi="Times New Roman"/>
      <w:sz w:val="20"/>
      <w:szCs w:val="20"/>
    </w:rPr>
  </w:style>
  <w:style w:type="character" w:customStyle="1" w:styleId="FuzeileZchn">
    <w:name w:val="Fußzeile Zchn"/>
    <w:basedOn w:val="Absatz-Standardschriftart"/>
    <w:link w:val="Fuzeile"/>
    <w:uiPriority w:val="99"/>
    <w:rPr>
      <w:rFonts w:ascii="Times New Roman" w:hAnsi="Times New Roman"/>
      <w:sz w:val="24"/>
    </w:rPr>
  </w:style>
  <w:style w:type="character" w:customStyle="1" w:styleId="FunotentextZchn">
    <w:name w:val="Fußnotentext Zchn"/>
    <w:basedOn w:val="Absatz-Standardschriftart"/>
    <w:link w:val="Funotentext"/>
    <w:uiPriority w:val="99"/>
    <w:semiHidden/>
    <w:rPr>
      <w:rFonts w:ascii="Times New Roman" w:hAnsi="Times New Roman"/>
      <w:sz w:val="20"/>
      <w:szCs w:val="20"/>
    </w:rPr>
  </w:style>
  <w:style w:type="character" w:customStyle="1" w:styleId="KopfzeileZchn">
    <w:name w:val="Kopfzeile Zchn"/>
    <w:basedOn w:val="Absatz-Standardschriftart"/>
    <w:link w:val="Kopfzeile"/>
    <w:uiPriority w:val="99"/>
    <w:qFormat/>
    <w:rPr>
      <w:rFonts w:ascii="Times New Roman" w:hAnsi="Times New Roman"/>
      <w:b/>
      <w:sz w:val="24"/>
    </w:rPr>
  </w:style>
  <w:style w:type="character" w:customStyle="1" w:styleId="IntenseEmphasis1">
    <w:name w:val="Intense Emphasis1"/>
    <w:basedOn w:val="Absatz-Standardschriftart"/>
    <w:uiPriority w:val="21"/>
    <w:unhideWhenUsed/>
    <w:qFormat/>
    <w:rPr>
      <w:rFonts w:ascii="Times New Roman" w:hAnsi="Times New Roman"/>
      <w:i/>
      <w:iCs/>
      <w:color w:val="auto"/>
    </w:rPr>
  </w:style>
  <w:style w:type="character" w:customStyle="1" w:styleId="IntenseReference1">
    <w:name w:val="Intense Reference1"/>
    <w:basedOn w:val="Absatz-Standardschriftart"/>
    <w:uiPriority w:val="32"/>
    <w:qFormat/>
    <w:rPr>
      <w:b/>
      <w:bCs/>
      <w:smallCaps/>
      <w:color w:val="auto"/>
      <w:spacing w:val="5"/>
    </w:rPr>
  </w:style>
  <w:style w:type="character" w:customStyle="1" w:styleId="berschrift3Zchn">
    <w:name w:val="Überschrift 3 Zchn"/>
    <w:basedOn w:val="Absatz-Standardschriftart"/>
    <w:link w:val="berschrift3"/>
    <w:uiPriority w:val="2"/>
    <w:rPr>
      <w:rFonts w:ascii="Times New Roman" w:eastAsia="Cambria" w:hAnsi="Times New Roman" w:cs="Cambria"/>
      <w:b/>
      <w:sz w:val="24"/>
      <w:szCs w:val="24"/>
    </w:rPr>
  </w:style>
  <w:style w:type="character" w:customStyle="1" w:styleId="berschrift4Zchn">
    <w:name w:val="Überschrift 4 Zchn"/>
    <w:basedOn w:val="Absatz-Standardschriftart"/>
    <w:link w:val="berschrift4"/>
    <w:uiPriority w:val="2"/>
    <w:qFormat/>
    <w:rPr>
      <w:rFonts w:ascii="Times New Roman" w:eastAsia="Cambria" w:hAnsi="Times New Roman" w:cs="Cambria"/>
      <w:b/>
      <w:iCs/>
      <w:sz w:val="24"/>
      <w:szCs w:val="24"/>
    </w:rPr>
  </w:style>
  <w:style w:type="character" w:customStyle="1" w:styleId="berschrift5Zchn">
    <w:name w:val="Überschrift 5 Zchn"/>
    <w:basedOn w:val="Absatz-Standardschriftart"/>
    <w:link w:val="berschrift5"/>
    <w:uiPriority w:val="2"/>
    <w:qFormat/>
    <w:rPr>
      <w:rFonts w:ascii="Times New Roman" w:eastAsia="Cambria" w:hAnsi="Times New Roman" w:cs="Cambria"/>
      <w:b/>
      <w:iCs/>
      <w:sz w:val="24"/>
      <w:szCs w:val="24"/>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qFormat/>
    <w:rPr>
      <w:rFonts w:ascii="Times New Roman" w:hAnsi="Times New Roman"/>
      <w:i/>
      <w:iCs/>
      <w:color w:val="404040" w:themeColor="text1" w:themeTint="BF"/>
      <w:sz w:val="24"/>
    </w:rPr>
  </w:style>
  <w:style w:type="character" w:customStyle="1" w:styleId="SubtleEmphasis1">
    <w:name w:val="Subtle Emphasis1"/>
    <w:basedOn w:val="Absatz-Standardschriftart"/>
    <w:uiPriority w:val="19"/>
    <w:qFormat/>
    <w:rPr>
      <w:rFonts w:ascii="Times New Roman" w:hAnsi="Times New Roman"/>
      <w:i/>
      <w:iCs/>
      <w:color w:val="404040" w:themeColor="text1" w:themeTint="BF"/>
    </w:rPr>
  </w:style>
  <w:style w:type="character" w:customStyle="1" w:styleId="TitelZchn">
    <w:name w:val="Titel Zchn"/>
    <w:basedOn w:val="Absatz-Standardschriftart"/>
    <w:link w:val="Titel"/>
    <w:qFormat/>
    <w:rPr>
      <w:rFonts w:ascii="Times New Roman" w:hAnsi="Times New Roman" w:cs="Times New Roman"/>
      <w:b/>
      <w:sz w:val="32"/>
      <w:szCs w:val="32"/>
    </w:rPr>
  </w:style>
  <w:style w:type="paragraph" w:customStyle="1" w:styleId="SupplementaryMaterial">
    <w:name w:val="Supplementary Material"/>
    <w:basedOn w:val="Titel"/>
    <w:next w:val="Titel"/>
    <w:qFormat/>
    <w:pPr>
      <w:spacing w:after="120"/>
    </w:pPr>
    <w:rPr>
      <w:i/>
    </w:rPr>
  </w:style>
  <w:style w:type="paragraph" w:styleId="berarbeitung">
    <w:name w:val="Revision"/>
    <w:hidden/>
    <w:uiPriority w:val="99"/>
    <w:semiHidden/>
    <w:rPr>
      <w:rFonts w:eastAsia="Calibri" w:cs="Calibri"/>
      <w:sz w:val="24"/>
    </w:rPr>
  </w:style>
  <w:style w:type="paragraph" w:styleId="Aufzhlungszeichen">
    <w:name w:val="List Bullet"/>
    <w:basedOn w:val="Standard"/>
    <w:semiHidden/>
    <w:pPr>
      <w:numPr>
        <w:numId w:val="3"/>
      </w:numPr>
      <w:spacing w:before="0" w:after="0" w:line="480" w:lineRule="auto"/>
      <w:contextualSpacing/>
    </w:pPr>
    <w:rPr>
      <w:rFonts w:ascii="Arial" w:eastAsia="Times New Roman" w:hAnsi="Arial" w:cs="Times New Roman"/>
      <w:sz w:val="20"/>
    </w:rPr>
  </w:style>
  <w:style w:type="paragraph" w:customStyle="1" w:styleId="SMHeading">
    <w:name w:val="SM Heading"/>
    <w:basedOn w:val="berschrift1"/>
    <w:qFormat/>
    <w:pPr>
      <w:keepNext/>
      <w:numPr>
        <w:numId w:val="0"/>
      </w:numPr>
      <w:tabs>
        <w:tab w:val="clear" w:pos="567"/>
      </w:tabs>
      <w:spacing w:after="60" w:line="480" w:lineRule="auto"/>
    </w:pPr>
    <w:rPr>
      <w:rFonts w:ascii="Arial" w:eastAsia="Times New Roman" w:hAnsi="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7683">
      <w:bodyDiv w:val="1"/>
      <w:marLeft w:val="0"/>
      <w:marRight w:val="0"/>
      <w:marTop w:val="0"/>
      <w:marBottom w:val="0"/>
      <w:divBdr>
        <w:top w:val="none" w:sz="0" w:space="0" w:color="auto"/>
        <w:left w:val="none" w:sz="0" w:space="0" w:color="auto"/>
        <w:bottom w:val="none" w:sz="0" w:space="0" w:color="auto"/>
        <w:right w:val="none" w:sz="0" w:space="0" w:color="auto"/>
      </w:divBdr>
      <w:divsChild>
        <w:div w:id="420372286">
          <w:marLeft w:val="0"/>
          <w:marRight w:val="0"/>
          <w:marTop w:val="0"/>
          <w:marBottom w:val="0"/>
          <w:divBdr>
            <w:top w:val="none" w:sz="0" w:space="0" w:color="auto"/>
            <w:left w:val="none" w:sz="0" w:space="0" w:color="auto"/>
            <w:bottom w:val="none" w:sz="0" w:space="0" w:color="auto"/>
            <w:right w:val="none" w:sz="0" w:space="0" w:color="auto"/>
          </w:divBdr>
          <w:divsChild>
            <w:div w:id="1760784279">
              <w:marLeft w:val="0"/>
              <w:marRight w:val="0"/>
              <w:marTop w:val="0"/>
              <w:marBottom w:val="0"/>
              <w:divBdr>
                <w:top w:val="none" w:sz="0" w:space="0" w:color="auto"/>
                <w:left w:val="none" w:sz="0" w:space="0" w:color="auto"/>
                <w:bottom w:val="none" w:sz="0" w:space="0" w:color="auto"/>
                <w:right w:val="none" w:sz="0" w:space="0" w:color="auto"/>
              </w:divBdr>
              <w:divsChild>
                <w:div w:id="1828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7606">
      <w:bodyDiv w:val="1"/>
      <w:marLeft w:val="0"/>
      <w:marRight w:val="0"/>
      <w:marTop w:val="0"/>
      <w:marBottom w:val="0"/>
      <w:divBdr>
        <w:top w:val="none" w:sz="0" w:space="0" w:color="auto"/>
        <w:left w:val="none" w:sz="0" w:space="0" w:color="auto"/>
        <w:bottom w:val="none" w:sz="0" w:space="0" w:color="auto"/>
        <w:right w:val="none" w:sz="0" w:space="0" w:color="auto"/>
      </w:divBdr>
      <w:divsChild>
        <w:div w:id="546990231">
          <w:marLeft w:val="0"/>
          <w:marRight w:val="0"/>
          <w:marTop w:val="0"/>
          <w:marBottom w:val="0"/>
          <w:divBdr>
            <w:top w:val="none" w:sz="0" w:space="0" w:color="auto"/>
            <w:left w:val="none" w:sz="0" w:space="0" w:color="auto"/>
            <w:bottom w:val="none" w:sz="0" w:space="0" w:color="auto"/>
            <w:right w:val="none" w:sz="0" w:space="0" w:color="auto"/>
          </w:divBdr>
          <w:divsChild>
            <w:div w:id="1678190192">
              <w:marLeft w:val="0"/>
              <w:marRight w:val="0"/>
              <w:marTop w:val="0"/>
              <w:marBottom w:val="0"/>
              <w:divBdr>
                <w:top w:val="none" w:sz="0" w:space="0" w:color="auto"/>
                <w:left w:val="none" w:sz="0" w:space="0" w:color="auto"/>
                <w:bottom w:val="none" w:sz="0" w:space="0" w:color="auto"/>
                <w:right w:val="none" w:sz="0" w:space="0" w:color="auto"/>
              </w:divBdr>
              <w:divsChild>
                <w:div w:id="15223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6211">
      <w:bodyDiv w:val="1"/>
      <w:marLeft w:val="0"/>
      <w:marRight w:val="0"/>
      <w:marTop w:val="0"/>
      <w:marBottom w:val="0"/>
      <w:divBdr>
        <w:top w:val="none" w:sz="0" w:space="0" w:color="auto"/>
        <w:left w:val="none" w:sz="0" w:space="0" w:color="auto"/>
        <w:bottom w:val="none" w:sz="0" w:space="0" w:color="auto"/>
        <w:right w:val="none" w:sz="0" w:space="0" w:color="auto"/>
      </w:divBdr>
      <w:divsChild>
        <w:div w:id="960719829">
          <w:marLeft w:val="0"/>
          <w:marRight w:val="0"/>
          <w:marTop w:val="0"/>
          <w:marBottom w:val="0"/>
          <w:divBdr>
            <w:top w:val="none" w:sz="0" w:space="0" w:color="auto"/>
            <w:left w:val="none" w:sz="0" w:space="0" w:color="auto"/>
            <w:bottom w:val="none" w:sz="0" w:space="0" w:color="auto"/>
            <w:right w:val="none" w:sz="0" w:space="0" w:color="auto"/>
          </w:divBdr>
          <w:divsChild>
            <w:div w:id="1345784908">
              <w:marLeft w:val="0"/>
              <w:marRight w:val="0"/>
              <w:marTop w:val="0"/>
              <w:marBottom w:val="0"/>
              <w:divBdr>
                <w:top w:val="none" w:sz="0" w:space="0" w:color="auto"/>
                <w:left w:val="none" w:sz="0" w:space="0" w:color="auto"/>
                <w:bottom w:val="none" w:sz="0" w:space="0" w:color="auto"/>
                <w:right w:val="none" w:sz="0" w:space="0" w:color="auto"/>
              </w:divBdr>
              <w:divsChild>
                <w:div w:id="20795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4115">
      <w:bodyDiv w:val="1"/>
      <w:marLeft w:val="0"/>
      <w:marRight w:val="0"/>
      <w:marTop w:val="0"/>
      <w:marBottom w:val="0"/>
      <w:divBdr>
        <w:top w:val="none" w:sz="0" w:space="0" w:color="auto"/>
        <w:left w:val="none" w:sz="0" w:space="0" w:color="auto"/>
        <w:bottom w:val="none" w:sz="0" w:space="0" w:color="auto"/>
        <w:right w:val="none" w:sz="0" w:space="0" w:color="auto"/>
      </w:divBdr>
      <w:divsChild>
        <w:div w:id="1481269659">
          <w:marLeft w:val="0"/>
          <w:marRight w:val="0"/>
          <w:marTop w:val="0"/>
          <w:marBottom w:val="0"/>
          <w:divBdr>
            <w:top w:val="none" w:sz="0" w:space="0" w:color="auto"/>
            <w:left w:val="none" w:sz="0" w:space="0" w:color="auto"/>
            <w:bottom w:val="none" w:sz="0" w:space="0" w:color="auto"/>
            <w:right w:val="none" w:sz="0" w:space="0" w:color="auto"/>
          </w:divBdr>
          <w:divsChild>
            <w:div w:id="1657147278">
              <w:marLeft w:val="0"/>
              <w:marRight w:val="0"/>
              <w:marTop w:val="0"/>
              <w:marBottom w:val="0"/>
              <w:divBdr>
                <w:top w:val="none" w:sz="0" w:space="0" w:color="auto"/>
                <w:left w:val="none" w:sz="0" w:space="0" w:color="auto"/>
                <w:bottom w:val="none" w:sz="0" w:space="0" w:color="auto"/>
                <w:right w:val="none" w:sz="0" w:space="0" w:color="auto"/>
              </w:divBdr>
              <w:divsChild>
                <w:div w:id="12014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2017">
      <w:bodyDiv w:val="1"/>
      <w:marLeft w:val="0"/>
      <w:marRight w:val="0"/>
      <w:marTop w:val="0"/>
      <w:marBottom w:val="0"/>
      <w:divBdr>
        <w:top w:val="none" w:sz="0" w:space="0" w:color="auto"/>
        <w:left w:val="none" w:sz="0" w:space="0" w:color="auto"/>
        <w:bottom w:val="none" w:sz="0" w:space="0" w:color="auto"/>
        <w:right w:val="none" w:sz="0" w:space="0" w:color="auto"/>
      </w:divBdr>
      <w:divsChild>
        <w:div w:id="1884706465">
          <w:marLeft w:val="0"/>
          <w:marRight w:val="0"/>
          <w:marTop w:val="0"/>
          <w:marBottom w:val="0"/>
          <w:divBdr>
            <w:top w:val="none" w:sz="0" w:space="0" w:color="auto"/>
            <w:left w:val="none" w:sz="0" w:space="0" w:color="auto"/>
            <w:bottom w:val="none" w:sz="0" w:space="0" w:color="auto"/>
            <w:right w:val="none" w:sz="0" w:space="0" w:color="auto"/>
          </w:divBdr>
          <w:divsChild>
            <w:div w:id="1253319141">
              <w:marLeft w:val="0"/>
              <w:marRight w:val="0"/>
              <w:marTop w:val="0"/>
              <w:marBottom w:val="0"/>
              <w:divBdr>
                <w:top w:val="none" w:sz="0" w:space="0" w:color="auto"/>
                <w:left w:val="none" w:sz="0" w:space="0" w:color="auto"/>
                <w:bottom w:val="none" w:sz="0" w:space="0" w:color="auto"/>
                <w:right w:val="none" w:sz="0" w:space="0" w:color="auto"/>
              </w:divBdr>
              <w:divsChild>
                <w:div w:id="781996597">
                  <w:marLeft w:val="0"/>
                  <w:marRight w:val="0"/>
                  <w:marTop w:val="0"/>
                  <w:marBottom w:val="0"/>
                  <w:divBdr>
                    <w:top w:val="none" w:sz="0" w:space="0" w:color="auto"/>
                    <w:left w:val="none" w:sz="0" w:space="0" w:color="auto"/>
                    <w:bottom w:val="none" w:sz="0" w:space="0" w:color="auto"/>
                    <w:right w:val="none" w:sz="0" w:space="0" w:color="auto"/>
                  </w:divBdr>
                </w:div>
              </w:divsChild>
            </w:div>
            <w:div w:id="990140988">
              <w:marLeft w:val="0"/>
              <w:marRight w:val="0"/>
              <w:marTop w:val="0"/>
              <w:marBottom w:val="0"/>
              <w:divBdr>
                <w:top w:val="none" w:sz="0" w:space="0" w:color="auto"/>
                <w:left w:val="none" w:sz="0" w:space="0" w:color="auto"/>
                <w:bottom w:val="none" w:sz="0" w:space="0" w:color="auto"/>
                <w:right w:val="none" w:sz="0" w:space="0" w:color="auto"/>
              </w:divBdr>
              <w:divsChild>
                <w:div w:id="1356343974">
                  <w:marLeft w:val="0"/>
                  <w:marRight w:val="0"/>
                  <w:marTop w:val="0"/>
                  <w:marBottom w:val="0"/>
                  <w:divBdr>
                    <w:top w:val="none" w:sz="0" w:space="0" w:color="auto"/>
                    <w:left w:val="none" w:sz="0" w:space="0" w:color="auto"/>
                    <w:bottom w:val="none" w:sz="0" w:space="0" w:color="auto"/>
                    <w:right w:val="none" w:sz="0" w:space="0" w:color="auto"/>
                  </w:divBdr>
                </w:div>
              </w:divsChild>
            </w:div>
            <w:div w:id="1656179468">
              <w:marLeft w:val="0"/>
              <w:marRight w:val="0"/>
              <w:marTop w:val="0"/>
              <w:marBottom w:val="0"/>
              <w:divBdr>
                <w:top w:val="none" w:sz="0" w:space="0" w:color="auto"/>
                <w:left w:val="none" w:sz="0" w:space="0" w:color="auto"/>
                <w:bottom w:val="none" w:sz="0" w:space="0" w:color="auto"/>
                <w:right w:val="none" w:sz="0" w:space="0" w:color="auto"/>
              </w:divBdr>
              <w:divsChild>
                <w:div w:id="1269659649">
                  <w:marLeft w:val="0"/>
                  <w:marRight w:val="0"/>
                  <w:marTop w:val="0"/>
                  <w:marBottom w:val="0"/>
                  <w:divBdr>
                    <w:top w:val="none" w:sz="0" w:space="0" w:color="auto"/>
                    <w:left w:val="none" w:sz="0" w:space="0" w:color="auto"/>
                    <w:bottom w:val="none" w:sz="0" w:space="0" w:color="auto"/>
                    <w:right w:val="none" w:sz="0" w:space="0" w:color="auto"/>
                  </w:divBdr>
                </w:div>
              </w:divsChild>
            </w:div>
            <w:div w:id="1492327125">
              <w:marLeft w:val="0"/>
              <w:marRight w:val="0"/>
              <w:marTop w:val="0"/>
              <w:marBottom w:val="0"/>
              <w:divBdr>
                <w:top w:val="none" w:sz="0" w:space="0" w:color="auto"/>
                <w:left w:val="none" w:sz="0" w:space="0" w:color="auto"/>
                <w:bottom w:val="none" w:sz="0" w:space="0" w:color="auto"/>
                <w:right w:val="none" w:sz="0" w:space="0" w:color="auto"/>
              </w:divBdr>
              <w:divsChild>
                <w:div w:id="419521375">
                  <w:marLeft w:val="0"/>
                  <w:marRight w:val="0"/>
                  <w:marTop w:val="0"/>
                  <w:marBottom w:val="0"/>
                  <w:divBdr>
                    <w:top w:val="none" w:sz="0" w:space="0" w:color="auto"/>
                    <w:left w:val="none" w:sz="0" w:space="0" w:color="auto"/>
                    <w:bottom w:val="none" w:sz="0" w:space="0" w:color="auto"/>
                    <w:right w:val="none" w:sz="0" w:space="0" w:color="auto"/>
                  </w:divBdr>
                </w:div>
              </w:divsChild>
            </w:div>
            <w:div w:id="1830903949">
              <w:marLeft w:val="0"/>
              <w:marRight w:val="0"/>
              <w:marTop w:val="0"/>
              <w:marBottom w:val="0"/>
              <w:divBdr>
                <w:top w:val="none" w:sz="0" w:space="0" w:color="auto"/>
                <w:left w:val="none" w:sz="0" w:space="0" w:color="auto"/>
                <w:bottom w:val="none" w:sz="0" w:space="0" w:color="auto"/>
                <w:right w:val="none" w:sz="0" w:space="0" w:color="auto"/>
              </w:divBdr>
              <w:divsChild>
                <w:div w:id="1530678677">
                  <w:marLeft w:val="0"/>
                  <w:marRight w:val="0"/>
                  <w:marTop w:val="0"/>
                  <w:marBottom w:val="0"/>
                  <w:divBdr>
                    <w:top w:val="none" w:sz="0" w:space="0" w:color="auto"/>
                    <w:left w:val="none" w:sz="0" w:space="0" w:color="auto"/>
                    <w:bottom w:val="none" w:sz="0" w:space="0" w:color="auto"/>
                    <w:right w:val="none" w:sz="0" w:space="0" w:color="auto"/>
                  </w:divBdr>
                </w:div>
              </w:divsChild>
            </w:div>
            <w:div w:id="2133934046">
              <w:marLeft w:val="0"/>
              <w:marRight w:val="0"/>
              <w:marTop w:val="0"/>
              <w:marBottom w:val="0"/>
              <w:divBdr>
                <w:top w:val="none" w:sz="0" w:space="0" w:color="auto"/>
                <w:left w:val="none" w:sz="0" w:space="0" w:color="auto"/>
                <w:bottom w:val="none" w:sz="0" w:space="0" w:color="auto"/>
                <w:right w:val="none" w:sz="0" w:space="0" w:color="auto"/>
              </w:divBdr>
              <w:divsChild>
                <w:div w:id="486750595">
                  <w:marLeft w:val="0"/>
                  <w:marRight w:val="0"/>
                  <w:marTop w:val="0"/>
                  <w:marBottom w:val="0"/>
                  <w:divBdr>
                    <w:top w:val="none" w:sz="0" w:space="0" w:color="auto"/>
                    <w:left w:val="none" w:sz="0" w:space="0" w:color="auto"/>
                    <w:bottom w:val="none" w:sz="0" w:space="0" w:color="auto"/>
                    <w:right w:val="none" w:sz="0" w:space="0" w:color="auto"/>
                  </w:divBdr>
                </w:div>
              </w:divsChild>
            </w:div>
            <w:div w:id="2068993803">
              <w:marLeft w:val="0"/>
              <w:marRight w:val="0"/>
              <w:marTop w:val="0"/>
              <w:marBottom w:val="0"/>
              <w:divBdr>
                <w:top w:val="none" w:sz="0" w:space="0" w:color="auto"/>
                <w:left w:val="none" w:sz="0" w:space="0" w:color="auto"/>
                <w:bottom w:val="none" w:sz="0" w:space="0" w:color="auto"/>
                <w:right w:val="none" w:sz="0" w:space="0" w:color="auto"/>
              </w:divBdr>
              <w:divsChild>
                <w:div w:id="14374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34426">
      <w:bodyDiv w:val="1"/>
      <w:marLeft w:val="0"/>
      <w:marRight w:val="0"/>
      <w:marTop w:val="0"/>
      <w:marBottom w:val="0"/>
      <w:divBdr>
        <w:top w:val="none" w:sz="0" w:space="0" w:color="auto"/>
        <w:left w:val="none" w:sz="0" w:space="0" w:color="auto"/>
        <w:bottom w:val="none" w:sz="0" w:space="0" w:color="auto"/>
        <w:right w:val="none" w:sz="0" w:space="0" w:color="auto"/>
      </w:divBdr>
    </w:div>
    <w:div w:id="448940561">
      <w:bodyDiv w:val="1"/>
      <w:marLeft w:val="0"/>
      <w:marRight w:val="0"/>
      <w:marTop w:val="0"/>
      <w:marBottom w:val="0"/>
      <w:divBdr>
        <w:top w:val="none" w:sz="0" w:space="0" w:color="auto"/>
        <w:left w:val="none" w:sz="0" w:space="0" w:color="auto"/>
        <w:bottom w:val="none" w:sz="0" w:space="0" w:color="auto"/>
        <w:right w:val="none" w:sz="0" w:space="0" w:color="auto"/>
      </w:divBdr>
      <w:divsChild>
        <w:div w:id="985084282">
          <w:marLeft w:val="0"/>
          <w:marRight w:val="0"/>
          <w:marTop w:val="0"/>
          <w:marBottom w:val="0"/>
          <w:divBdr>
            <w:top w:val="none" w:sz="0" w:space="0" w:color="auto"/>
            <w:left w:val="none" w:sz="0" w:space="0" w:color="auto"/>
            <w:bottom w:val="none" w:sz="0" w:space="0" w:color="auto"/>
            <w:right w:val="none" w:sz="0" w:space="0" w:color="auto"/>
          </w:divBdr>
          <w:divsChild>
            <w:div w:id="2110929045">
              <w:marLeft w:val="0"/>
              <w:marRight w:val="0"/>
              <w:marTop w:val="0"/>
              <w:marBottom w:val="0"/>
              <w:divBdr>
                <w:top w:val="none" w:sz="0" w:space="0" w:color="auto"/>
                <w:left w:val="none" w:sz="0" w:space="0" w:color="auto"/>
                <w:bottom w:val="none" w:sz="0" w:space="0" w:color="auto"/>
                <w:right w:val="none" w:sz="0" w:space="0" w:color="auto"/>
              </w:divBdr>
              <w:divsChild>
                <w:div w:id="1012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38090">
      <w:bodyDiv w:val="1"/>
      <w:marLeft w:val="0"/>
      <w:marRight w:val="0"/>
      <w:marTop w:val="0"/>
      <w:marBottom w:val="0"/>
      <w:divBdr>
        <w:top w:val="none" w:sz="0" w:space="0" w:color="auto"/>
        <w:left w:val="none" w:sz="0" w:space="0" w:color="auto"/>
        <w:bottom w:val="none" w:sz="0" w:space="0" w:color="auto"/>
        <w:right w:val="none" w:sz="0" w:space="0" w:color="auto"/>
      </w:divBdr>
      <w:divsChild>
        <w:div w:id="1335034831">
          <w:marLeft w:val="0"/>
          <w:marRight w:val="0"/>
          <w:marTop w:val="0"/>
          <w:marBottom w:val="0"/>
          <w:divBdr>
            <w:top w:val="none" w:sz="0" w:space="0" w:color="auto"/>
            <w:left w:val="none" w:sz="0" w:space="0" w:color="auto"/>
            <w:bottom w:val="none" w:sz="0" w:space="0" w:color="auto"/>
            <w:right w:val="none" w:sz="0" w:space="0" w:color="auto"/>
          </w:divBdr>
          <w:divsChild>
            <w:div w:id="429744991">
              <w:marLeft w:val="0"/>
              <w:marRight w:val="0"/>
              <w:marTop w:val="0"/>
              <w:marBottom w:val="0"/>
              <w:divBdr>
                <w:top w:val="none" w:sz="0" w:space="0" w:color="auto"/>
                <w:left w:val="none" w:sz="0" w:space="0" w:color="auto"/>
                <w:bottom w:val="none" w:sz="0" w:space="0" w:color="auto"/>
                <w:right w:val="none" w:sz="0" w:space="0" w:color="auto"/>
              </w:divBdr>
              <w:divsChild>
                <w:div w:id="3820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1666">
      <w:bodyDiv w:val="1"/>
      <w:marLeft w:val="0"/>
      <w:marRight w:val="0"/>
      <w:marTop w:val="0"/>
      <w:marBottom w:val="0"/>
      <w:divBdr>
        <w:top w:val="none" w:sz="0" w:space="0" w:color="auto"/>
        <w:left w:val="none" w:sz="0" w:space="0" w:color="auto"/>
        <w:bottom w:val="none" w:sz="0" w:space="0" w:color="auto"/>
        <w:right w:val="none" w:sz="0" w:space="0" w:color="auto"/>
      </w:divBdr>
    </w:div>
    <w:div w:id="612632995">
      <w:bodyDiv w:val="1"/>
      <w:marLeft w:val="0"/>
      <w:marRight w:val="0"/>
      <w:marTop w:val="0"/>
      <w:marBottom w:val="0"/>
      <w:divBdr>
        <w:top w:val="none" w:sz="0" w:space="0" w:color="auto"/>
        <w:left w:val="none" w:sz="0" w:space="0" w:color="auto"/>
        <w:bottom w:val="none" w:sz="0" w:space="0" w:color="auto"/>
        <w:right w:val="none" w:sz="0" w:space="0" w:color="auto"/>
      </w:divBdr>
      <w:divsChild>
        <w:div w:id="1149247805">
          <w:marLeft w:val="0"/>
          <w:marRight w:val="0"/>
          <w:marTop w:val="0"/>
          <w:marBottom w:val="0"/>
          <w:divBdr>
            <w:top w:val="none" w:sz="0" w:space="0" w:color="auto"/>
            <w:left w:val="none" w:sz="0" w:space="0" w:color="auto"/>
            <w:bottom w:val="none" w:sz="0" w:space="0" w:color="auto"/>
            <w:right w:val="none" w:sz="0" w:space="0" w:color="auto"/>
          </w:divBdr>
          <w:divsChild>
            <w:div w:id="728922015">
              <w:marLeft w:val="0"/>
              <w:marRight w:val="0"/>
              <w:marTop w:val="0"/>
              <w:marBottom w:val="0"/>
              <w:divBdr>
                <w:top w:val="none" w:sz="0" w:space="0" w:color="auto"/>
                <w:left w:val="none" w:sz="0" w:space="0" w:color="auto"/>
                <w:bottom w:val="none" w:sz="0" w:space="0" w:color="auto"/>
                <w:right w:val="none" w:sz="0" w:space="0" w:color="auto"/>
              </w:divBdr>
              <w:divsChild>
                <w:div w:id="654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56836">
      <w:bodyDiv w:val="1"/>
      <w:marLeft w:val="0"/>
      <w:marRight w:val="0"/>
      <w:marTop w:val="0"/>
      <w:marBottom w:val="0"/>
      <w:divBdr>
        <w:top w:val="none" w:sz="0" w:space="0" w:color="auto"/>
        <w:left w:val="none" w:sz="0" w:space="0" w:color="auto"/>
        <w:bottom w:val="none" w:sz="0" w:space="0" w:color="auto"/>
        <w:right w:val="none" w:sz="0" w:space="0" w:color="auto"/>
      </w:divBdr>
      <w:divsChild>
        <w:div w:id="835530733">
          <w:marLeft w:val="0"/>
          <w:marRight w:val="0"/>
          <w:marTop w:val="0"/>
          <w:marBottom w:val="0"/>
          <w:divBdr>
            <w:top w:val="none" w:sz="0" w:space="0" w:color="auto"/>
            <w:left w:val="none" w:sz="0" w:space="0" w:color="auto"/>
            <w:bottom w:val="none" w:sz="0" w:space="0" w:color="auto"/>
            <w:right w:val="none" w:sz="0" w:space="0" w:color="auto"/>
          </w:divBdr>
          <w:divsChild>
            <w:div w:id="1767264593">
              <w:marLeft w:val="0"/>
              <w:marRight w:val="0"/>
              <w:marTop w:val="0"/>
              <w:marBottom w:val="0"/>
              <w:divBdr>
                <w:top w:val="none" w:sz="0" w:space="0" w:color="auto"/>
                <w:left w:val="none" w:sz="0" w:space="0" w:color="auto"/>
                <w:bottom w:val="none" w:sz="0" w:space="0" w:color="auto"/>
                <w:right w:val="none" w:sz="0" w:space="0" w:color="auto"/>
              </w:divBdr>
              <w:divsChild>
                <w:div w:id="1649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7158">
      <w:bodyDiv w:val="1"/>
      <w:marLeft w:val="0"/>
      <w:marRight w:val="0"/>
      <w:marTop w:val="0"/>
      <w:marBottom w:val="0"/>
      <w:divBdr>
        <w:top w:val="none" w:sz="0" w:space="0" w:color="auto"/>
        <w:left w:val="none" w:sz="0" w:space="0" w:color="auto"/>
        <w:bottom w:val="none" w:sz="0" w:space="0" w:color="auto"/>
        <w:right w:val="none" w:sz="0" w:space="0" w:color="auto"/>
      </w:divBdr>
      <w:divsChild>
        <w:div w:id="851068067">
          <w:marLeft w:val="0"/>
          <w:marRight w:val="0"/>
          <w:marTop w:val="0"/>
          <w:marBottom w:val="0"/>
          <w:divBdr>
            <w:top w:val="none" w:sz="0" w:space="0" w:color="auto"/>
            <w:left w:val="none" w:sz="0" w:space="0" w:color="auto"/>
            <w:bottom w:val="none" w:sz="0" w:space="0" w:color="auto"/>
            <w:right w:val="none" w:sz="0" w:space="0" w:color="auto"/>
          </w:divBdr>
          <w:divsChild>
            <w:div w:id="1712802189">
              <w:marLeft w:val="0"/>
              <w:marRight w:val="0"/>
              <w:marTop w:val="0"/>
              <w:marBottom w:val="0"/>
              <w:divBdr>
                <w:top w:val="none" w:sz="0" w:space="0" w:color="auto"/>
                <w:left w:val="none" w:sz="0" w:space="0" w:color="auto"/>
                <w:bottom w:val="none" w:sz="0" w:space="0" w:color="auto"/>
                <w:right w:val="none" w:sz="0" w:space="0" w:color="auto"/>
              </w:divBdr>
              <w:divsChild>
                <w:div w:id="17675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6450">
      <w:bodyDiv w:val="1"/>
      <w:marLeft w:val="0"/>
      <w:marRight w:val="0"/>
      <w:marTop w:val="0"/>
      <w:marBottom w:val="0"/>
      <w:divBdr>
        <w:top w:val="none" w:sz="0" w:space="0" w:color="auto"/>
        <w:left w:val="none" w:sz="0" w:space="0" w:color="auto"/>
        <w:bottom w:val="none" w:sz="0" w:space="0" w:color="auto"/>
        <w:right w:val="none" w:sz="0" w:space="0" w:color="auto"/>
      </w:divBdr>
      <w:divsChild>
        <w:div w:id="395275921">
          <w:marLeft w:val="0"/>
          <w:marRight w:val="0"/>
          <w:marTop w:val="0"/>
          <w:marBottom w:val="0"/>
          <w:divBdr>
            <w:top w:val="none" w:sz="0" w:space="0" w:color="auto"/>
            <w:left w:val="none" w:sz="0" w:space="0" w:color="auto"/>
            <w:bottom w:val="none" w:sz="0" w:space="0" w:color="auto"/>
            <w:right w:val="none" w:sz="0" w:space="0" w:color="auto"/>
          </w:divBdr>
          <w:divsChild>
            <w:div w:id="1511678306">
              <w:marLeft w:val="0"/>
              <w:marRight w:val="0"/>
              <w:marTop w:val="0"/>
              <w:marBottom w:val="0"/>
              <w:divBdr>
                <w:top w:val="none" w:sz="0" w:space="0" w:color="auto"/>
                <w:left w:val="none" w:sz="0" w:space="0" w:color="auto"/>
                <w:bottom w:val="none" w:sz="0" w:space="0" w:color="auto"/>
                <w:right w:val="none" w:sz="0" w:space="0" w:color="auto"/>
              </w:divBdr>
              <w:divsChild>
                <w:div w:id="7156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7056">
      <w:bodyDiv w:val="1"/>
      <w:marLeft w:val="0"/>
      <w:marRight w:val="0"/>
      <w:marTop w:val="0"/>
      <w:marBottom w:val="0"/>
      <w:divBdr>
        <w:top w:val="none" w:sz="0" w:space="0" w:color="auto"/>
        <w:left w:val="none" w:sz="0" w:space="0" w:color="auto"/>
        <w:bottom w:val="none" w:sz="0" w:space="0" w:color="auto"/>
        <w:right w:val="none" w:sz="0" w:space="0" w:color="auto"/>
      </w:divBdr>
    </w:div>
    <w:div w:id="1942950529">
      <w:bodyDiv w:val="1"/>
      <w:marLeft w:val="0"/>
      <w:marRight w:val="0"/>
      <w:marTop w:val="0"/>
      <w:marBottom w:val="0"/>
      <w:divBdr>
        <w:top w:val="none" w:sz="0" w:space="0" w:color="auto"/>
        <w:left w:val="none" w:sz="0" w:space="0" w:color="auto"/>
        <w:bottom w:val="none" w:sz="0" w:space="0" w:color="auto"/>
        <w:right w:val="none" w:sz="0" w:space="0" w:color="auto"/>
      </w:divBdr>
      <w:divsChild>
        <w:div w:id="167714878">
          <w:marLeft w:val="0"/>
          <w:marRight w:val="0"/>
          <w:marTop w:val="0"/>
          <w:marBottom w:val="0"/>
          <w:divBdr>
            <w:top w:val="none" w:sz="0" w:space="0" w:color="auto"/>
            <w:left w:val="none" w:sz="0" w:space="0" w:color="auto"/>
            <w:bottom w:val="none" w:sz="0" w:space="0" w:color="auto"/>
            <w:right w:val="none" w:sz="0" w:space="0" w:color="auto"/>
          </w:divBdr>
          <w:divsChild>
            <w:div w:id="1474373805">
              <w:marLeft w:val="0"/>
              <w:marRight w:val="0"/>
              <w:marTop w:val="0"/>
              <w:marBottom w:val="0"/>
              <w:divBdr>
                <w:top w:val="none" w:sz="0" w:space="0" w:color="auto"/>
                <w:left w:val="none" w:sz="0" w:space="0" w:color="auto"/>
                <w:bottom w:val="none" w:sz="0" w:space="0" w:color="auto"/>
                <w:right w:val="none" w:sz="0" w:space="0" w:color="auto"/>
              </w:divBdr>
              <w:divsChild>
                <w:div w:id="3890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49506">
      <w:bodyDiv w:val="1"/>
      <w:marLeft w:val="0"/>
      <w:marRight w:val="0"/>
      <w:marTop w:val="0"/>
      <w:marBottom w:val="0"/>
      <w:divBdr>
        <w:top w:val="none" w:sz="0" w:space="0" w:color="auto"/>
        <w:left w:val="none" w:sz="0" w:space="0" w:color="auto"/>
        <w:bottom w:val="none" w:sz="0" w:space="0" w:color="auto"/>
        <w:right w:val="none" w:sz="0" w:space="0" w:color="auto"/>
      </w:divBdr>
      <w:divsChild>
        <w:div w:id="949899543">
          <w:marLeft w:val="0"/>
          <w:marRight w:val="0"/>
          <w:marTop w:val="0"/>
          <w:marBottom w:val="0"/>
          <w:divBdr>
            <w:top w:val="none" w:sz="0" w:space="0" w:color="auto"/>
            <w:left w:val="none" w:sz="0" w:space="0" w:color="auto"/>
            <w:bottom w:val="none" w:sz="0" w:space="0" w:color="auto"/>
            <w:right w:val="none" w:sz="0" w:space="0" w:color="auto"/>
          </w:divBdr>
          <w:divsChild>
            <w:div w:id="541097771">
              <w:marLeft w:val="0"/>
              <w:marRight w:val="0"/>
              <w:marTop w:val="0"/>
              <w:marBottom w:val="0"/>
              <w:divBdr>
                <w:top w:val="none" w:sz="0" w:space="0" w:color="auto"/>
                <w:left w:val="none" w:sz="0" w:space="0" w:color="auto"/>
                <w:bottom w:val="none" w:sz="0" w:space="0" w:color="auto"/>
                <w:right w:val="none" w:sz="0" w:space="0" w:color="auto"/>
              </w:divBdr>
              <w:divsChild>
                <w:div w:id="10683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5657">
      <w:bodyDiv w:val="1"/>
      <w:marLeft w:val="0"/>
      <w:marRight w:val="0"/>
      <w:marTop w:val="0"/>
      <w:marBottom w:val="0"/>
      <w:divBdr>
        <w:top w:val="none" w:sz="0" w:space="0" w:color="auto"/>
        <w:left w:val="none" w:sz="0" w:space="0" w:color="auto"/>
        <w:bottom w:val="none" w:sz="0" w:space="0" w:color="auto"/>
        <w:right w:val="none" w:sz="0" w:space="0" w:color="auto"/>
      </w:divBdr>
      <w:divsChild>
        <w:div w:id="488251317">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0"/>
              <w:divBdr>
                <w:top w:val="none" w:sz="0" w:space="0" w:color="auto"/>
                <w:left w:val="none" w:sz="0" w:space="0" w:color="auto"/>
                <w:bottom w:val="none" w:sz="0" w:space="0" w:color="auto"/>
                <w:right w:val="none" w:sz="0" w:space="0" w:color="auto"/>
              </w:divBdr>
              <w:divsChild>
                <w:div w:id="12915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195A-DD1F-A645-B986-A54D0F92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2273</Characters>
  <Application>Microsoft Office Word</Application>
  <DocSecurity>0</DocSecurity>
  <Lines>22</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Marie</cp:lastModifiedBy>
  <cp:revision>7</cp:revision>
  <dcterms:created xsi:type="dcterms:W3CDTF">2021-02-24T21:59:00Z</dcterms:created>
  <dcterms:modified xsi:type="dcterms:W3CDTF">2021-03-07T20:00:00Z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https://csl.mendeley.com/styles/496823111/AnalyticalChemistryMH2</vt:lpwstr>
  </property>
  <property fmtid="{D5CDD505-2E9C-101B-9397-08002B2CF9AE}" pid="3" name="Mendeley Recent Style Name 0_1">
    <vt:lpwstr>American Chemical Society - Marie Hopp</vt:lpwstr>
  </property>
  <property fmtid="{D5CDD505-2E9C-101B-9397-08002B2CF9AE}" pid="4" name="Mendeley Recent Style Id 1_1">
    <vt:lpwstr>http://csl.mendeley.com/styles/614551191/DissMH-2</vt:lpwstr>
  </property>
  <property fmtid="{D5CDD505-2E9C-101B-9397-08002B2CF9AE}" pid="5" name="Mendeley Recent Style Name 1_1">
    <vt:lpwstr>American Chemical Society - Marie-Thérèse Hopp</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http://www.zotero.org/styles/analytical-chemistry</vt:lpwstr>
  </property>
  <property fmtid="{D5CDD505-2E9C-101B-9397-08002B2CF9AE}" pid="9" name="Mendeley Recent Style Name 3_1">
    <vt:lpwstr>Analytical Chemistry</vt:lpwstr>
  </property>
  <property fmtid="{D5CDD505-2E9C-101B-9397-08002B2CF9AE}" pid="10" name="Mendeley Recent Style Id 4_1">
    <vt:lpwstr>http://www.zotero.org/styles/antioxidants-and-redox-signaling</vt:lpwstr>
  </property>
  <property fmtid="{D5CDD505-2E9C-101B-9397-08002B2CF9AE}" pid="11" name="Mendeley Recent Style Name 4_1">
    <vt:lpwstr>Antioxidants &amp; Redox Signaling</vt:lpwstr>
  </property>
  <property fmtid="{D5CDD505-2E9C-101B-9397-08002B2CF9AE}" pid="12" name="Mendeley Recent Style Id 5_1">
    <vt:lpwstr>http://www.zotero.org/styles/bioinformatics</vt:lpwstr>
  </property>
  <property fmtid="{D5CDD505-2E9C-101B-9397-08002B2CF9AE}" pid="13" name="Mendeley Recent Style Name 5_1">
    <vt:lpwstr>Bioinformatics</vt:lpwstr>
  </property>
  <property fmtid="{D5CDD505-2E9C-101B-9397-08002B2CF9AE}" pid="14" name="Mendeley Recent Style Id 6_1">
    <vt:lpwstr>http://www.zotero.org/styles/biomolecules</vt:lpwstr>
  </property>
  <property fmtid="{D5CDD505-2E9C-101B-9397-08002B2CF9AE}" pid="15" name="Mendeley Recent Style Name 6_1">
    <vt:lpwstr>Biomolecules</vt:lpwstr>
  </property>
  <property fmtid="{D5CDD505-2E9C-101B-9397-08002B2CF9AE}" pid="16" name="Mendeley Recent Style Id 7_1">
    <vt:lpwstr>http://csl.mendeley.com/styles/496823111/BLOOD-AMA</vt:lpwstr>
  </property>
  <property fmtid="{D5CDD505-2E9C-101B-9397-08002B2CF9AE}" pid="17" name="Mendeley Recent Style Name 7_1">
    <vt:lpwstr>Blood AMA</vt:lpwstr>
  </property>
  <property fmtid="{D5CDD505-2E9C-101B-9397-08002B2CF9AE}" pid="18" name="Mendeley Recent Style Id 8_1">
    <vt:lpwstr>http://www.zotero.org/styles/frontiers-in-molecular-biosciences</vt:lpwstr>
  </property>
  <property fmtid="{D5CDD505-2E9C-101B-9397-08002B2CF9AE}" pid="19" name="Mendeley Recent Style Name 8_1">
    <vt:lpwstr>Frontiers in Molecular Biosciences</vt:lpwstr>
  </property>
  <property fmtid="{D5CDD505-2E9C-101B-9397-08002B2CF9AE}" pid="20" name="Mendeley Recent Style Id 9_1">
    <vt:lpwstr>http://www.zotero.org/styles/journal-of-clinical-medicine</vt:lpwstr>
  </property>
  <property fmtid="{D5CDD505-2E9C-101B-9397-08002B2CF9AE}" pid="21" name="Mendeley Recent Style Name 9_1">
    <vt:lpwstr>Journal of Clinical Medicine</vt:lpwstr>
  </property>
  <property fmtid="{D5CDD505-2E9C-101B-9397-08002B2CF9AE}" pid="22" name="Mendeley Citation Style_1">
    <vt:lpwstr>http://www.zotero.org/styles/bioinformatics</vt:lpwstr>
  </property>
  <property fmtid="{D5CDD505-2E9C-101B-9397-08002B2CF9AE}" pid="23" name="Mendeley Document_1">
    <vt:lpwstr>True</vt:lpwstr>
  </property>
  <property fmtid="{D5CDD505-2E9C-101B-9397-08002B2CF9AE}" pid="24" name="Mendeley Unique User Id_1">
    <vt:lpwstr>005fdc8f-b585-303a-b37f-5d8cbe871864</vt:lpwstr>
  </property>
</Properties>
</file>