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</w:pP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Table 3. F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inal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eastAsia="zh-CN" w:bidi="ar"/>
        </w:rPr>
        <w:t>competencies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 in 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 xml:space="preserve">the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c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ompetency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m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odel for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g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 xml:space="preserve">eneral </w:t>
      </w:r>
      <w:r>
        <w:rPr>
          <w:rFonts w:hint="eastAsia" w:ascii="Times New Roman" w:hAnsi="Times New Roman" w:eastAsia="AdvOTf3919c9c . B" w:cs="Times New Roman"/>
          <w:color w:val="000000"/>
          <w:kern w:val="0"/>
          <w:szCs w:val="21"/>
          <w:lang w:bidi="ar"/>
        </w:rPr>
        <w:t>p</w:t>
      </w:r>
      <w:r>
        <w:rPr>
          <w:rFonts w:ascii="Times New Roman" w:hAnsi="Times New Roman" w:eastAsia="AdvOTf3919c9c . B" w:cs="Times New Roman"/>
          <w:color w:val="000000"/>
          <w:kern w:val="0"/>
          <w:szCs w:val="21"/>
          <w:lang w:bidi="ar"/>
        </w:rPr>
        <w:t>ractitioners</w:t>
      </w:r>
      <w:r>
        <w:rPr>
          <w:rFonts w:hint="eastAsia" w:ascii="Times New Roman" w:hAnsi="Times New Roman" w:eastAsia="宋体" w:cs="Times New Roman"/>
          <w:color w:val="000000"/>
          <w:kern w:val="0"/>
          <w:szCs w:val="21"/>
          <w:lang w:val="en-US" w:eastAsia="zh-CN" w:bidi="ar"/>
        </w:rPr>
        <w:t xml:space="preserve"> in China</w:t>
      </w:r>
    </w:p>
    <w:tbl>
      <w:tblPr>
        <w:tblStyle w:val="2"/>
        <w:tblW w:w="4927" w:type="pct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9"/>
        <w:gridCol w:w="594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458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AdvOTf3919c9c . B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AdvOTf3919c9c . B" w:cs="Times New Roman"/>
                <w:color w:val="000000"/>
                <w:kern w:val="0"/>
                <w:sz w:val="21"/>
                <w:szCs w:val="21"/>
                <w:lang w:bidi="ar"/>
              </w:rPr>
              <w:t>Domains</w:t>
            </w:r>
          </w:p>
        </w:tc>
        <w:tc>
          <w:tcPr>
            <w:tcW w:w="3541" w:type="pct"/>
            <w:tcBorders>
              <w:top w:val="single" w:color="auto" w:sz="4" w:space="0"/>
              <w:left w:val="nil"/>
              <w:bottom w:val="single" w:color="auto" w:sz="4" w:space="0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C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ompetencies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</w:trPr>
        <w:tc>
          <w:tcPr>
            <w:tcW w:w="1458" w:type="pct"/>
            <w:vMerge w:val="restart"/>
            <w:tcBorders>
              <w:top w:val="single" w:color="auto" w:sz="4" w:space="0"/>
              <w:left w:val="nil"/>
            </w:tcBorders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dvOTf3919c9c . B" w:cs="Times New Roman"/>
                <w:color w:val="000000"/>
                <w:kern w:val="0"/>
                <w:sz w:val="21"/>
                <w:szCs w:val="21"/>
                <w:lang w:bidi="ar"/>
              </w:rPr>
              <w:t>Knowledge and skills</w:t>
            </w:r>
          </w:p>
        </w:tc>
        <w:tc>
          <w:tcPr>
            <w:tcW w:w="3541" w:type="pct"/>
            <w:tcBorders>
              <w:top w:val="single" w:color="auto" w:sz="4" w:space="0"/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1.1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in-depth knowledge of clinical medicine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1.2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in-depth knowledge of general practice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1.3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in-dept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 w:val="21"/>
                <w:szCs w:val="21"/>
              </w:rPr>
              <w:t>h knowledge of public health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1.4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Be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in-depth knowledge of rehabilitation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1.5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in-depth knowledge of psychology and sociology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1.6 Be equipped with the skill of history taking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1.7 Be equipped with the skill of physical examination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1.8 Interpret basic clinical tests and images correctly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1.9 Be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equipped with the skill of clinical operation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1.10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Use electronic health record system effectively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58" w:type="pct"/>
            <w:vMerge w:val="restart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Patient care</w:t>
            </w: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2.1 Manage diseases at early stage presenting in an undifferentiated way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2.2 Manage simultaneously multiple complaints, both acute and chronic health problems in the individual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2.3 Manage emergency condition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2.4 Arrange referral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to specialists when necessary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2.5 Ensure patient safety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2.6 Provide advice of rehabilitation when necessary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2.7 Sign contracts with patients and provide continuous service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2.8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Provide 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ome visit and follow-up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2.9 Provide h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ome care when necessary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458" w:type="pct"/>
            <w:vMerge w:val="restart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Basic public health services</w:t>
            </w: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3.1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Organize health education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3.2 Provide preventive care by vaccination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3.3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Establish and manage the health files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3.4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Manage the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care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of special population in the community (elderly, women, children, disabled, patients with mental illness)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3.5 Undertake the continuing management of chronic health problems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3.6 Identify and manage public health emergencies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1458" w:type="pct"/>
            <w:vMerge w:val="restart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Communication</w:t>
            </w:r>
          </w:p>
        </w:tc>
        <w:tc>
          <w:tcPr>
            <w:tcW w:w="3541" w:type="pct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>4.1 Listen carefully to patients and be empathy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58" w:type="pct"/>
            <w:vMerge w:val="continue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>4.2 Explain things clearly and check for patient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and famil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ies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understanding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>3 Discuss with patient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and famil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ies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about 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 xml:space="preserve">their 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>health condition and thoughts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>4.4 Propose treatment plan to patient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and famil</w:t>
            </w: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  <w:t>ies</w:t>
            </w:r>
            <w:r>
              <w:rPr>
                <w:rFonts w:hint="default" w:ascii="Times New Roman" w:hAnsi="Times New Roman" w:eastAsia="AdvPSTIM10-R" w:cs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4.5 Engage patient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and famil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ies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 m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ak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ing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decision of therapy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plan that reflect the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their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need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, value and goal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4.6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Communicate effectively with colleagues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4.7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Communicate effectively with stuffs in other institutions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restart"/>
            <w:vAlign w:val="top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Teamwork</w:t>
            </w:r>
          </w:p>
        </w:tc>
        <w:tc>
          <w:tcPr>
            <w:tcW w:w="3541" w:type="pct"/>
            <w:vAlign w:val="top"/>
          </w:tcPr>
          <w:p>
            <w:pPr>
              <w:widowControl/>
              <w:jc w:val="left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.1 Collaborate with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the members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in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 GP team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5.2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Collaborate with 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 xml:space="preserve">other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colleagues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5.3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Collaborate with stuffs in other institutions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5.4 Allocate resources of the institution for optimal patient care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5.5 Demonstrate collaborative leadership in professional practice to enhance health care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5.6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ncourage community personnel and social resources to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help with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community health services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restart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Professionalism</w:t>
            </w: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6.1 A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dhere to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 xml:space="preserve"> the medical rules and regulations strictly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6.2 Demonstrate a commitment to patients through clinical excellence and high ethical standards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6.3 A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dhere to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patients’ right to know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6.4 A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dhere to confidentiality and privacy principles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6.5 </w:t>
            </w:r>
            <w:r>
              <w:rPr>
                <w:rFonts w:hint="default" w:ascii="Times New Roman" w:hAnsi="Times New Roman" w:cs="Times New Roman"/>
                <w:color w:val="000000"/>
                <w:sz w:val="21"/>
                <w:szCs w:val="21"/>
              </w:rPr>
              <w:t>Have the sense of responsibility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6.6 Self-adjust in the face of challenges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restart"/>
            <w:vAlign w:val="top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Education, learning and research</w:t>
            </w: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7.1 Teach students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7.2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e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ngage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 practice-based learning and development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7.3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Be e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ngage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in the continuous enhancement of their professional activities through ongoing learning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7.4 Demonstrate an understanding of the scientific principles of research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7.5 Search, navigate, and evaluate resources and clinical practice guidelines that are relevant to general practice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58" w:type="pct"/>
            <w:vMerge w:val="continue"/>
            <w:vAlign w:val="top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541" w:type="pct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7.6 Participate in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or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 conduct researches in general practice</w:t>
            </w:r>
          </w:p>
        </w:tc>
      </w:tr>
    </w:tbl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>
      <w:pPr>
        <w:rPr>
          <w:rFonts w:ascii="Times New Roman" w:hAnsi="Times New Roman" w:eastAsia="AdvOT3b30f6db . B" w:cs="Times New Roman"/>
          <w:b/>
          <w:bCs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dvOTf3919c9c . B">
    <w:altName w:val="Anonymou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PSTIM10-R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vOT3b30f6db . B">
    <w:altName w:val="Calibri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onymous">
    <w:panose1 w:val="02000409000000000000"/>
    <w:charset w:val="00"/>
    <w:family w:val="auto"/>
    <w:pitch w:val="default"/>
    <w:sig w:usb0="80000007" w:usb1="00000000" w:usb2="00000000" w:usb3="00000000" w:csb0="2000011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C026C8"/>
    <w:multiLevelType w:val="singleLevel"/>
    <w:tmpl w:val="89C026C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82AE5"/>
    <w:rsid w:val="61882AE5"/>
    <w:rsid w:val="64C275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2021-03-04T05:14:00Z</dcterms:created>
  <dc:creator>Wei Y</dc:creator>
  <cp:lastModifiedBy>Wei Y</cp:lastModifiedBy>
  <dcterms:modified xsi:type="dcterms:W3CDTF">2021-03-04T05:45:27Z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