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297"/>
        <w:tblW w:w="101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28"/>
        <w:gridCol w:w="1928"/>
        <w:gridCol w:w="1928"/>
        <w:gridCol w:w="993"/>
      </w:tblGrid>
      <w:tr w:rsidR="00C24ED1" w:rsidRPr="008D0984" w14:paraId="406A0822" w14:textId="77777777" w:rsidTr="00C24ED1">
        <w:trPr>
          <w:trHeight w:val="13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35950" w14:textId="77777777" w:rsidR="00440F01" w:rsidRPr="008D0984" w:rsidRDefault="00440F01" w:rsidP="00C24ED1">
            <w:pPr>
              <w:wordWrap/>
              <w:contextualSpacing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2EE7" w14:textId="77777777" w:rsidR="00440F01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ll </w:t>
            </w:r>
            <w:r>
              <w:rPr>
                <w:rFonts w:ascii="Times New Roman" w:hAnsi="Times New Roman" w:cs="Times New Roman"/>
                <w:b/>
                <w:szCs w:val="20"/>
              </w:rPr>
              <w:t>AAV patients</w:t>
            </w:r>
          </w:p>
          <w:p w14:paraId="1092096C" w14:textId="77777777" w:rsidR="00440F01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(N=167)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1BDF" w14:textId="77777777" w:rsidR="00440F01" w:rsidRPr="008D0984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AAV patients with AIP &lt; 0.11</w:t>
            </w:r>
            <w:r w:rsidR="00C24ED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(N=115)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A1739" w14:textId="77777777" w:rsidR="00C24ED1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AAV patients with</w:t>
            </w:r>
          </w:p>
          <w:p w14:paraId="6C19BE0C" w14:textId="77777777" w:rsidR="00440F01" w:rsidRPr="008D0984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AIP </w:t>
            </w:r>
            <w:r>
              <w:rPr>
                <w:rFonts w:ascii="Times New Roman" w:hAnsi="Times New Roman" w:cs="Times New Roman"/>
                <w:b/>
                <w:szCs w:val="20"/>
              </w:rPr>
              <w:t>≥ 0.11</w:t>
            </w:r>
            <w:r w:rsidR="00C24ED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(N=52)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B21E" w14:textId="77777777" w:rsidR="00440F01" w:rsidRPr="008D0984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45E7A">
              <w:rPr>
                <w:rFonts w:ascii="Times New Roman" w:hAnsi="Times New Roman" w:cs="Times New Roman" w:hint="eastAsia"/>
                <w:b/>
                <w:i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-value</w:t>
            </w:r>
          </w:p>
        </w:tc>
      </w:tr>
      <w:tr w:rsidR="00C24ED1" w:rsidRPr="008D0984" w14:paraId="07A9C645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3EC6D505" w14:textId="77777777" w:rsidR="00C24ED1" w:rsidRDefault="00440F01" w:rsidP="00C24ED1">
            <w:pPr>
              <w:wordWrap/>
              <w:contextualSpacing/>
              <w:rPr>
                <w:rFonts w:ascii="Times New Roman" w:eastAsia="맑은 고딕" w:hAnsi="Times New Roman" w:cs="Times New Roman"/>
                <w:b/>
                <w:szCs w:val="20"/>
              </w:rPr>
            </w:pPr>
            <w:r w:rsidRPr="00E61A93">
              <w:rPr>
                <w:rFonts w:ascii="Times New Roman" w:eastAsia="맑은 고딕" w:hAnsi="Times New Roman" w:cs="Times New Roman"/>
                <w:b/>
                <w:szCs w:val="20"/>
              </w:rPr>
              <w:t xml:space="preserve">Medications administered during </w:t>
            </w:r>
          </w:p>
          <w:p w14:paraId="6CE70465" w14:textId="77777777" w:rsidR="00440F01" w:rsidRPr="00E61A93" w:rsidRDefault="00440F01" w:rsidP="00C24ED1">
            <w:pPr>
              <w:wordWrap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E61A93">
              <w:rPr>
                <w:rFonts w:ascii="Times New Roman" w:eastAsia="맑은 고딕" w:hAnsi="Times New Roman" w:cs="Times New Roman"/>
                <w:b/>
                <w:szCs w:val="20"/>
              </w:rPr>
              <w:t>follow-up (N, (%))</w:t>
            </w:r>
          </w:p>
        </w:tc>
        <w:tc>
          <w:tcPr>
            <w:tcW w:w="1928" w:type="dxa"/>
            <w:vAlign w:val="center"/>
          </w:tcPr>
          <w:p w14:paraId="75A07FE3" w14:textId="77777777" w:rsidR="00440F01" w:rsidRPr="00A54C40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9572891" w14:textId="77777777" w:rsidR="00440F01" w:rsidRPr="00A54C40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FBC1B52" w14:textId="77777777" w:rsidR="00440F01" w:rsidRPr="00A54C40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70C7B2" w14:textId="77777777" w:rsidR="00440F01" w:rsidRPr="00A54C40" w:rsidRDefault="00440F01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4ED1" w:rsidRPr="008D0984" w14:paraId="480D6A54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1727E6F0" w14:textId="77777777" w:rsidR="000E663F" w:rsidRPr="00E61A93" w:rsidRDefault="000E663F" w:rsidP="00C24ED1">
            <w:pPr>
              <w:wordWrap/>
              <w:contextualSpacing/>
              <w:rPr>
                <w:rFonts w:ascii="Times New Roman" w:hAnsi="Times New Roman" w:cs="Times New Roman"/>
                <w:szCs w:val="20"/>
              </w:rPr>
            </w:pPr>
            <w:r w:rsidRPr="00E61A9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E61A93">
              <w:rPr>
                <w:rFonts w:ascii="Times New Roman" w:eastAsia="맑은 고딕" w:hAnsi="Times New Roman" w:cs="Times New Roman"/>
                <w:szCs w:val="20"/>
              </w:rPr>
              <w:t>Glucocorticoid</w:t>
            </w:r>
          </w:p>
        </w:tc>
        <w:tc>
          <w:tcPr>
            <w:tcW w:w="1928" w:type="dxa"/>
            <w:vAlign w:val="center"/>
          </w:tcPr>
          <w:p w14:paraId="70D33C8F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Cs w:val="20"/>
              </w:rPr>
              <w:t>5 (92.8)</w:t>
            </w:r>
          </w:p>
        </w:tc>
        <w:tc>
          <w:tcPr>
            <w:tcW w:w="1928" w:type="dxa"/>
            <w:vAlign w:val="center"/>
          </w:tcPr>
          <w:p w14:paraId="72C71CB4" w14:textId="77777777" w:rsidR="000E663F" w:rsidRPr="00A54C40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04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(90.4)</w:t>
            </w:r>
          </w:p>
        </w:tc>
        <w:tc>
          <w:tcPr>
            <w:tcW w:w="1928" w:type="dxa"/>
            <w:vAlign w:val="center"/>
          </w:tcPr>
          <w:p w14:paraId="5BA50ED0" w14:textId="77777777" w:rsidR="000E663F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51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(98.1)</w:t>
            </w:r>
          </w:p>
        </w:tc>
        <w:tc>
          <w:tcPr>
            <w:tcW w:w="993" w:type="dxa"/>
            <w:vAlign w:val="center"/>
          </w:tcPr>
          <w:p w14:paraId="66363147" w14:textId="77777777" w:rsidR="000E663F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</w:t>
            </w:r>
            <w:r w:rsidR="006D7C3F">
              <w:rPr>
                <w:rFonts w:ascii="Times New Roman" w:hAnsi="Times New Roman" w:cs="Times New Roman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</w:tr>
      <w:tr w:rsidR="00C24ED1" w:rsidRPr="008D0984" w14:paraId="3F367367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45B4E3D2" w14:textId="77777777" w:rsidR="000E663F" w:rsidRPr="00E61A93" w:rsidRDefault="000E663F" w:rsidP="00C24ED1">
            <w:pPr>
              <w:wordWrap/>
              <w:contextualSpacing/>
              <w:rPr>
                <w:rFonts w:ascii="Times New Roman" w:hAnsi="Times New Roman" w:cs="Times New Roman"/>
                <w:szCs w:val="20"/>
              </w:rPr>
            </w:pPr>
            <w:r w:rsidRPr="00E61A9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E61A93">
              <w:rPr>
                <w:rFonts w:ascii="Times New Roman" w:eastAsia="맑은 고딕" w:hAnsi="Times New Roman" w:cs="Times New Roman"/>
                <w:szCs w:val="20"/>
              </w:rPr>
              <w:t>Cyclophosphamide</w:t>
            </w:r>
          </w:p>
        </w:tc>
        <w:tc>
          <w:tcPr>
            <w:tcW w:w="1928" w:type="dxa"/>
            <w:vAlign w:val="center"/>
          </w:tcPr>
          <w:p w14:paraId="4794B7D2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87 (52.1)</w:t>
            </w:r>
          </w:p>
        </w:tc>
        <w:tc>
          <w:tcPr>
            <w:tcW w:w="1928" w:type="dxa"/>
            <w:vAlign w:val="center"/>
          </w:tcPr>
          <w:p w14:paraId="2F5CC689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54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(47.0)</w:t>
            </w:r>
          </w:p>
        </w:tc>
        <w:tc>
          <w:tcPr>
            <w:tcW w:w="1928" w:type="dxa"/>
            <w:vAlign w:val="center"/>
          </w:tcPr>
          <w:p w14:paraId="1539480B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33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(63.5)</w:t>
            </w:r>
          </w:p>
        </w:tc>
        <w:tc>
          <w:tcPr>
            <w:tcW w:w="993" w:type="dxa"/>
            <w:vAlign w:val="center"/>
          </w:tcPr>
          <w:p w14:paraId="518D9268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0.048</w:t>
            </w:r>
          </w:p>
        </w:tc>
      </w:tr>
      <w:tr w:rsidR="00C24ED1" w:rsidRPr="008D0984" w14:paraId="16D6CC08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26F6052B" w14:textId="77777777" w:rsidR="000E663F" w:rsidRPr="00E61A93" w:rsidRDefault="000E663F" w:rsidP="00C24ED1">
            <w:pPr>
              <w:wordWrap/>
              <w:ind w:firstLineChars="100" w:firstLine="200"/>
              <w:contextualSpacing/>
              <w:rPr>
                <w:rFonts w:ascii="Times New Roman" w:hAnsi="Times New Roman" w:cs="Times New Roman"/>
                <w:szCs w:val="20"/>
              </w:rPr>
            </w:pPr>
            <w:r w:rsidRPr="00E61A93">
              <w:rPr>
                <w:rFonts w:ascii="Times New Roman" w:eastAsia="맑은 고딕" w:hAnsi="Times New Roman" w:cs="Times New Roman"/>
                <w:szCs w:val="20"/>
              </w:rPr>
              <w:t>Rituximab</w:t>
            </w:r>
          </w:p>
        </w:tc>
        <w:tc>
          <w:tcPr>
            <w:tcW w:w="1928" w:type="dxa"/>
            <w:vAlign w:val="center"/>
          </w:tcPr>
          <w:p w14:paraId="473118CA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29 (17.</w:t>
            </w:r>
            <w:r>
              <w:rPr>
                <w:rFonts w:ascii="Times New Roman" w:hAnsi="Times New Roman" w:cs="Times New Roman"/>
                <w:szCs w:val="20"/>
              </w:rPr>
              <w:t>4)</w:t>
            </w:r>
          </w:p>
        </w:tc>
        <w:tc>
          <w:tcPr>
            <w:tcW w:w="1928" w:type="dxa"/>
            <w:vAlign w:val="center"/>
          </w:tcPr>
          <w:p w14:paraId="4190D2E0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15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(13.0)</w:t>
            </w:r>
          </w:p>
        </w:tc>
        <w:tc>
          <w:tcPr>
            <w:tcW w:w="1928" w:type="dxa"/>
            <w:vAlign w:val="center"/>
          </w:tcPr>
          <w:p w14:paraId="6BF6BEE1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14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(26.9)</w:t>
            </w:r>
          </w:p>
        </w:tc>
        <w:tc>
          <w:tcPr>
            <w:tcW w:w="993" w:type="dxa"/>
            <w:vAlign w:val="center"/>
          </w:tcPr>
          <w:p w14:paraId="74059FF7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0.028</w:t>
            </w:r>
          </w:p>
        </w:tc>
      </w:tr>
      <w:tr w:rsidR="00C24ED1" w:rsidRPr="008D0984" w14:paraId="3082F2FF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495E07C7" w14:textId="77777777" w:rsidR="000E663F" w:rsidRPr="00E61A93" w:rsidRDefault="000E663F" w:rsidP="00C24ED1">
            <w:pPr>
              <w:wordWrap/>
              <w:ind w:firstLineChars="100" w:firstLine="200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E61A93">
              <w:rPr>
                <w:rFonts w:ascii="Times New Roman" w:eastAsia="맑은 고딕" w:hAnsi="Times New Roman" w:cs="Times New Roman"/>
                <w:szCs w:val="20"/>
              </w:rPr>
              <w:t>Azathioprine</w:t>
            </w:r>
          </w:p>
        </w:tc>
        <w:tc>
          <w:tcPr>
            <w:tcW w:w="1928" w:type="dxa"/>
            <w:vAlign w:val="center"/>
          </w:tcPr>
          <w:p w14:paraId="375D31F6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82 (49.1)</w:t>
            </w:r>
          </w:p>
        </w:tc>
        <w:tc>
          <w:tcPr>
            <w:tcW w:w="1928" w:type="dxa"/>
            <w:vAlign w:val="center"/>
          </w:tcPr>
          <w:p w14:paraId="0D528DF3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52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(45.2)</w:t>
            </w:r>
          </w:p>
        </w:tc>
        <w:tc>
          <w:tcPr>
            <w:tcW w:w="1928" w:type="dxa"/>
            <w:vAlign w:val="center"/>
          </w:tcPr>
          <w:p w14:paraId="331C661D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30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(57.7)</w:t>
            </w:r>
          </w:p>
        </w:tc>
        <w:tc>
          <w:tcPr>
            <w:tcW w:w="993" w:type="dxa"/>
            <w:vAlign w:val="center"/>
          </w:tcPr>
          <w:p w14:paraId="63864145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0.135</w:t>
            </w:r>
          </w:p>
        </w:tc>
      </w:tr>
      <w:tr w:rsidR="00C24ED1" w:rsidRPr="008D0984" w14:paraId="0692F01A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2AB0EEF0" w14:textId="77777777" w:rsidR="000E663F" w:rsidRPr="00E61A93" w:rsidRDefault="000E663F" w:rsidP="00C24ED1">
            <w:pPr>
              <w:wordWrap/>
              <w:contextualSpacing/>
              <w:rPr>
                <w:rFonts w:ascii="Times New Roman" w:hAnsi="Times New Roman" w:cs="Times New Roman"/>
                <w:szCs w:val="20"/>
              </w:rPr>
            </w:pPr>
            <w:r w:rsidRPr="00E61A9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E61A93">
              <w:rPr>
                <w:rFonts w:ascii="Times New Roman" w:eastAsia="맑은 고딕" w:hAnsi="Times New Roman" w:cs="Times New Roman"/>
                <w:szCs w:val="20"/>
              </w:rPr>
              <w:t>Mycophenolate mofetil</w:t>
            </w:r>
          </w:p>
        </w:tc>
        <w:tc>
          <w:tcPr>
            <w:tcW w:w="1928" w:type="dxa"/>
            <w:vAlign w:val="center"/>
          </w:tcPr>
          <w:p w14:paraId="60CB3FE8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22 (13.2)</w:t>
            </w:r>
          </w:p>
        </w:tc>
        <w:tc>
          <w:tcPr>
            <w:tcW w:w="1928" w:type="dxa"/>
            <w:vAlign w:val="center"/>
          </w:tcPr>
          <w:p w14:paraId="705F9580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13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(11.3)</w:t>
            </w:r>
          </w:p>
        </w:tc>
        <w:tc>
          <w:tcPr>
            <w:tcW w:w="1928" w:type="dxa"/>
            <w:vAlign w:val="center"/>
          </w:tcPr>
          <w:p w14:paraId="1DF730C2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(17.3)</w:t>
            </w:r>
          </w:p>
        </w:tc>
        <w:tc>
          <w:tcPr>
            <w:tcW w:w="993" w:type="dxa"/>
            <w:vAlign w:val="center"/>
          </w:tcPr>
          <w:p w14:paraId="2F1653A0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0.288</w:t>
            </w:r>
          </w:p>
        </w:tc>
      </w:tr>
      <w:tr w:rsidR="00C24ED1" w:rsidRPr="008D0984" w14:paraId="3BA863F9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4E11DA27" w14:textId="77777777" w:rsidR="000E663F" w:rsidRPr="00E61A93" w:rsidRDefault="000E663F" w:rsidP="00C24ED1">
            <w:pPr>
              <w:wordWrap/>
              <w:contextualSpacing/>
              <w:rPr>
                <w:rFonts w:ascii="Times New Roman" w:hAnsi="Times New Roman" w:cs="Times New Roman"/>
                <w:szCs w:val="20"/>
              </w:rPr>
            </w:pPr>
            <w:r w:rsidRPr="00E61A9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E61A93">
              <w:rPr>
                <w:rFonts w:ascii="Times New Roman" w:eastAsia="맑은 고딕" w:hAnsi="Times New Roman" w:cs="Times New Roman"/>
                <w:szCs w:val="20"/>
              </w:rPr>
              <w:t>Tacrolimus</w:t>
            </w:r>
          </w:p>
        </w:tc>
        <w:tc>
          <w:tcPr>
            <w:tcW w:w="1928" w:type="dxa"/>
            <w:vAlign w:val="center"/>
          </w:tcPr>
          <w:p w14:paraId="1DEAF9AA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11 (6.6)</w:t>
            </w:r>
          </w:p>
        </w:tc>
        <w:tc>
          <w:tcPr>
            <w:tcW w:w="1928" w:type="dxa"/>
            <w:vAlign w:val="center"/>
          </w:tcPr>
          <w:p w14:paraId="5A78AD06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(5.2)</w:t>
            </w:r>
          </w:p>
        </w:tc>
        <w:tc>
          <w:tcPr>
            <w:tcW w:w="1928" w:type="dxa"/>
            <w:vAlign w:val="center"/>
          </w:tcPr>
          <w:p w14:paraId="629296D8" w14:textId="77777777" w:rsidR="00AC3C5E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(9.6)</w:t>
            </w:r>
          </w:p>
        </w:tc>
        <w:tc>
          <w:tcPr>
            <w:tcW w:w="993" w:type="dxa"/>
            <w:vAlign w:val="center"/>
          </w:tcPr>
          <w:p w14:paraId="2CB1CA3D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0.289</w:t>
            </w:r>
          </w:p>
        </w:tc>
      </w:tr>
      <w:tr w:rsidR="00C24ED1" w:rsidRPr="008D0984" w14:paraId="16D69A53" w14:textId="77777777" w:rsidTr="00C24ED1">
        <w:trPr>
          <w:trHeight w:val="510"/>
        </w:trPr>
        <w:tc>
          <w:tcPr>
            <w:tcW w:w="3402" w:type="dxa"/>
            <w:vAlign w:val="center"/>
          </w:tcPr>
          <w:p w14:paraId="46100AD1" w14:textId="77777777" w:rsidR="000E663F" w:rsidRPr="00E61A93" w:rsidRDefault="000E663F" w:rsidP="00C24ED1">
            <w:pPr>
              <w:wordWrap/>
              <w:ind w:firstLineChars="100" w:firstLine="200"/>
              <w:contextualSpacing/>
              <w:rPr>
                <w:rFonts w:ascii="Times New Roman" w:hAnsi="Times New Roman" w:cs="Times New Roman"/>
                <w:szCs w:val="20"/>
              </w:rPr>
            </w:pPr>
            <w:r w:rsidRPr="00E61A93">
              <w:rPr>
                <w:rFonts w:ascii="Times New Roman" w:eastAsia="맑은 고딕" w:hAnsi="Times New Roman" w:cs="Times New Roman"/>
                <w:szCs w:val="20"/>
              </w:rPr>
              <w:t>Methotrexate</w:t>
            </w:r>
          </w:p>
        </w:tc>
        <w:tc>
          <w:tcPr>
            <w:tcW w:w="1928" w:type="dxa"/>
            <w:vAlign w:val="center"/>
          </w:tcPr>
          <w:p w14:paraId="707BD914" w14:textId="77777777" w:rsidR="000E663F" w:rsidRPr="00E61A93" w:rsidRDefault="000E66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12 (7.2)</w:t>
            </w:r>
          </w:p>
        </w:tc>
        <w:tc>
          <w:tcPr>
            <w:tcW w:w="1928" w:type="dxa"/>
            <w:vAlign w:val="center"/>
          </w:tcPr>
          <w:p w14:paraId="5A43B658" w14:textId="77777777" w:rsidR="000E663F" w:rsidRPr="00A54C40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(8.7)</w:t>
            </w:r>
          </w:p>
        </w:tc>
        <w:tc>
          <w:tcPr>
            <w:tcW w:w="1928" w:type="dxa"/>
            <w:vAlign w:val="center"/>
          </w:tcPr>
          <w:p w14:paraId="72B74554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 w:rsidR="00AC3C5E">
              <w:rPr>
                <w:rFonts w:ascii="Times New Roman" w:hAnsi="Times New Roman" w:cs="Times New Roman"/>
                <w:szCs w:val="20"/>
              </w:rPr>
              <w:t xml:space="preserve"> (3.8)</w:t>
            </w:r>
          </w:p>
        </w:tc>
        <w:tc>
          <w:tcPr>
            <w:tcW w:w="993" w:type="dxa"/>
            <w:vAlign w:val="center"/>
          </w:tcPr>
          <w:p w14:paraId="7BEB8EEA" w14:textId="77777777" w:rsidR="000E663F" w:rsidRDefault="006D7C3F" w:rsidP="00C24ED1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0.345</w:t>
            </w:r>
          </w:p>
        </w:tc>
      </w:tr>
    </w:tbl>
    <w:p w14:paraId="41EB2A9C" w14:textId="37870AEC" w:rsidR="00731CB5" w:rsidRDefault="007925CB" w:rsidP="00B77C03">
      <w:pPr>
        <w:wordWrap/>
        <w:spacing w:line="240" w:lineRule="auto"/>
        <w:contextualSpacing/>
        <w:jc w:val="left"/>
        <w:rPr>
          <w:rFonts w:ascii="Times New Roman" w:hAnsi="Times New Roman" w:cs="Times New Roman"/>
          <w:b/>
          <w:szCs w:val="20"/>
        </w:rPr>
      </w:pPr>
      <w:bookmarkStart w:id="0" w:name="_Hlk46052797"/>
      <w:r w:rsidRPr="007925CB">
        <w:rPr>
          <w:rFonts w:ascii="Times New Roman" w:hAnsi="Times New Roman" w:cs="Times New Roman"/>
          <w:b/>
          <w:bCs/>
          <w:szCs w:val="20"/>
          <w:lang w:val="en-GB"/>
        </w:rPr>
        <w:t xml:space="preserve">Additional </w:t>
      </w:r>
      <w:r w:rsidR="00171399">
        <w:rPr>
          <w:rFonts w:ascii="Times New Roman" w:hAnsi="Times New Roman" w:cs="Times New Roman"/>
          <w:b/>
          <w:bCs/>
          <w:szCs w:val="20"/>
          <w:lang w:val="en-GB"/>
        </w:rPr>
        <w:t>F</w:t>
      </w:r>
      <w:r w:rsidRPr="007925CB">
        <w:rPr>
          <w:rFonts w:ascii="Times New Roman" w:hAnsi="Times New Roman" w:cs="Times New Roman"/>
          <w:b/>
          <w:bCs/>
          <w:szCs w:val="20"/>
          <w:lang w:val="en-GB"/>
        </w:rPr>
        <w:t xml:space="preserve">ile </w:t>
      </w:r>
      <w:r w:rsidR="00171399">
        <w:rPr>
          <w:rFonts w:ascii="Times New Roman" w:hAnsi="Times New Roman" w:cs="Times New Roman"/>
          <w:b/>
          <w:bCs/>
          <w:szCs w:val="20"/>
          <w:lang w:val="en-GB"/>
        </w:rPr>
        <w:t>2</w:t>
      </w:r>
      <w:bookmarkStart w:id="1" w:name="_GoBack"/>
      <w:bookmarkEnd w:id="1"/>
      <w:r w:rsidR="00C24ED1" w:rsidRPr="00B77C03">
        <w:rPr>
          <w:rFonts w:ascii="Times New Roman" w:hAnsi="Times New Roman" w:cs="Times New Roman" w:hint="eastAsia"/>
          <w:b/>
          <w:szCs w:val="20"/>
        </w:rPr>
        <w:t xml:space="preserve">. Comparison </w:t>
      </w:r>
      <w:r w:rsidR="00C24ED1" w:rsidRPr="00B77C03">
        <w:rPr>
          <w:rFonts w:ascii="Times New Roman" w:hAnsi="Times New Roman" w:cs="Times New Roman"/>
          <w:b/>
          <w:szCs w:val="20"/>
        </w:rPr>
        <w:t>of medication usage</w:t>
      </w:r>
      <w:r w:rsidR="00B77C03">
        <w:rPr>
          <w:rFonts w:ascii="Times New Roman" w:hAnsi="Times New Roman" w:cs="Times New Roman"/>
          <w:b/>
          <w:szCs w:val="20"/>
        </w:rPr>
        <w:t xml:space="preserve"> between patients with AIP ≥ 0.11 and AIP &lt; 0.11 </w:t>
      </w:r>
      <w:r w:rsidR="00C24ED1" w:rsidRPr="00B77C03">
        <w:rPr>
          <w:rFonts w:ascii="Times New Roman" w:hAnsi="Times New Roman" w:cs="Times New Roman"/>
          <w:b/>
          <w:szCs w:val="20"/>
        </w:rPr>
        <w:t>during follow-up</w:t>
      </w:r>
      <w:bookmarkEnd w:id="0"/>
    </w:p>
    <w:p w14:paraId="61A7A7BD" w14:textId="1549E0DD" w:rsidR="00704A5B" w:rsidRPr="00B77C03" w:rsidRDefault="00B95F1E" w:rsidP="00B95F1E">
      <w:pPr>
        <w:wordWrap/>
        <w:spacing w:line="240" w:lineRule="auto"/>
        <w:contextualSpacing/>
        <w:jc w:val="lef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AIP: atherogenic index of plasma; </w:t>
      </w:r>
      <w:r>
        <w:rPr>
          <w:rFonts w:ascii="Times New Roman" w:hAnsi="Times New Roman" w:cs="Times New Roman" w:hint="eastAsia"/>
          <w:szCs w:val="20"/>
        </w:rPr>
        <w:t xml:space="preserve">AAV: </w:t>
      </w:r>
      <w:r>
        <w:rPr>
          <w:rFonts w:ascii="Times New Roman" w:hAnsi="Times New Roman" w:cs="Times New Roman"/>
          <w:szCs w:val="20"/>
        </w:rPr>
        <w:t>ANCA</w:t>
      </w:r>
      <w:r>
        <w:rPr>
          <w:rFonts w:ascii="Times New Roman" w:hAnsi="Times New Roman" w:cs="Times New Roman" w:hint="eastAsia"/>
          <w:szCs w:val="20"/>
        </w:rPr>
        <w:t xml:space="preserve">-associated vasculitis; </w:t>
      </w:r>
      <w:r>
        <w:rPr>
          <w:rFonts w:ascii="Times New Roman" w:hAnsi="Times New Roman" w:cs="Times New Roman"/>
          <w:szCs w:val="20"/>
        </w:rPr>
        <w:t xml:space="preserve">ANCA: </w:t>
      </w:r>
      <w:r>
        <w:rPr>
          <w:rFonts w:ascii="Times New Roman" w:hAnsi="Times New Roman" w:cs="Times New Roman" w:hint="eastAsia"/>
          <w:szCs w:val="20"/>
        </w:rPr>
        <w:t>antineutrophil cytoplasmic antibody</w:t>
      </w:r>
      <w:r>
        <w:rPr>
          <w:rFonts w:ascii="Times New Roman" w:hAnsi="Times New Roman" w:cs="Times New Roman"/>
          <w:szCs w:val="20"/>
        </w:rPr>
        <w:t xml:space="preserve">. </w:t>
      </w:r>
    </w:p>
    <w:sectPr w:rsidR="00704A5B" w:rsidRPr="00B77C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AE4A9B" w16cid:durableId="22BE33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BC6B" w14:textId="77777777" w:rsidR="006812B2" w:rsidRDefault="006812B2" w:rsidP="00C24ED1">
      <w:pPr>
        <w:spacing w:after="0" w:line="240" w:lineRule="auto"/>
      </w:pPr>
      <w:r>
        <w:separator/>
      </w:r>
    </w:p>
  </w:endnote>
  <w:endnote w:type="continuationSeparator" w:id="0">
    <w:p w14:paraId="278BBD2E" w14:textId="77777777" w:rsidR="006812B2" w:rsidRDefault="006812B2" w:rsidP="00C2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A5AE" w14:textId="77777777" w:rsidR="006812B2" w:rsidRDefault="006812B2" w:rsidP="00C24ED1">
      <w:pPr>
        <w:spacing w:after="0" w:line="240" w:lineRule="auto"/>
      </w:pPr>
      <w:r>
        <w:separator/>
      </w:r>
    </w:p>
  </w:footnote>
  <w:footnote w:type="continuationSeparator" w:id="0">
    <w:p w14:paraId="04248154" w14:textId="77777777" w:rsidR="006812B2" w:rsidRDefault="006812B2" w:rsidP="00C2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1"/>
    <w:rsid w:val="000467AB"/>
    <w:rsid w:val="000E663F"/>
    <w:rsid w:val="00171399"/>
    <w:rsid w:val="002A6CE7"/>
    <w:rsid w:val="002E533C"/>
    <w:rsid w:val="003912AB"/>
    <w:rsid w:val="00440F01"/>
    <w:rsid w:val="00471A12"/>
    <w:rsid w:val="0054487A"/>
    <w:rsid w:val="006416F8"/>
    <w:rsid w:val="00645E7A"/>
    <w:rsid w:val="006812B2"/>
    <w:rsid w:val="006D7C3F"/>
    <w:rsid w:val="00704A5B"/>
    <w:rsid w:val="007925CB"/>
    <w:rsid w:val="008F37AA"/>
    <w:rsid w:val="00991045"/>
    <w:rsid w:val="00A81251"/>
    <w:rsid w:val="00AC3C5E"/>
    <w:rsid w:val="00B77C03"/>
    <w:rsid w:val="00B95F1E"/>
    <w:rsid w:val="00C24ED1"/>
    <w:rsid w:val="00CD2703"/>
    <w:rsid w:val="00CD48FF"/>
    <w:rsid w:val="00E67FCC"/>
    <w:rsid w:val="00FA6638"/>
    <w:rsid w:val="00FB752B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BAD41"/>
  <w15:chartTrackingRefBased/>
  <w15:docId w15:val="{444EFB28-7BBE-4E46-832E-B5A3E65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4E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4ED1"/>
  </w:style>
  <w:style w:type="paragraph" w:styleId="a5">
    <w:name w:val="footer"/>
    <w:basedOn w:val="a"/>
    <w:link w:val="Char0"/>
    <w:uiPriority w:val="99"/>
    <w:unhideWhenUsed/>
    <w:rsid w:val="00C24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4ED1"/>
  </w:style>
  <w:style w:type="character" w:styleId="a6">
    <w:name w:val="annotation reference"/>
    <w:basedOn w:val="a0"/>
    <w:uiPriority w:val="99"/>
    <w:semiHidden/>
    <w:unhideWhenUsed/>
    <w:rsid w:val="0099104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91045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991045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91045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991045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9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99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안성수(류마티스내과)</dc:creator>
  <cp:keywords/>
  <dc:description/>
  <cp:lastModifiedBy>안성수(류마티스내과)</cp:lastModifiedBy>
  <cp:revision>17</cp:revision>
  <dcterms:created xsi:type="dcterms:W3CDTF">2020-07-07T03:34:00Z</dcterms:created>
  <dcterms:modified xsi:type="dcterms:W3CDTF">2020-07-22T04:49:00Z</dcterms:modified>
</cp:coreProperties>
</file>