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C1" w:rsidRDefault="005734C1" w:rsidP="005734C1">
      <w:pPr>
        <w:jc w:val="center"/>
      </w:pPr>
      <w:r>
        <w:rPr>
          <w:rFonts w:hint="eastAsia"/>
        </w:rPr>
        <w:t xml:space="preserve">Table S1.  </w:t>
      </w:r>
      <w:r w:rsidRPr="004E3EC5">
        <w:t>Statistical table of AO/EB staining numbers under different aluminum concentrations</w:t>
      </w:r>
    </w:p>
    <w:tbl>
      <w:tblPr>
        <w:tblW w:w="662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977"/>
      </w:tblGrid>
      <w:tr w:rsidR="005734C1" w:rsidRPr="00425EA0" w:rsidTr="009B0C6B">
        <w:trPr>
          <w:trHeight w:val="52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734C1" w:rsidRDefault="005734C1" w:rsidP="009B0C6B">
            <w:pPr>
              <w:jc w:val="center"/>
            </w:pPr>
            <w:r>
              <w:t>C</w:t>
            </w:r>
            <w:r>
              <w:rPr>
                <w:rFonts w:hint="eastAsia"/>
              </w:rPr>
              <w:t>oncentration</w:t>
            </w:r>
          </w:p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Times New Roman" w:hAnsi="Times New Roman"/>
                <w:lang w:val="en-GB"/>
              </w:rPr>
              <w:t>μg/ml)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t>N</w:t>
            </w:r>
            <w:r>
              <w:rPr>
                <w:rFonts w:hint="eastAsia"/>
              </w:rPr>
              <w:t>umber of green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t>N</w:t>
            </w:r>
            <w:r>
              <w:rPr>
                <w:rFonts w:hint="eastAsia"/>
              </w:rPr>
              <w:t>umber of red/orange</w:t>
            </w:r>
          </w:p>
        </w:tc>
      </w:tr>
      <w:tr w:rsidR="005734C1" w:rsidRPr="00425EA0" w:rsidTr="009B0C6B">
        <w:trPr>
          <w:trHeight w:val="416"/>
          <w:jc w:val="center"/>
        </w:trPr>
        <w:tc>
          <w:tcPr>
            <w:tcW w:w="1809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186.72</w:t>
            </w:r>
            <w:r w:rsidRPr="00623451">
              <w:rPr>
                <w:rFonts w:hint="eastAsia"/>
              </w:rPr>
              <w:t>±</w:t>
            </w:r>
            <w:r w:rsidRPr="00623451">
              <w:rPr>
                <w:rFonts w:hint="eastAsia"/>
              </w:rPr>
              <w:t>1</w:t>
            </w:r>
            <w:r>
              <w:rPr>
                <w:rFonts w:hint="eastAsia"/>
              </w:rPr>
              <w:t>4.77</w:t>
            </w:r>
            <w:r w:rsidRPr="00AF440C">
              <w:rPr>
                <w:rFonts w:hint="eastAsia"/>
                <w:vertAlign w:val="superscript"/>
              </w:rPr>
              <w:t>a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24.44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5.26</w:t>
            </w:r>
            <w:r w:rsidRPr="00AF440C">
              <w:rPr>
                <w:rFonts w:hint="eastAsia"/>
                <w:vertAlign w:val="superscript"/>
              </w:rPr>
              <w:t>b</w:t>
            </w:r>
          </w:p>
        </w:tc>
      </w:tr>
      <w:tr w:rsidR="005734C1" w:rsidRPr="00425EA0" w:rsidTr="009B0C6B">
        <w:trPr>
          <w:jc w:val="center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ascii="Times New Roman" w:hAnsi="Times New Roman" w:hint="eastAsia"/>
                <w:lang w:val="en-GB"/>
              </w:rPr>
              <w:t>0.45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141.84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19.71</w:t>
            </w:r>
            <w:r w:rsidRPr="00AF440C">
              <w:rPr>
                <w:rFonts w:hint="eastAsia"/>
                <w:vertAlign w:val="superscript"/>
              </w:rPr>
              <w:t>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64.50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11.57</w:t>
            </w:r>
            <w:r w:rsidRPr="00AF440C">
              <w:rPr>
                <w:rFonts w:hint="eastAsia"/>
                <w:vertAlign w:val="superscript"/>
              </w:rPr>
              <w:t>a</w:t>
            </w:r>
          </w:p>
        </w:tc>
      </w:tr>
      <w:tr w:rsidR="005734C1" w:rsidRPr="00425EA0" w:rsidTr="009B0C6B">
        <w:trPr>
          <w:jc w:val="center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0.9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99.78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9.04</w:t>
            </w:r>
            <w:r w:rsidRPr="00AF440C">
              <w:rPr>
                <w:rFonts w:hint="eastAsia"/>
                <w:vertAlign w:val="superscript"/>
              </w:rPr>
              <w:t>c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56.22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12.46</w:t>
            </w:r>
            <w:r w:rsidRPr="00AF440C">
              <w:rPr>
                <w:rFonts w:hint="eastAsia"/>
                <w:vertAlign w:val="superscript"/>
              </w:rPr>
              <w:t>a</w:t>
            </w:r>
          </w:p>
        </w:tc>
      </w:tr>
      <w:tr w:rsidR="005734C1" w:rsidRPr="00425EA0" w:rsidTr="009B0C6B">
        <w:trPr>
          <w:trHeight w:val="315"/>
          <w:jc w:val="center"/>
        </w:trPr>
        <w:tc>
          <w:tcPr>
            <w:tcW w:w="1809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2.25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18.61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8.49</w:t>
            </w:r>
            <w:r w:rsidRPr="00AF440C">
              <w:rPr>
                <w:rFonts w:hint="eastAsia"/>
                <w:vertAlign w:val="superscript"/>
              </w:rPr>
              <w:t>d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45.28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12.07</w:t>
            </w:r>
            <w:r w:rsidRPr="00AF440C">
              <w:rPr>
                <w:rFonts w:hint="eastAsia"/>
                <w:vertAlign w:val="superscript"/>
              </w:rPr>
              <w:t>ab</w:t>
            </w:r>
          </w:p>
        </w:tc>
      </w:tr>
    </w:tbl>
    <w:p w:rsidR="005734C1" w:rsidRPr="00545855" w:rsidRDefault="005734C1" w:rsidP="005734C1">
      <w:pPr>
        <w:rPr>
          <w:lang w:val="en-GB"/>
        </w:rPr>
      </w:pPr>
      <w:r>
        <w:rPr>
          <w:rFonts w:hint="eastAsia"/>
        </w:rPr>
        <w:t xml:space="preserve">         </w:t>
      </w:r>
      <w:r w:rsidRPr="00545855">
        <w:rPr>
          <w:rFonts w:hint="eastAsia"/>
        </w:rPr>
        <w:t xml:space="preserve"> </w:t>
      </w:r>
      <w:r w:rsidRPr="00545855">
        <w:rPr>
          <w:rFonts w:hint="eastAsia"/>
          <w:lang w:val="en-GB"/>
        </w:rPr>
        <w:t>Pick</w:t>
      </w:r>
      <w:r w:rsidRPr="00545855">
        <w:rPr>
          <w:lang w:val="en-GB"/>
        </w:rPr>
        <w:t xml:space="preserve"> six different positions for each hole (from top to bottom on the two sides of the axis of symmetry of each </w:t>
      </w:r>
    </w:p>
    <w:p w:rsidR="005734C1" w:rsidRPr="00545855" w:rsidRDefault="005734C1" w:rsidP="005734C1">
      <w:pPr>
        <w:ind w:firstLineChars="500" w:firstLine="1050"/>
        <w:rPr>
          <w:szCs w:val="21"/>
          <w:shd w:val="clear" w:color="auto" w:fill="FFFFFF"/>
        </w:rPr>
      </w:pPr>
      <w:r w:rsidRPr="00545855">
        <w:rPr>
          <w:lang w:val="en-GB"/>
        </w:rPr>
        <w:t>hole, a total of 6 points</w:t>
      </w:r>
      <w:r w:rsidRPr="00545855">
        <w:rPr>
          <w:rFonts w:hint="eastAsia"/>
          <w:lang w:val="en-GB"/>
        </w:rPr>
        <w:t>,</w:t>
      </w:r>
      <w:r w:rsidRPr="00545855">
        <w:rPr>
          <w:lang w:val="en-GB"/>
        </w:rPr>
        <w:t xml:space="preserve"> not near the edge of the hole) and count green, orange or red, respectively.</w:t>
      </w:r>
      <w:r w:rsidRPr="00545855">
        <w:rPr>
          <w:szCs w:val="21"/>
          <w:shd w:val="clear" w:color="auto" w:fill="FFFFFF"/>
        </w:rPr>
        <w:t xml:space="preserve"> A</w:t>
      </w:r>
      <w:r w:rsidRPr="00545855">
        <w:rPr>
          <w:rFonts w:hint="eastAsia"/>
          <w:szCs w:val="21"/>
          <w:shd w:val="clear" w:color="auto" w:fill="FFFFFF"/>
        </w:rPr>
        <w:t xml:space="preserve">bove is </w:t>
      </w:r>
    </w:p>
    <w:p w:rsidR="005734C1" w:rsidRDefault="005734C1" w:rsidP="005734C1">
      <w:pPr>
        <w:ind w:firstLineChars="500" w:firstLine="1050"/>
      </w:pPr>
      <w:r w:rsidRPr="00545855">
        <w:rPr>
          <w:rFonts w:hint="eastAsia"/>
          <w:szCs w:val="21"/>
          <w:shd w:val="clear" w:color="auto" w:fill="FFFFFF"/>
        </w:rPr>
        <w:t>the c</w:t>
      </w:r>
      <w:r w:rsidRPr="00545855">
        <w:rPr>
          <w:szCs w:val="21"/>
          <w:shd w:val="clear" w:color="auto" w:fill="FFFFFF"/>
        </w:rPr>
        <w:t xml:space="preserve">ount statistical results </w:t>
      </w:r>
      <w:r w:rsidRPr="00545855">
        <w:rPr>
          <w:rFonts w:hint="eastAsia"/>
        </w:rPr>
        <w:t>a</w:t>
      </w:r>
      <w:r w:rsidRPr="00545855">
        <w:t xml:space="preserve">, </w:t>
      </w:r>
      <w:r>
        <w:rPr>
          <w:rFonts w:hint="eastAsia"/>
        </w:rPr>
        <w:t>b</w:t>
      </w:r>
      <w:r w:rsidRPr="0043589A">
        <w:t xml:space="preserve">, </w:t>
      </w:r>
      <w:r>
        <w:rPr>
          <w:rFonts w:hint="eastAsia"/>
        </w:rPr>
        <w:t>c</w:t>
      </w:r>
      <w:r w:rsidRPr="0043589A">
        <w:t xml:space="preserve">, </w:t>
      </w:r>
      <w:r>
        <w:rPr>
          <w:rFonts w:hint="eastAsia"/>
        </w:rPr>
        <w:t>d</w:t>
      </w:r>
      <w:r w:rsidRPr="0043589A">
        <w:t xml:space="preserve"> in the </w:t>
      </w:r>
      <w:r>
        <w:rPr>
          <w:rFonts w:hint="eastAsia"/>
        </w:rPr>
        <w:t>second</w:t>
      </w:r>
      <w:r w:rsidRPr="0043589A">
        <w:t xml:space="preserve"> column and </w:t>
      </w:r>
      <w:r>
        <w:rPr>
          <w:rFonts w:hint="eastAsia"/>
        </w:rPr>
        <w:t>a</w:t>
      </w:r>
      <w:r w:rsidRPr="0043589A">
        <w:t xml:space="preserve">, </w:t>
      </w:r>
      <w:r>
        <w:rPr>
          <w:rFonts w:hint="eastAsia"/>
        </w:rPr>
        <w:t>b</w:t>
      </w:r>
      <w:r w:rsidRPr="0043589A">
        <w:t xml:space="preserve"> in the </w:t>
      </w:r>
      <w:r>
        <w:rPr>
          <w:rFonts w:hint="eastAsia"/>
        </w:rPr>
        <w:t>thir</w:t>
      </w:r>
      <w:r w:rsidRPr="0043589A">
        <w:t xml:space="preserve">d column represent significant </w:t>
      </w:r>
    </w:p>
    <w:p w:rsidR="005734C1" w:rsidRPr="00252B66" w:rsidRDefault="005734C1" w:rsidP="005734C1">
      <w:pPr>
        <w:ind w:firstLineChars="500" w:firstLine="1050"/>
      </w:pPr>
      <w:r w:rsidRPr="0043589A">
        <w:t xml:space="preserve">differences, </w:t>
      </w:r>
      <w:r>
        <w:rPr>
          <w:rFonts w:hint="eastAsia"/>
        </w:rPr>
        <w:t>p</w:t>
      </w:r>
      <w:r w:rsidRPr="0043589A">
        <w:t xml:space="preserve"> &lt; 0.05.</w:t>
      </w:r>
    </w:p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>
      <w:bookmarkStart w:id="0" w:name="_GoBack"/>
      <w:bookmarkEnd w:id="0"/>
    </w:p>
    <w:p w:rsidR="005734C1" w:rsidRDefault="005734C1"/>
    <w:p w:rsidR="005734C1" w:rsidRDefault="005734C1"/>
    <w:p w:rsidR="005734C1" w:rsidRDefault="005734C1"/>
    <w:p w:rsidR="005734C1" w:rsidRDefault="005734C1"/>
    <w:p w:rsidR="005734C1" w:rsidRDefault="005734C1"/>
    <w:p w:rsidR="005734C1" w:rsidRDefault="005734C1" w:rsidP="005734C1">
      <w:pPr>
        <w:jc w:val="center"/>
      </w:pPr>
      <w:r>
        <w:rPr>
          <w:rFonts w:hint="eastAsia"/>
        </w:rPr>
        <w:t xml:space="preserve">Table S2  </w:t>
      </w:r>
      <w:r w:rsidRPr="004E3EC5">
        <w:t xml:space="preserve">Statistical table of </w:t>
      </w:r>
      <w:r w:rsidRPr="00724278">
        <w:t>cells in different apoptotic cycles</w:t>
      </w:r>
      <w:r w:rsidRPr="004E3EC5">
        <w:t xml:space="preserve"> under different aluminum concentrations</w:t>
      </w:r>
    </w:p>
    <w:tbl>
      <w:tblPr>
        <w:tblW w:w="849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817"/>
        <w:gridCol w:w="1843"/>
        <w:gridCol w:w="1984"/>
        <w:gridCol w:w="1418"/>
      </w:tblGrid>
      <w:tr w:rsidR="005734C1" w:rsidRPr="00425EA0" w:rsidTr="009B0C6B">
        <w:trPr>
          <w:trHeight w:val="520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5734C1" w:rsidRDefault="005734C1" w:rsidP="009B0C6B">
            <w:pPr>
              <w:jc w:val="center"/>
            </w:pPr>
            <w:r>
              <w:t>C</w:t>
            </w:r>
            <w:r>
              <w:rPr>
                <w:rFonts w:hint="eastAsia"/>
              </w:rPr>
              <w:t>oncentration</w:t>
            </w:r>
          </w:p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Times New Roman" w:hAnsi="Times New Roman"/>
                <w:lang w:val="en-GB"/>
              </w:rPr>
              <w:t>μg/ml)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t>N</w:t>
            </w:r>
            <w:r>
              <w:rPr>
                <w:rFonts w:hint="eastAsia"/>
              </w:rPr>
              <w:t>ormal cells(100%)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4C1" w:rsidRDefault="005734C1" w:rsidP="009B0C6B">
            <w:pPr>
              <w:jc w:val="center"/>
            </w:pPr>
            <w:r>
              <w:t>E</w:t>
            </w:r>
            <w:r>
              <w:rPr>
                <w:rFonts w:hint="eastAsia"/>
              </w:rPr>
              <w:t>arly apoptotic cells(100%)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4C1" w:rsidRDefault="005734C1" w:rsidP="009B0C6B">
            <w:pPr>
              <w:jc w:val="center"/>
            </w:pPr>
            <w:r>
              <w:t>L</w:t>
            </w:r>
            <w:r>
              <w:rPr>
                <w:rFonts w:hint="eastAsia"/>
              </w:rPr>
              <w:t>ate apoptotic cells(100%)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t>D</w:t>
            </w:r>
            <w:r>
              <w:rPr>
                <w:rFonts w:hint="eastAsia"/>
              </w:rPr>
              <w:t>amaged cells(100%)</w:t>
            </w:r>
          </w:p>
        </w:tc>
      </w:tr>
      <w:tr w:rsidR="005734C1" w:rsidRPr="00425EA0" w:rsidTr="009B0C6B">
        <w:trPr>
          <w:trHeight w:val="416"/>
          <w:jc w:val="center"/>
        </w:trPr>
        <w:tc>
          <w:tcPr>
            <w:tcW w:w="1429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17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96.15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2.64</w:t>
            </w:r>
            <w:r w:rsidRPr="00AF440C">
              <w:rPr>
                <w:rFonts w:hint="eastAsia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0.88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0.29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1.98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1.85</w:t>
            </w:r>
            <w:r w:rsidRPr="00AF440C">
              <w:rPr>
                <w:rFonts w:hint="eastAsia"/>
                <w:vertAlign w:val="superscript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0.99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0.60</w:t>
            </w:r>
          </w:p>
        </w:tc>
      </w:tr>
      <w:tr w:rsidR="005734C1" w:rsidRPr="00425EA0" w:rsidTr="009B0C6B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:rsidR="005734C1" w:rsidRPr="007A1B97" w:rsidRDefault="005734C1" w:rsidP="009B0C6B">
            <w:pPr>
              <w:jc w:val="center"/>
            </w:pPr>
            <w:r w:rsidRPr="007A1B97">
              <w:rPr>
                <w:lang w:val="en-GB"/>
              </w:rPr>
              <w:t>4.5×10</w:t>
            </w:r>
            <w:r w:rsidRPr="007A1B97">
              <w:rPr>
                <w:vertAlign w:val="superscript"/>
                <w:lang w:val="en-GB"/>
              </w:rPr>
              <w:t>-3</w:t>
            </w: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84.16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5.77</w:t>
            </w:r>
            <w:r w:rsidRPr="00AF440C">
              <w:rPr>
                <w:rFonts w:hint="eastAsia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2.21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1.36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10.38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2.39</w:t>
            </w:r>
            <w:r>
              <w:rPr>
                <w:rFonts w:hint="eastAsia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3.25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2.07</w:t>
            </w:r>
          </w:p>
        </w:tc>
      </w:tr>
      <w:tr w:rsidR="005734C1" w:rsidRPr="00425EA0" w:rsidTr="009B0C6B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:rsidR="005734C1" w:rsidRPr="007A1B97" w:rsidRDefault="005734C1" w:rsidP="009B0C6B">
            <w:pPr>
              <w:jc w:val="center"/>
            </w:pPr>
            <w:r w:rsidRPr="007A1B97">
              <w:rPr>
                <w:lang w:val="en-GB"/>
              </w:rPr>
              <w:t>4.5×10</w:t>
            </w:r>
            <w:r w:rsidRPr="007A1B97">
              <w:rPr>
                <w:vertAlign w:val="superscript"/>
                <w:lang w:val="en-GB"/>
              </w:rPr>
              <w:t>-</w:t>
            </w:r>
            <w:r w:rsidRPr="007A1B97">
              <w:rPr>
                <w:rFonts w:hint="eastAsia"/>
                <w:vertAlign w:val="superscript"/>
                <w:lang w:val="en-GB"/>
              </w:rPr>
              <w:t>2</w:t>
            </w: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75.59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6.12</w:t>
            </w:r>
            <w:r>
              <w:rPr>
                <w:rFonts w:hint="eastAsia"/>
                <w:vertAlign w:val="superscript"/>
              </w:rPr>
              <w:t>bc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3.51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2.62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16.25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2.66</w:t>
            </w:r>
            <w:r>
              <w:rPr>
                <w:rFonts w:hint="eastAsia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4.66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2.40</w:t>
            </w:r>
          </w:p>
        </w:tc>
      </w:tr>
      <w:tr w:rsidR="005734C1" w:rsidRPr="00425EA0" w:rsidTr="009B0C6B">
        <w:trPr>
          <w:trHeight w:val="315"/>
          <w:jc w:val="center"/>
        </w:trPr>
        <w:tc>
          <w:tcPr>
            <w:tcW w:w="1429" w:type="dxa"/>
            <w:tcBorders>
              <w:top w:val="nil"/>
            </w:tcBorders>
            <w:vAlign w:val="center"/>
          </w:tcPr>
          <w:p w:rsidR="005734C1" w:rsidRPr="007A1B97" w:rsidRDefault="005734C1" w:rsidP="009B0C6B">
            <w:pPr>
              <w:jc w:val="center"/>
            </w:pPr>
            <w:r w:rsidRPr="007A1B97">
              <w:rPr>
                <w:lang w:val="en-GB"/>
              </w:rPr>
              <w:t>4.5×10</w:t>
            </w:r>
            <w:r w:rsidRPr="007A1B97">
              <w:rPr>
                <w:vertAlign w:val="superscript"/>
                <w:lang w:val="en-GB"/>
              </w:rPr>
              <w:t>-</w:t>
            </w:r>
            <w:r w:rsidRPr="007A1B97">
              <w:rPr>
                <w:rFonts w:hint="eastAsia"/>
                <w:vertAlign w:val="superscript"/>
                <w:lang w:val="en-GB"/>
              </w:rPr>
              <w:t>1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68.38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7.13</w:t>
            </w:r>
            <w:r>
              <w:rPr>
                <w:rFonts w:hint="eastAsia"/>
                <w:vertAlign w:val="superscript"/>
              </w:rPr>
              <w:t>c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6.4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4.24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20.28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3.31</w:t>
            </w:r>
            <w:r>
              <w:rPr>
                <w:rFonts w:hint="eastAsia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734C1" w:rsidRPr="00425EA0" w:rsidRDefault="005734C1" w:rsidP="009B0C6B">
            <w:pPr>
              <w:jc w:val="center"/>
            </w:pPr>
            <w:r>
              <w:rPr>
                <w:rFonts w:hint="eastAsia"/>
              </w:rPr>
              <w:t>4.94</w:t>
            </w:r>
            <w:r w:rsidRPr="00623451">
              <w:rPr>
                <w:rFonts w:hint="eastAsia"/>
              </w:rPr>
              <w:t>±</w:t>
            </w:r>
            <w:r>
              <w:rPr>
                <w:rFonts w:hint="eastAsia"/>
              </w:rPr>
              <w:t>2</w:t>
            </w:r>
            <w:r w:rsidRPr="002D2F28">
              <w:rPr>
                <w:rFonts w:hint="eastAsia"/>
              </w:rPr>
              <w:t>.36</w:t>
            </w:r>
          </w:p>
        </w:tc>
      </w:tr>
    </w:tbl>
    <w:p w:rsidR="00E1301D" w:rsidRDefault="00E1301D" w:rsidP="00E1301D">
      <w:pPr>
        <w:ind w:left="735" w:hangingChars="350" w:hanging="735"/>
        <w:rPr>
          <w:lang w:val="en-GB"/>
        </w:rPr>
      </w:pPr>
      <w:r>
        <w:rPr>
          <w:rFonts w:hint="eastAsia"/>
        </w:rPr>
        <w:t xml:space="preserve">      </w:t>
      </w:r>
      <w:r w:rsidRPr="00E1301D">
        <w:rPr>
          <w:rFonts w:hint="eastAsia"/>
        </w:rPr>
        <w:t xml:space="preserve"> </w:t>
      </w:r>
      <w:r w:rsidR="00A96D94" w:rsidRPr="00E1301D">
        <w:rPr>
          <w:rFonts w:hint="eastAsia"/>
        </w:rPr>
        <w:t>T</w:t>
      </w:r>
      <w:r w:rsidR="00A96D94" w:rsidRPr="00E1301D">
        <w:rPr>
          <w:lang w:val="en-GB"/>
        </w:rPr>
        <w:t>he proportion of cells in each stage of apoptosis was counted for statistical analysis</w:t>
      </w:r>
      <w:r w:rsidRPr="00E1301D">
        <w:rPr>
          <w:rFonts w:hint="eastAsia"/>
          <w:lang w:val="en-GB"/>
        </w:rPr>
        <w:t>.</w:t>
      </w:r>
      <w:r w:rsidR="00A96D94" w:rsidRPr="00E1301D">
        <w:rPr>
          <w:rFonts w:hint="eastAsia"/>
          <w:lang w:val="en-GB"/>
        </w:rPr>
        <w:t xml:space="preserve"> </w:t>
      </w:r>
      <w:r w:rsidRPr="00E1301D">
        <w:rPr>
          <w:rFonts w:hint="eastAsia"/>
          <w:lang w:val="en-GB"/>
        </w:rPr>
        <w:t>A</w:t>
      </w:r>
      <w:r w:rsidR="00A96D94" w:rsidRPr="00E1301D">
        <w:rPr>
          <w:rFonts w:hint="eastAsia"/>
          <w:lang w:val="en-GB"/>
        </w:rPr>
        <w:t xml:space="preserve">nd </w:t>
      </w:r>
      <w:r w:rsidRPr="00E1301D">
        <w:rPr>
          <w:rFonts w:hint="eastAsia"/>
          <w:lang w:val="en-GB"/>
        </w:rPr>
        <w:t xml:space="preserve">the result </w:t>
      </w:r>
      <w:r w:rsidR="00A96D94" w:rsidRPr="00E1301D">
        <w:rPr>
          <w:rFonts w:hint="eastAsia"/>
          <w:lang w:val="en-GB"/>
        </w:rPr>
        <w:t>was</w:t>
      </w:r>
    </w:p>
    <w:p w:rsidR="005734C1" w:rsidRPr="00252B66" w:rsidRDefault="00A96D94" w:rsidP="00E1301D">
      <w:pPr>
        <w:ind w:leftChars="350" w:left="735"/>
      </w:pPr>
      <w:r w:rsidRPr="00E1301D">
        <w:rPr>
          <w:rFonts w:hint="eastAsia"/>
          <w:lang w:val="en-GB"/>
        </w:rPr>
        <w:t>shown above.</w:t>
      </w:r>
      <w:r w:rsidR="005734C1" w:rsidRPr="00E1301D">
        <w:rPr>
          <w:rFonts w:hint="eastAsia"/>
        </w:rPr>
        <w:t xml:space="preserve"> a</w:t>
      </w:r>
      <w:r w:rsidR="005734C1" w:rsidRPr="00E1301D">
        <w:t xml:space="preserve">, </w:t>
      </w:r>
      <w:r w:rsidR="005734C1" w:rsidRPr="00E1301D">
        <w:rPr>
          <w:rFonts w:hint="eastAsia"/>
        </w:rPr>
        <w:t>b</w:t>
      </w:r>
      <w:r w:rsidR="005734C1" w:rsidRPr="00E1301D">
        <w:t xml:space="preserve">, </w:t>
      </w:r>
      <w:r w:rsidR="005734C1" w:rsidRPr="00E1301D">
        <w:rPr>
          <w:rFonts w:hint="eastAsia"/>
        </w:rPr>
        <w:t>c</w:t>
      </w:r>
      <w:r w:rsidR="005734C1" w:rsidRPr="00E1301D">
        <w:t xml:space="preserve"> in the </w:t>
      </w:r>
      <w:r w:rsidR="005734C1" w:rsidRPr="00E1301D">
        <w:rPr>
          <w:rFonts w:hint="eastAsia"/>
        </w:rPr>
        <w:t>second</w:t>
      </w:r>
      <w:r w:rsidR="005734C1" w:rsidRPr="00E1301D">
        <w:t xml:space="preserve"> and </w:t>
      </w:r>
      <w:r w:rsidR="005734C1" w:rsidRPr="00E1301D">
        <w:rPr>
          <w:rFonts w:hint="eastAsia"/>
        </w:rPr>
        <w:t xml:space="preserve">fourth </w:t>
      </w:r>
      <w:r w:rsidR="005734C1" w:rsidRPr="00E1301D">
        <w:t>column represent significa</w:t>
      </w:r>
      <w:r w:rsidR="005734C1" w:rsidRPr="0043589A">
        <w:t xml:space="preserve">nt differences, </w:t>
      </w:r>
      <w:r w:rsidR="005734C1">
        <w:rPr>
          <w:rFonts w:hint="eastAsia"/>
        </w:rPr>
        <w:t>p</w:t>
      </w:r>
      <w:r w:rsidR="005734C1" w:rsidRPr="0043589A">
        <w:t>&lt; 0.05.</w:t>
      </w:r>
    </w:p>
    <w:p w:rsidR="005734C1" w:rsidRPr="005734C1" w:rsidRDefault="005734C1"/>
    <w:sectPr w:rsidR="005734C1" w:rsidRPr="005734C1" w:rsidSect="008F7792">
      <w:pgSz w:w="11906" w:h="16838"/>
      <w:pgMar w:top="1440" w:right="1133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85" w:rsidRDefault="006B2F85" w:rsidP="00150B20">
      <w:r>
        <w:separator/>
      </w:r>
    </w:p>
  </w:endnote>
  <w:endnote w:type="continuationSeparator" w:id="0">
    <w:p w:rsidR="006B2F85" w:rsidRDefault="006B2F85" w:rsidP="0015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85" w:rsidRDefault="006B2F85" w:rsidP="00150B20">
      <w:r>
        <w:separator/>
      </w:r>
    </w:p>
  </w:footnote>
  <w:footnote w:type="continuationSeparator" w:id="0">
    <w:p w:rsidR="006B2F85" w:rsidRDefault="006B2F85" w:rsidP="0015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B20"/>
    <w:rsid w:val="000F69B8"/>
    <w:rsid w:val="00150B20"/>
    <w:rsid w:val="001A3810"/>
    <w:rsid w:val="00253B14"/>
    <w:rsid w:val="002C1FF5"/>
    <w:rsid w:val="004D0B9E"/>
    <w:rsid w:val="00545855"/>
    <w:rsid w:val="005734C1"/>
    <w:rsid w:val="005E1DBD"/>
    <w:rsid w:val="006A1B6C"/>
    <w:rsid w:val="006B2F85"/>
    <w:rsid w:val="00711577"/>
    <w:rsid w:val="00745656"/>
    <w:rsid w:val="008F7792"/>
    <w:rsid w:val="009D6D35"/>
    <w:rsid w:val="00A12387"/>
    <w:rsid w:val="00A43AB9"/>
    <w:rsid w:val="00A96D94"/>
    <w:rsid w:val="00C83485"/>
    <w:rsid w:val="00E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DF2E3"/>
  <w15:docId w15:val="{345577B5-B700-43B8-9F87-A5AAE45F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0B2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5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0B20"/>
    <w:rPr>
      <w:sz w:val="18"/>
      <w:szCs w:val="18"/>
    </w:rPr>
  </w:style>
  <w:style w:type="table" w:styleId="TableGrid">
    <w:name w:val="Table Grid"/>
    <w:basedOn w:val="TableNormal"/>
    <w:uiPriority w:val="59"/>
    <w:rsid w:val="0015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Fengrong</dc:creator>
  <cp:keywords/>
  <dc:description/>
  <cp:lastModifiedBy>Amruta Dange</cp:lastModifiedBy>
  <cp:revision>12</cp:revision>
  <dcterms:created xsi:type="dcterms:W3CDTF">2019-08-27T15:18:00Z</dcterms:created>
  <dcterms:modified xsi:type="dcterms:W3CDTF">2021-03-22T08:39:00Z</dcterms:modified>
</cp:coreProperties>
</file>