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6A04" w14:textId="77777777" w:rsidR="00B60DB7" w:rsidRDefault="00B13C14" w:rsidP="00B60DB7">
      <w:pPr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Additional file 2</w:t>
      </w:r>
      <w:r w:rsidR="00D408DA">
        <w:rPr>
          <w:rFonts w:ascii="Times New Roman" w:hAnsi="Times New Roman" w:cs="Times New Roman"/>
          <w:b/>
          <w:sz w:val="24"/>
          <w:szCs w:val="22"/>
        </w:rPr>
        <w:t>:</w:t>
      </w:r>
      <w:r w:rsidR="008D5811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60DB7" w:rsidRPr="00397583">
        <w:rPr>
          <w:rFonts w:ascii="Times New Roman" w:hAnsi="Times New Roman" w:cs="Times New Roman"/>
          <w:b/>
          <w:sz w:val="24"/>
          <w:szCs w:val="22"/>
        </w:rPr>
        <w:t xml:space="preserve">Supplementary </w:t>
      </w:r>
      <w:r w:rsidR="00050E42">
        <w:rPr>
          <w:rFonts w:ascii="Times New Roman" w:hAnsi="Times New Roman" w:cs="Times New Roman"/>
          <w:b/>
          <w:sz w:val="24"/>
          <w:szCs w:val="22"/>
        </w:rPr>
        <w:t>Figure</w:t>
      </w:r>
      <w:r w:rsidR="00B60DB7" w:rsidRPr="00397583">
        <w:rPr>
          <w:rFonts w:ascii="Times New Roman" w:hAnsi="Times New Roman" w:cs="Times New Roman"/>
          <w:b/>
          <w:sz w:val="24"/>
          <w:szCs w:val="22"/>
        </w:rPr>
        <w:t>s</w:t>
      </w:r>
    </w:p>
    <w:p w14:paraId="2328F97D" w14:textId="77777777" w:rsidR="00050E42" w:rsidRPr="00397583" w:rsidRDefault="00050E42" w:rsidP="00050E42">
      <w:pPr>
        <w:spacing w:after="0" w:line="360" w:lineRule="auto"/>
        <w:ind w:left="1440" w:hanging="1440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808AC" w14:textId="77777777" w:rsidR="00050E42" w:rsidRPr="00397583" w:rsidRDefault="00050E42" w:rsidP="00050E42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6000C6" wp14:editId="4C0A6AF2">
            <wp:extent cx="3168000" cy="18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_Thanee et al_Theranostics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1ADA3" w14:textId="77777777" w:rsidR="006F5A37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 S1</w:t>
      </w:r>
      <w:r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="006F5A37">
        <w:rPr>
          <w:rFonts w:ascii="Times New Roman" w:hAnsi="Times New Roman" w:cs="Angsana New"/>
          <w:b/>
          <w:bCs/>
          <w:color w:val="000000" w:themeColor="text1"/>
          <w:sz w:val="24"/>
          <w:szCs w:val="24"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Cisplatin combined with sulfasalazine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activates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CCA cell apoptosis than a single </w:t>
      </w:r>
    </w:p>
    <w:p w14:paraId="6F1F297E" w14:textId="77777777" w:rsidR="006F5A37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  <w:r w:rsidRPr="00397583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>The number of KKU</w:t>
      </w:r>
      <w:r w:rsidRPr="00397583">
        <w:rPr>
          <w:rFonts w:ascii="Times New Roman" w:hAnsi="Times New Roman" w:cs="Angsana New"/>
          <w:color w:val="000000" w:themeColor="text1"/>
          <w:sz w:val="24"/>
          <w:szCs w:val="24"/>
          <w:cs/>
        </w:rPr>
        <w:t>-</w:t>
      </w: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>213 apoptotic cells with annexin</w:t>
      </w:r>
      <w:r w:rsidRPr="00397583">
        <w:rPr>
          <w:rFonts w:ascii="Times New Roman" w:hAnsi="Times New Roman" w:cs="Angsana New"/>
          <w:color w:val="000000" w:themeColor="text1"/>
          <w:sz w:val="24"/>
          <w:szCs w:val="24"/>
          <w:cs/>
        </w:rPr>
        <w:t>-</w:t>
      </w: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positive staining in early and </w:t>
      </w:r>
    </w:p>
    <w:p w14:paraId="1987BA77" w14:textId="77777777" w:rsid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>late stage counted and summarized as the mean</w:t>
      </w: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 deviation of independent, triplicate </w:t>
      </w:r>
    </w:p>
    <w:p w14:paraId="07092C18" w14:textId="77777777" w:rsidR="00050E42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583">
        <w:rPr>
          <w:rFonts w:ascii="Times New Roman" w:hAnsi="Times New Roman" w:cs="Times New Roman"/>
          <w:color w:val="000000" w:themeColor="text1"/>
          <w:sz w:val="24"/>
          <w:szCs w:val="24"/>
        </w:rPr>
        <w:t>experiments</w:t>
      </w:r>
      <w:r w:rsidRPr="00397583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</w:p>
    <w:p w14:paraId="05ED456D" w14:textId="77777777" w:rsidR="00050E42" w:rsidRPr="00397583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1C9E" w14:textId="77777777" w:rsidR="00050E42" w:rsidRPr="004E7BC5" w:rsidRDefault="00050E42" w:rsidP="00050E42">
      <w:pPr>
        <w:spacing w:after="0" w:line="36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8FD82E" w14:textId="77777777" w:rsidR="00050E42" w:rsidRPr="00397583" w:rsidRDefault="00050E42" w:rsidP="00050E4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758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6B59689" wp14:editId="3F5CF0B1">
            <wp:extent cx="3168000" cy="252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3_Thanee et al_Theranostics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1D13" w14:textId="77777777" w:rsidR="00050E42" w:rsidRPr="00397583" w:rsidRDefault="006F5A37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 </w:t>
      </w:r>
      <w:r w:rsidR="00050E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S2</w:t>
      </w:r>
      <w:r w:rsidR="00050E42"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Body weight of nude mice between control and treatment</w:t>
      </w:r>
      <w:r w:rsidR="00050E42"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groups</w:t>
      </w:r>
      <w:r w:rsidR="00050E42"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  <w:lang w:val="en-GB"/>
        </w:rPr>
        <w:t xml:space="preserve"> </w:t>
      </w:r>
    </w:p>
    <w:p w14:paraId="49193CDD" w14:textId="77777777" w:rsidR="00050E42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6840D7C1" w14:textId="77777777" w:rsidR="00B13C14" w:rsidRDefault="00B13C14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1AA1EF6B" w14:textId="77777777" w:rsidR="00B13C14" w:rsidRDefault="00B13C14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516A895A" w14:textId="77777777" w:rsidR="00B13C14" w:rsidRPr="00397583" w:rsidRDefault="00B13C14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B8A97DB" wp14:editId="3EF0996E">
            <wp:extent cx="5943600" cy="363156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3_Thanee et al_J Trans 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2559" w14:textId="77777777" w:rsidR="00050E42" w:rsidRPr="00397583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B9B780" w14:textId="77777777" w:rsidR="006F5A37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6F5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S3</w:t>
      </w:r>
      <w:r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="006F5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Difference metabolite profile between control and treatment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groups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  <w:lang w:val="en-GB"/>
        </w:rPr>
        <w:t xml:space="preserve"> (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  <w:lang w:val="en-GB"/>
        </w:rPr>
        <w:t>)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H NMR spectra </w:t>
      </w:r>
    </w:p>
    <w:p w14:paraId="77C18030" w14:textId="77777777" w:rsidR="006F5A37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plot shows median intensity of control and treatment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groups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 Component Analysis </w:t>
      </w:r>
    </w:p>
    <w:p w14:paraId="555FB7B5" w14:textId="77777777" w:rsidR="006F5A37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PCA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)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 of all groups shows the components of control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did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not differ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compared with </w:t>
      </w:r>
    </w:p>
    <w:p w14:paraId="541787C6" w14:textId="77777777" w:rsidR="00050E42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treatment samples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25C09BC9" w14:textId="77777777" w:rsidR="00050E42" w:rsidRPr="00397583" w:rsidRDefault="00050E42" w:rsidP="00050E42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5343A" w14:textId="77777777" w:rsidR="00050E42" w:rsidRPr="00397583" w:rsidRDefault="00B13C14" w:rsidP="00050E42">
      <w:pPr>
        <w:spacing w:after="0" w:line="360" w:lineRule="auto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F3AE7F4" wp14:editId="01E15110">
            <wp:extent cx="3240024" cy="5401056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4_Thanee et al_J Trans 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767A" w14:textId="77777777" w:rsidR="006F5A37" w:rsidRDefault="006F5A37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050E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S4</w:t>
      </w:r>
      <w:r w:rsidR="00050E42"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Network analysis demonstrates the association of significant metabolites</w:t>
      </w:r>
      <w:r w:rsidR="00050E42"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="00050E42"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(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0E42"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50E42"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heat</w:t>
      </w:r>
      <w:r w:rsidR="00050E42"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-</w:t>
      </w:r>
      <w:r w:rsidR="00050E42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 </w:t>
      </w:r>
    </w:p>
    <w:p w14:paraId="773B0540" w14:textId="77777777" w:rsid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Angsana New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correlation of significant metabolites in all treatment groups compared with untreated group, 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). </w:t>
      </w:r>
    </w:p>
    <w:p w14:paraId="2E456DC6" w14:textId="77777777" w:rsid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metabolic network generated by </w:t>
      </w:r>
      <w:proofErr w:type="spellStart"/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MetScape</w:t>
      </w:r>
      <w:proofErr w:type="spellEnd"/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proposed altered pathways in drug </w:t>
      </w:r>
    </w:p>
    <w:p w14:paraId="389112C8" w14:textId="77777777" w:rsidR="00050E42" w:rsidRPr="00397583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response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308A51EF" w14:textId="77777777" w:rsidR="00050E42" w:rsidRPr="00397583" w:rsidRDefault="00B13C14" w:rsidP="00B13C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BEF88FC" wp14:editId="6F6711E6">
            <wp:extent cx="5434210" cy="679132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5_Thanee et al_J Trans 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440" cy="68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F80B" w14:textId="77777777" w:rsidR="006F5A37" w:rsidRPr="006F5A37" w:rsidRDefault="00050E42" w:rsidP="00050E42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6F5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S5</w:t>
      </w:r>
      <w:r w:rsidRPr="00397583">
        <w:rPr>
          <w:rFonts w:ascii="Times New Roman" w:hAnsi="Times New Roman" w:cs="Angsana New"/>
          <w:b/>
          <w:bCs/>
          <w:color w:val="000000" w:themeColor="text1"/>
          <w:sz w:val="24"/>
          <w:szCs w:val="24"/>
          <w:cs/>
        </w:rPr>
        <w:t>.</w:t>
      </w:r>
      <w:r w:rsidR="006F5A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Significant metabolic pathway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of tumor tissue extraction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control and </w:t>
      </w:r>
    </w:p>
    <w:p w14:paraId="59B99D01" w14:textId="77777777" w:rsidR="006F5A37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treatment with cisplatin, or sulfasalazine, or a combination of both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bar graphs present the </w:t>
      </w:r>
    </w:p>
    <w:p w14:paraId="40C9157E" w14:textId="77777777" w:rsidR="006F5A37" w:rsidRPr="006F5A37" w:rsidRDefault="00050E42" w:rsidP="006F5A37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concentration of metabolites in 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6F5A37" w:rsidRPr="006F5A37">
        <w:rPr>
          <w:rFonts w:ascii="Times New Roman" w:hAnsi="Times New Roman" w:cs="Angsana New"/>
          <w:color w:val="000000" w:themeColor="text1"/>
          <w:sz w:val="24"/>
          <w:szCs w:val="24"/>
        </w:rPr>
        <w:t>a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amino acid metabolism,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tryptophan metabolism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</w:p>
    <w:p w14:paraId="7D4A4C59" w14:textId="77777777" w:rsidR="00050E42" w:rsidRPr="00B13C14" w:rsidRDefault="00050E42" w:rsidP="00B13C14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6F5A37"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6F5A37">
        <w:rPr>
          <w:rFonts w:ascii="Times New Roman" w:hAnsi="Times New Roman" w:cs="Times New Roman"/>
          <w:color w:val="000000" w:themeColor="text1"/>
          <w:sz w:val="24"/>
          <w:szCs w:val="24"/>
        </w:rPr>
        <w:t>purine and pyrimidine pathway</w:t>
      </w:r>
      <w:r w:rsidRPr="006F5A37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sectPr w:rsidR="00050E42" w:rsidRPr="00B13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eXGyreHeros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4FF"/>
    <w:multiLevelType w:val="hybridMultilevel"/>
    <w:tmpl w:val="36C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126"/>
    <w:multiLevelType w:val="hybridMultilevel"/>
    <w:tmpl w:val="3348B188"/>
    <w:lvl w:ilvl="0" w:tplc="334E7EF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E96"/>
    <w:multiLevelType w:val="hybridMultilevel"/>
    <w:tmpl w:val="38B4AA86"/>
    <w:lvl w:ilvl="0" w:tplc="E21290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9F6"/>
    <w:multiLevelType w:val="hybridMultilevel"/>
    <w:tmpl w:val="17A096C2"/>
    <w:lvl w:ilvl="0" w:tplc="FD786F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D5"/>
    <w:rsid w:val="00050E42"/>
    <w:rsid w:val="002224D5"/>
    <w:rsid w:val="00397583"/>
    <w:rsid w:val="004E7BC5"/>
    <w:rsid w:val="006F5A37"/>
    <w:rsid w:val="00782DA9"/>
    <w:rsid w:val="0083723D"/>
    <w:rsid w:val="008D5811"/>
    <w:rsid w:val="00900FCB"/>
    <w:rsid w:val="00B13C14"/>
    <w:rsid w:val="00B60DB7"/>
    <w:rsid w:val="00D408DA"/>
    <w:rsid w:val="00E7287E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6AA4"/>
  <w15:chartTrackingRefBased/>
  <w15:docId w15:val="{C7EADE0F-7F46-4ABE-8227-59DA7DD1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D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8482E"/>
    <w:rPr>
      <w:rFonts w:ascii="CMBX10" w:hAnsi="CMBX10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60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0DB7"/>
    <w:rPr>
      <w:rFonts w:ascii="Tahoma" w:eastAsiaTheme="minorEastAsia" w:hAnsi="Tahoma" w:cs="Angsana New"/>
      <w:sz w:val="16"/>
      <w:szCs w:val="20"/>
    </w:rPr>
  </w:style>
  <w:style w:type="character" w:customStyle="1" w:styleId="fontstyle01">
    <w:name w:val="fontstyle01"/>
    <w:basedOn w:val="a0"/>
    <w:rsid w:val="00B60DB7"/>
    <w:rPr>
      <w:rFonts w:ascii="TeXGyreHeros-Bold" w:hAnsi="TeXGyreHeros-Bold" w:hint="default"/>
      <w:b/>
      <w:bCs/>
      <w:i w:val="0"/>
      <w:iCs w:val="0"/>
      <w:color w:val="333333"/>
      <w:sz w:val="24"/>
      <w:szCs w:val="24"/>
    </w:rPr>
  </w:style>
  <w:style w:type="character" w:styleId="a6">
    <w:name w:val="Emphasis"/>
    <w:basedOn w:val="a0"/>
    <w:uiPriority w:val="20"/>
    <w:qFormat/>
    <w:rsid w:val="00B60DB7"/>
    <w:rPr>
      <w:i/>
      <w:iCs/>
    </w:rPr>
  </w:style>
  <w:style w:type="character" w:styleId="a7">
    <w:name w:val="Hyperlink"/>
    <w:rsid w:val="00B60DB7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F797-A41E-41DD-99D8-957B87DD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Malinee Thanee</dc:creator>
  <cp:keywords/>
  <dc:description/>
  <cp:lastModifiedBy>Watcharin Loilome</cp:lastModifiedBy>
  <cp:revision>2</cp:revision>
  <dcterms:created xsi:type="dcterms:W3CDTF">2020-05-22T08:56:00Z</dcterms:created>
  <dcterms:modified xsi:type="dcterms:W3CDTF">2020-05-22T08:56:00Z</dcterms:modified>
</cp:coreProperties>
</file>