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CC6D" w14:textId="5D62A2B1" w:rsidR="007354CF" w:rsidRPr="008012CB" w:rsidRDefault="007354CF" w:rsidP="00E85F0B">
      <w:pPr>
        <w:spacing w:after="0" w:line="360" w:lineRule="auto"/>
        <w:rPr>
          <w:rFonts w:ascii="Arial" w:hAnsi="Arial" w:cs="Arial"/>
          <w:b/>
          <w:lang w:val="en-US"/>
        </w:rPr>
      </w:pPr>
      <w:r w:rsidRPr="008012CB">
        <w:rPr>
          <w:rFonts w:ascii="Arial" w:hAnsi="Arial" w:cs="Arial"/>
          <w:b/>
          <w:lang w:val="en-US"/>
        </w:rPr>
        <w:t>Presence of MTHFR polymorphisms and</w:t>
      </w:r>
      <w:r w:rsidR="00307E1A" w:rsidRPr="008012CB">
        <w:rPr>
          <w:rFonts w:ascii="Arial" w:hAnsi="Arial" w:cs="Arial"/>
          <w:b/>
          <w:lang w:val="en-US"/>
        </w:rPr>
        <w:t xml:space="preserve"> the levels of</w:t>
      </w:r>
      <w:r w:rsidRPr="008012CB">
        <w:rPr>
          <w:rFonts w:ascii="Arial" w:hAnsi="Arial" w:cs="Arial"/>
          <w:b/>
          <w:lang w:val="en-US"/>
        </w:rPr>
        <w:t xml:space="preserve"> </w:t>
      </w:r>
      <w:r w:rsidR="00A47BEF" w:rsidRPr="008012CB">
        <w:rPr>
          <w:rFonts w:ascii="Arial" w:hAnsi="Arial" w:cs="Arial"/>
          <w:b/>
          <w:lang w:val="en-US"/>
        </w:rPr>
        <w:t>f</w:t>
      </w:r>
      <w:r w:rsidRPr="008012CB">
        <w:rPr>
          <w:rFonts w:ascii="Arial" w:hAnsi="Arial" w:cs="Arial"/>
          <w:b/>
          <w:lang w:val="en-US"/>
        </w:rPr>
        <w:t xml:space="preserve">olic acid and homocysteine in women </w:t>
      </w:r>
      <w:r w:rsidR="00307E1A" w:rsidRPr="008012CB">
        <w:rPr>
          <w:rFonts w:ascii="Arial" w:hAnsi="Arial" w:cs="Arial"/>
          <w:b/>
          <w:lang w:val="en-US"/>
        </w:rPr>
        <w:t>enrolled in an</w:t>
      </w:r>
      <w:r w:rsidRPr="008012CB">
        <w:rPr>
          <w:rFonts w:ascii="Arial" w:hAnsi="Arial" w:cs="Arial"/>
          <w:b/>
          <w:lang w:val="en-US"/>
        </w:rPr>
        <w:t xml:space="preserve"> assisted reproductive </w:t>
      </w:r>
      <w:r w:rsidR="00307E1A" w:rsidRPr="008012CB">
        <w:rPr>
          <w:rFonts w:ascii="Arial" w:hAnsi="Arial" w:cs="Arial"/>
          <w:b/>
          <w:lang w:val="en-US"/>
        </w:rPr>
        <w:t>program</w:t>
      </w:r>
    </w:p>
    <w:p w14:paraId="738EFDBE" w14:textId="77777777" w:rsidR="00491CBE" w:rsidRPr="008012CB" w:rsidRDefault="00491CBE" w:rsidP="00A90CBF">
      <w:pPr>
        <w:spacing w:afterLines="60" w:after="144" w:line="360" w:lineRule="auto"/>
        <w:jc w:val="both"/>
        <w:rPr>
          <w:rFonts w:ascii="Arial" w:hAnsi="Arial" w:cs="Arial"/>
          <w:lang w:val="en-US"/>
        </w:rPr>
      </w:pPr>
    </w:p>
    <w:p w14:paraId="5D421CD1" w14:textId="2855E55E" w:rsidR="00C24B33" w:rsidRPr="001230B9" w:rsidRDefault="00C24B33" w:rsidP="00C24B33">
      <w:pPr>
        <w:autoSpaceDE w:val="0"/>
        <w:autoSpaceDN w:val="0"/>
        <w:adjustRightInd w:val="0"/>
        <w:spacing w:afterLines="60" w:after="144" w:line="360" w:lineRule="auto"/>
        <w:jc w:val="both"/>
        <w:rPr>
          <w:rFonts w:ascii="Arial" w:hAnsi="Arial" w:cs="Arial"/>
          <w:color w:val="000000" w:themeColor="text1"/>
          <w:lang w:val="es-ES"/>
        </w:rPr>
      </w:pPr>
      <w:r w:rsidRPr="00262A37">
        <w:rPr>
          <w:rFonts w:ascii="Arial" w:hAnsi="Arial" w:cs="Arial"/>
          <w:lang w:val="es-ES"/>
        </w:rPr>
        <w:t>Martha Merino Ruiz</w:t>
      </w:r>
      <w:r w:rsidRPr="00262A37">
        <w:rPr>
          <w:rFonts w:ascii="Arial" w:hAnsi="Arial" w:cs="Arial"/>
          <w:b/>
          <w:vertAlign w:val="superscript"/>
        </w:rPr>
        <w:t>1</w:t>
      </w:r>
      <w:r w:rsidRPr="00262A37">
        <w:rPr>
          <w:rFonts w:ascii="Arial" w:hAnsi="Arial" w:cs="Arial"/>
          <w:lang w:val="es-ES"/>
        </w:rPr>
        <w:t>; </w:t>
      </w:r>
      <w:r w:rsidR="00D36470" w:rsidRPr="00262A37">
        <w:rPr>
          <w:rFonts w:ascii="Arial" w:hAnsi="Arial" w:cs="Arial"/>
          <w:lang w:val="es-ES"/>
        </w:rPr>
        <w:t>José A.</w:t>
      </w:r>
      <w:r w:rsidR="00E2291C" w:rsidRPr="00262A37">
        <w:rPr>
          <w:rFonts w:ascii="Arial" w:hAnsi="Arial" w:cs="Arial"/>
          <w:lang w:val="es-ES"/>
        </w:rPr>
        <w:t xml:space="preserve"> Elizondo Briseño</w:t>
      </w:r>
      <w:r w:rsidR="00E83128" w:rsidRPr="00262A37">
        <w:rPr>
          <w:rFonts w:ascii="Arial" w:hAnsi="Arial" w:cs="Arial"/>
          <w:b/>
          <w:vertAlign w:val="superscript"/>
        </w:rPr>
        <w:t>1</w:t>
      </w:r>
      <w:r w:rsidR="00E83128" w:rsidRPr="00262A37">
        <w:rPr>
          <w:rFonts w:ascii="Arial" w:hAnsi="Arial" w:cs="Arial"/>
          <w:lang w:val="es-ES"/>
        </w:rPr>
        <w:t xml:space="preserve">; </w:t>
      </w:r>
      <w:r w:rsidR="00D36470" w:rsidRPr="00262A37">
        <w:rPr>
          <w:rFonts w:ascii="Arial" w:hAnsi="Arial" w:cs="Arial"/>
          <w:lang w:val="es-ES"/>
        </w:rPr>
        <w:t>Laura E. Martínez Garza</w:t>
      </w:r>
      <w:r w:rsidR="0074060F" w:rsidRPr="00262A37">
        <w:rPr>
          <w:rFonts w:ascii="Arial" w:hAnsi="Arial" w:cs="Arial"/>
          <w:vertAlign w:val="superscript"/>
          <w:lang w:val="es-ES"/>
        </w:rPr>
        <w:t>2</w:t>
      </w:r>
      <w:r w:rsidR="00D36470" w:rsidRPr="00262A37">
        <w:rPr>
          <w:rFonts w:ascii="Arial" w:hAnsi="Arial" w:cs="Arial"/>
          <w:lang w:val="es-ES"/>
        </w:rPr>
        <w:t xml:space="preserve">, </w:t>
      </w:r>
      <w:r w:rsidR="00262A37" w:rsidRPr="00262A37">
        <w:rPr>
          <w:rFonts w:ascii="Arial" w:hAnsi="Arial" w:cs="Arial"/>
          <w:lang w:val="es-ES"/>
        </w:rPr>
        <w:t>Oscar Vidal Gutiérrez</w:t>
      </w:r>
      <w:r w:rsidR="00262A37" w:rsidRPr="00262A37">
        <w:rPr>
          <w:rFonts w:ascii="Arial" w:hAnsi="Arial" w:cs="Arial"/>
          <w:vertAlign w:val="superscript"/>
          <w:lang w:val="es-ES"/>
        </w:rPr>
        <w:t>1</w:t>
      </w:r>
      <w:r w:rsidR="00262A37" w:rsidRPr="00262A37">
        <w:rPr>
          <w:rFonts w:ascii="Arial" w:hAnsi="Arial" w:cs="Arial"/>
          <w:lang w:val="es-ES"/>
        </w:rPr>
        <w:t xml:space="preserve">, Luis H. </w:t>
      </w:r>
      <w:proofErr w:type="spellStart"/>
      <w:r w:rsidR="00262A37" w:rsidRPr="00262A37">
        <w:rPr>
          <w:rFonts w:ascii="Arial" w:hAnsi="Arial" w:cs="Arial"/>
          <w:lang w:val="es-ES"/>
        </w:rPr>
        <w:t>Sordia</w:t>
      </w:r>
      <w:proofErr w:type="spellEnd"/>
      <w:r w:rsidR="00262A37" w:rsidRPr="00262A37">
        <w:rPr>
          <w:rFonts w:ascii="Arial" w:hAnsi="Arial" w:cs="Arial"/>
          <w:lang w:val="es-ES"/>
        </w:rPr>
        <w:t xml:space="preserve"> Hernández</w:t>
      </w:r>
      <w:r w:rsidR="00262A37" w:rsidRPr="00262A37">
        <w:rPr>
          <w:rFonts w:ascii="Arial" w:hAnsi="Arial" w:cs="Arial"/>
          <w:vertAlign w:val="superscript"/>
          <w:lang w:val="es-ES"/>
        </w:rPr>
        <w:t>1</w:t>
      </w:r>
      <w:r w:rsidR="00262A37" w:rsidRPr="00262A37">
        <w:rPr>
          <w:rFonts w:ascii="Arial" w:hAnsi="Arial" w:cs="Arial"/>
          <w:lang w:val="es-ES"/>
        </w:rPr>
        <w:t xml:space="preserve">; </w:t>
      </w:r>
      <w:r w:rsidR="00D36470" w:rsidRPr="00262A37">
        <w:rPr>
          <w:rFonts w:ascii="Arial" w:hAnsi="Arial" w:cs="Arial"/>
          <w:lang w:val="es-ES"/>
        </w:rPr>
        <w:t>Felipe A. Morales Martínez</w:t>
      </w:r>
      <w:r w:rsidR="00D36470" w:rsidRPr="00262A37">
        <w:rPr>
          <w:rFonts w:ascii="Arial" w:hAnsi="Arial" w:cs="Arial"/>
          <w:b/>
          <w:vertAlign w:val="superscript"/>
        </w:rPr>
        <w:t>1*</w:t>
      </w:r>
      <w:r w:rsidR="00D36470" w:rsidRPr="00262A37">
        <w:rPr>
          <w:rFonts w:ascii="Arial" w:hAnsi="Arial" w:cs="Arial"/>
          <w:lang w:val="es-ES"/>
        </w:rPr>
        <w:t>.</w:t>
      </w:r>
    </w:p>
    <w:p w14:paraId="3C403E3F" w14:textId="77777777" w:rsidR="00C24B33" w:rsidRPr="00E2291C" w:rsidRDefault="00C24B33" w:rsidP="00A90CBF">
      <w:pPr>
        <w:autoSpaceDE w:val="0"/>
        <w:autoSpaceDN w:val="0"/>
        <w:adjustRightInd w:val="0"/>
        <w:spacing w:afterLines="60" w:after="144" w:line="360" w:lineRule="auto"/>
        <w:jc w:val="both"/>
        <w:rPr>
          <w:rFonts w:ascii="Arial" w:hAnsi="Arial" w:cs="Arial"/>
          <w:b/>
          <w:vertAlign w:val="superscript"/>
        </w:rPr>
      </w:pPr>
    </w:p>
    <w:p w14:paraId="511DE9F7" w14:textId="27BDED2A" w:rsidR="009D4E5A" w:rsidRDefault="009D4E5A" w:rsidP="00A90CBF">
      <w:pPr>
        <w:autoSpaceDE w:val="0"/>
        <w:autoSpaceDN w:val="0"/>
        <w:adjustRightInd w:val="0"/>
        <w:spacing w:afterLines="60" w:after="144" w:line="360" w:lineRule="auto"/>
        <w:jc w:val="both"/>
        <w:rPr>
          <w:rFonts w:ascii="Arial" w:hAnsi="Arial" w:cs="Arial"/>
          <w:lang w:val="es-ES"/>
        </w:rPr>
      </w:pPr>
      <w:r w:rsidRPr="00E2291C">
        <w:rPr>
          <w:rFonts w:ascii="Arial" w:hAnsi="Arial" w:cs="Arial"/>
          <w:b/>
          <w:vertAlign w:val="superscript"/>
        </w:rPr>
        <w:t>1</w:t>
      </w:r>
      <w:r w:rsidRPr="00E2291C">
        <w:rPr>
          <w:rFonts w:ascii="Arial" w:hAnsi="Arial" w:cs="Arial"/>
        </w:rPr>
        <w:t>Departamento de Ginecología y Obstetricia del Hospital Universitario</w:t>
      </w:r>
      <w:r w:rsidR="00A53DDE" w:rsidRPr="00E2291C">
        <w:rPr>
          <w:rFonts w:ascii="Arial" w:hAnsi="Arial" w:cs="Arial"/>
        </w:rPr>
        <w:t xml:space="preserve"> </w:t>
      </w:r>
      <w:r w:rsidRPr="00E2291C">
        <w:rPr>
          <w:rFonts w:ascii="Arial" w:hAnsi="Arial" w:cs="Arial"/>
        </w:rPr>
        <w:t>de la U</w:t>
      </w:r>
      <w:r w:rsidR="00491CBE" w:rsidRPr="00E2291C">
        <w:rPr>
          <w:rFonts w:ascii="Arial" w:hAnsi="Arial" w:cs="Arial"/>
        </w:rPr>
        <w:t>niversidad Autonoma de Nuevo Leon.</w:t>
      </w:r>
      <w:r w:rsidRPr="00E2291C">
        <w:rPr>
          <w:rFonts w:ascii="Arial" w:hAnsi="Arial" w:cs="Arial"/>
        </w:rPr>
        <w:t xml:space="preserve"> </w:t>
      </w:r>
      <w:r w:rsidRPr="00504B5F">
        <w:rPr>
          <w:rFonts w:ascii="Arial" w:hAnsi="Arial" w:cs="Arial"/>
          <w:lang w:val="es-ES"/>
        </w:rPr>
        <w:t>Monterrey NL, México</w:t>
      </w:r>
      <w:r w:rsidR="00491CBE" w:rsidRPr="00504B5F">
        <w:rPr>
          <w:rFonts w:ascii="Arial" w:hAnsi="Arial" w:cs="Arial"/>
          <w:lang w:val="es-ES"/>
        </w:rPr>
        <w:t>.</w:t>
      </w:r>
      <w:r w:rsidRPr="00504B5F">
        <w:rPr>
          <w:rFonts w:ascii="Arial" w:hAnsi="Arial" w:cs="Arial"/>
          <w:lang w:val="es-ES"/>
        </w:rPr>
        <w:t xml:space="preserve"> </w:t>
      </w:r>
    </w:p>
    <w:p w14:paraId="48C289D7" w14:textId="74C4E993" w:rsidR="0074060F" w:rsidRPr="008012CB" w:rsidRDefault="0074060F" w:rsidP="00A90CBF">
      <w:pPr>
        <w:autoSpaceDE w:val="0"/>
        <w:autoSpaceDN w:val="0"/>
        <w:adjustRightInd w:val="0"/>
        <w:spacing w:afterLines="60" w:after="144" w:line="360" w:lineRule="auto"/>
        <w:jc w:val="both"/>
        <w:rPr>
          <w:rFonts w:ascii="Arial" w:hAnsi="Arial" w:cs="Arial"/>
          <w:lang w:val="en-US"/>
        </w:rPr>
      </w:pPr>
      <w:r>
        <w:rPr>
          <w:rFonts w:ascii="Arial" w:hAnsi="Arial" w:cs="Arial"/>
          <w:vertAlign w:val="superscript"/>
          <w:lang w:val="es-ES"/>
        </w:rPr>
        <w:t>2</w:t>
      </w:r>
      <w:r>
        <w:rPr>
          <w:rFonts w:ascii="Arial" w:hAnsi="Arial" w:cs="Arial"/>
          <w:lang w:val="es-ES"/>
        </w:rPr>
        <w:t xml:space="preserve">Departamento de Genética, Facultad de Medicina, </w:t>
      </w:r>
      <w:r w:rsidRPr="0074060F">
        <w:rPr>
          <w:rFonts w:ascii="Arial" w:hAnsi="Arial" w:cs="Arial"/>
          <w:lang w:val="es-ES"/>
        </w:rPr>
        <w:t xml:space="preserve">Universidad </w:t>
      </w:r>
      <w:r w:rsidR="00262A37" w:rsidRPr="0074060F">
        <w:rPr>
          <w:rFonts w:ascii="Arial" w:hAnsi="Arial" w:cs="Arial"/>
          <w:lang w:val="es-ES"/>
        </w:rPr>
        <w:t>Autónoma</w:t>
      </w:r>
      <w:r w:rsidRPr="0074060F">
        <w:rPr>
          <w:rFonts w:ascii="Arial" w:hAnsi="Arial" w:cs="Arial"/>
          <w:lang w:val="es-ES"/>
        </w:rPr>
        <w:t xml:space="preserve"> de Nuevo </w:t>
      </w:r>
      <w:r w:rsidR="00262A37" w:rsidRPr="0074060F">
        <w:rPr>
          <w:rFonts w:ascii="Arial" w:hAnsi="Arial" w:cs="Arial"/>
          <w:lang w:val="es-ES"/>
        </w:rPr>
        <w:t>León</w:t>
      </w:r>
      <w:r w:rsidRPr="0074060F">
        <w:rPr>
          <w:rFonts w:ascii="Arial" w:hAnsi="Arial" w:cs="Arial"/>
          <w:lang w:val="es-ES"/>
        </w:rPr>
        <w:t xml:space="preserve">. </w:t>
      </w:r>
      <w:r w:rsidRPr="008012CB">
        <w:rPr>
          <w:rFonts w:ascii="Arial" w:hAnsi="Arial" w:cs="Arial"/>
          <w:lang w:val="en-US"/>
        </w:rPr>
        <w:t>Monterrey NL, México</w:t>
      </w:r>
    </w:p>
    <w:p w14:paraId="49FB6D41" w14:textId="77777777" w:rsidR="005E4E19" w:rsidRPr="008012CB" w:rsidRDefault="005E4E19" w:rsidP="00A90CBF">
      <w:pPr>
        <w:autoSpaceDE w:val="0"/>
        <w:autoSpaceDN w:val="0"/>
        <w:adjustRightInd w:val="0"/>
        <w:spacing w:afterLines="60" w:after="144" w:line="360" w:lineRule="auto"/>
        <w:jc w:val="both"/>
        <w:rPr>
          <w:rFonts w:ascii="Arial" w:hAnsi="Arial" w:cs="Arial"/>
          <w:lang w:val="en-US"/>
        </w:rPr>
      </w:pPr>
    </w:p>
    <w:p w14:paraId="5409560C" w14:textId="0AFE2525" w:rsidR="005E4E19" w:rsidRDefault="005E4E19" w:rsidP="00A90CBF">
      <w:pPr>
        <w:autoSpaceDE w:val="0"/>
        <w:autoSpaceDN w:val="0"/>
        <w:adjustRightInd w:val="0"/>
        <w:spacing w:afterLines="60" w:after="144" w:line="360" w:lineRule="auto"/>
        <w:jc w:val="both"/>
        <w:rPr>
          <w:rFonts w:ascii="Arial" w:hAnsi="Arial" w:cs="Arial"/>
          <w:lang w:val="en-US"/>
        </w:rPr>
      </w:pPr>
    </w:p>
    <w:p w14:paraId="52E3C5A5" w14:textId="77777777" w:rsidR="00327B9D" w:rsidRPr="008012CB" w:rsidRDefault="00327B9D" w:rsidP="00A90CBF">
      <w:pPr>
        <w:autoSpaceDE w:val="0"/>
        <w:autoSpaceDN w:val="0"/>
        <w:adjustRightInd w:val="0"/>
        <w:spacing w:afterLines="60" w:after="144" w:line="360" w:lineRule="auto"/>
        <w:jc w:val="both"/>
        <w:rPr>
          <w:rFonts w:ascii="Arial" w:hAnsi="Arial" w:cs="Arial"/>
          <w:lang w:val="en-US"/>
        </w:rPr>
      </w:pPr>
    </w:p>
    <w:p w14:paraId="7E97B7D4" w14:textId="65BD4257" w:rsidR="00491CBE" w:rsidRPr="00504B5F" w:rsidRDefault="00491CBE" w:rsidP="00E40F96">
      <w:pPr>
        <w:autoSpaceDE w:val="0"/>
        <w:autoSpaceDN w:val="0"/>
        <w:adjustRightInd w:val="0"/>
        <w:spacing w:afterLines="60" w:after="144" w:line="240" w:lineRule="auto"/>
        <w:jc w:val="both"/>
        <w:rPr>
          <w:rFonts w:ascii="Arial" w:hAnsi="Arial" w:cs="Arial"/>
          <w:b/>
          <w:lang w:val="es-ES"/>
        </w:rPr>
      </w:pPr>
      <w:r w:rsidRPr="00504B5F">
        <w:rPr>
          <w:rFonts w:ascii="Arial" w:hAnsi="Arial" w:cs="Arial"/>
          <w:b/>
          <w:vertAlign w:val="superscript"/>
          <w:lang w:val="es-ES"/>
        </w:rPr>
        <w:t>*</w:t>
      </w:r>
      <w:r w:rsidR="00057421">
        <w:rPr>
          <w:rFonts w:ascii="Arial" w:hAnsi="Arial" w:cs="Arial"/>
          <w:b/>
          <w:vertAlign w:val="superscript"/>
          <w:lang w:val="es-ES"/>
        </w:rPr>
        <w:t xml:space="preserve"> </w:t>
      </w:r>
      <w:proofErr w:type="spellStart"/>
      <w:r w:rsidRPr="00504B5F">
        <w:rPr>
          <w:rFonts w:ascii="Arial" w:hAnsi="Arial" w:cs="Arial"/>
          <w:b/>
          <w:lang w:val="es-ES"/>
        </w:rPr>
        <w:t>Correspondence</w:t>
      </w:r>
      <w:proofErr w:type="spellEnd"/>
      <w:r w:rsidRPr="00504B5F">
        <w:rPr>
          <w:rFonts w:ascii="Arial" w:hAnsi="Arial" w:cs="Arial"/>
          <w:b/>
          <w:lang w:val="es-ES"/>
        </w:rPr>
        <w:t xml:space="preserve"> to:</w:t>
      </w:r>
    </w:p>
    <w:p w14:paraId="6E472BB9" w14:textId="5F1A9CF1" w:rsidR="00A53DDE" w:rsidRPr="00E2291C" w:rsidRDefault="009D4E5A" w:rsidP="00086552">
      <w:pPr>
        <w:autoSpaceDE w:val="0"/>
        <w:autoSpaceDN w:val="0"/>
        <w:adjustRightInd w:val="0"/>
        <w:spacing w:after="0" w:line="240" w:lineRule="auto"/>
        <w:jc w:val="both"/>
        <w:rPr>
          <w:rFonts w:ascii="Arial" w:hAnsi="Arial" w:cs="Arial"/>
        </w:rPr>
      </w:pPr>
      <w:r w:rsidRPr="00E2291C">
        <w:rPr>
          <w:rFonts w:ascii="Arial" w:hAnsi="Arial" w:cs="Arial"/>
        </w:rPr>
        <w:t xml:space="preserve">Edificio Rodrigo Barragán 3er piso Ave. </w:t>
      </w:r>
    </w:p>
    <w:p w14:paraId="4C08AE2B" w14:textId="77777777" w:rsidR="00A53DDE" w:rsidRPr="00E2291C" w:rsidRDefault="009D4E5A" w:rsidP="00086552">
      <w:pPr>
        <w:autoSpaceDE w:val="0"/>
        <w:autoSpaceDN w:val="0"/>
        <w:adjustRightInd w:val="0"/>
        <w:spacing w:after="0" w:line="240" w:lineRule="auto"/>
        <w:jc w:val="both"/>
        <w:rPr>
          <w:rFonts w:ascii="Arial" w:hAnsi="Arial" w:cs="Arial"/>
        </w:rPr>
      </w:pPr>
      <w:r w:rsidRPr="00E2291C">
        <w:rPr>
          <w:rFonts w:ascii="Arial" w:hAnsi="Arial" w:cs="Arial"/>
        </w:rPr>
        <w:t xml:space="preserve">Francisco I. Madero s/n y Gonzalitos Col. Mitras Centro, </w:t>
      </w:r>
    </w:p>
    <w:p w14:paraId="16037E14" w14:textId="040E734D" w:rsidR="00A53DDE" w:rsidRPr="00E2291C" w:rsidRDefault="009D4E5A" w:rsidP="00086552">
      <w:pPr>
        <w:autoSpaceDE w:val="0"/>
        <w:autoSpaceDN w:val="0"/>
        <w:adjustRightInd w:val="0"/>
        <w:spacing w:after="0" w:line="240" w:lineRule="auto"/>
        <w:jc w:val="both"/>
        <w:rPr>
          <w:rFonts w:ascii="Arial" w:hAnsi="Arial" w:cs="Arial"/>
        </w:rPr>
      </w:pPr>
      <w:r w:rsidRPr="00E2291C">
        <w:rPr>
          <w:rFonts w:ascii="Arial" w:hAnsi="Arial" w:cs="Arial"/>
        </w:rPr>
        <w:t xml:space="preserve">C.P. 64460, </w:t>
      </w:r>
      <w:r w:rsidR="00A53DDE" w:rsidRPr="00E2291C">
        <w:rPr>
          <w:rFonts w:ascii="Arial" w:hAnsi="Arial" w:cs="Arial"/>
        </w:rPr>
        <w:t xml:space="preserve">Monterrey NL, México. </w:t>
      </w:r>
    </w:p>
    <w:p w14:paraId="111DE718" w14:textId="77777777" w:rsidR="00491CBE" w:rsidRPr="00E2291C" w:rsidRDefault="009D4E5A" w:rsidP="00086552">
      <w:pPr>
        <w:autoSpaceDE w:val="0"/>
        <w:autoSpaceDN w:val="0"/>
        <w:adjustRightInd w:val="0"/>
        <w:spacing w:after="0" w:line="240" w:lineRule="auto"/>
        <w:jc w:val="both"/>
        <w:rPr>
          <w:rFonts w:ascii="Arial" w:hAnsi="Arial" w:cs="Arial"/>
          <w:lang w:val="en-US"/>
        </w:rPr>
      </w:pPr>
      <w:r w:rsidRPr="00E2291C">
        <w:rPr>
          <w:rFonts w:ascii="Arial" w:hAnsi="Arial" w:cs="Arial"/>
          <w:lang w:val="en-US"/>
        </w:rPr>
        <w:t xml:space="preserve">Tel (81)8348-3054; </w:t>
      </w:r>
    </w:p>
    <w:p w14:paraId="0C37439B" w14:textId="77777777" w:rsidR="008F7416" w:rsidRDefault="009D4E5A" w:rsidP="008F7416">
      <w:pPr>
        <w:spacing w:after="0" w:line="240" w:lineRule="auto"/>
        <w:rPr>
          <w:rFonts w:ascii="Times New Roman" w:eastAsia="Times New Roman" w:hAnsi="Times New Roman"/>
          <w:sz w:val="24"/>
          <w:szCs w:val="24"/>
          <w:lang w:val="en-US"/>
        </w:rPr>
      </w:pPr>
      <w:r w:rsidRPr="00E2291C">
        <w:rPr>
          <w:rFonts w:ascii="Arial" w:hAnsi="Arial" w:cs="Arial"/>
          <w:lang w:val="en-US"/>
        </w:rPr>
        <w:t>e-mail</w:t>
      </w:r>
      <w:r w:rsidR="00A53DDE" w:rsidRPr="00E2291C">
        <w:rPr>
          <w:rFonts w:ascii="Arial" w:hAnsi="Arial" w:cs="Arial"/>
          <w:lang w:val="en-US"/>
        </w:rPr>
        <w:t>:</w:t>
      </w:r>
      <w:r w:rsidRPr="00E2291C">
        <w:rPr>
          <w:rFonts w:ascii="Arial" w:hAnsi="Arial" w:cs="Arial"/>
          <w:lang w:val="en-US"/>
        </w:rPr>
        <w:t xml:space="preserve"> </w:t>
      </w:r>
      <w:hyperlink r:id="rId8" w:tgtFrame="_blank" w:history="1">
        <w:r w:rsidR="008F7416" w:rsidRPr="00327B9D">
          <w:rPr>
            <w:rStyle w:val="Hyperlink"/>
            <w:rFonts w:ascii="Arial" w:hAnsi="Arial" w:cs="Arial"/>
            <w:color w:val="1155CC"/>
            <w:lang w:val="en-US"/>
          </w:rPr>
          <w:t>felipe.moralesm@uanl.mx</w:t>
        </w:r>
      </w:hyperlink>
    </w:p>
    <w:p w14:paraId="72FB170E" w14:textId="3F2943D0" w:rsidR="00E83128" w:rsidRPr="00E2291C" w:rsidRDefault="00E83128" w:rsidP="00E83128">
      <w:pPr>
        <w:widowControl w:val="0"/>
        <w:autoSpaceDE w:val="0"/>
        <w:autoSpaceDN w:val="0"/>
        <w:adjustRightInd w:val="0"/>
        <w:spacing w:after="0"/>
        <w:rPr>
          <w:rFonts w:ascii="Arial" w:hAnsi="Arial" w:cs="Arial"/>
          <w:color w:val="1A1A1A"/>
          <w:lang w:val="en-US" w:eastAsia="es-ES"/>
        </w:rPr>
      </w:pPr>
    </w:p>
    <w:p w14:paraId="43372C08" w14:textId="14008500" w:rsidR="009D4E5A" w:rsidRPr="00E2291C" w:rsidRDefault="009D4E5A" w:rsidP="00086552">
      <w:pPr>
        <w:autoSpaceDE w:val="0"/>
        <w:autoSpaceDN w:val="0"/>
        <w:adjustRightInd w:val="0"/>
        <w:spacing w:after="0" w:line="240" w:lineRule="auto"/>
        <w:jc w:val="both"/>
        <w:rPr>
          <w:rFonts w:ascii="Arial" w:hAnsi="Arial" w:cs="Arial"/>
          <w:lang w:val="en-US"/>
        </w:rPr>
      </w:pPr>
    </w:p>
    <w:p w14:paraId="36A0FE1B" w14:textId="77777777" w:rsidR="00DD4F6D" w:rsidRPr="00E2291C" w:rsidRDefault="00DD4F6D" w:rsidP="00A90CBF">
      <w:pPr>
        <w:spacing w:afterLines="60" w:after="144" w:line="360" w:lineRule="auto"/>
        <w:rPr>
          <w:rFonts w:ascii="Arial" w:hAnsi="Arial" w:cs="Arial"/>
          <w:lang w:val="en-US"/>
        </w:rPr>
      </w:pPr>
    </w:p>
    <w:p w14:paraId="59412B6C" w14:textId="77777777" w:rsidR="009D4E5A" w:rsidRPr="00E2291C" w:rsidRDefault="009D4E5A" w:rsidP="00A90CBF">
      <w:pPr>
        <w:spacing w:afterLines="60" w:after="144" w:line="360" w:lineRule="auto"/>
        <w:rPr>
          <w:rFonts w:ascii="Arial" w:hAnsi="Arial" w:cs="Arial"/>
          <w:lang w:val="en-US"/>
        </w:rPr>
      </w:pPr>
    </w:p>
    <w:p w14:paraId="342BB15E" w14:textId="77777777" w:rsidR="009D4E5A" w:rsidRPr="00E2291C" w:rsidRDefault="009D4E5A" w:rsidP="00A90CBF">
      <w:pPr>
        <w:spacing w:afterLines="60" w:after="144" w:line="360" w:lineRule="auto"/>
        <w:rPr>
          <w:rFonts w:ascii="Arial" w:hAnsi="Arial" w:cs="Arial"/>
          <w:lang w:val="en-US"/>
        </w:rPr>
      </w:pPr>
    </w:p>
    <w:p w14:paraId="0B40228B" w14:textId="77777777" w:rsidR="009D4E5A" w:rsidRPr="00E2291C" w:rsidRDefault="009D4E5A" w:rsidP="00A90CBF">
      <w:pPr>
        <w:spacing w:afterLines="60" w:after="144" w:line="360" w:lineRule="auto"/>
        <w:rPr>
          <w:rFonts w:ascii="Arial" w:hAnsi="Arial" w:cs="Arial"/>
          <w:lang w:val="en-US"/>
        </w:rPr>
      </w:pPr>
    </w:p>
    <w:p w14:paraId="3679D53C" w14:textId="77777777" w:rsidR="009D4E5A" w:rsidRPr="00E2291C" w:rsidRDefault="009D4E5A" w:rsidP="00A90CBF">
      <w:pPr>
        <w:spacing w:afterLines="60" w:after="144" w:line="360" w:lineRule="auto"/>
        <w:rPr>
          <w:rFonts w:ascii="Arial" w:hAnsi="Arial" w:cs="Arial"/>
          <w:lang w:val="en-US"/>
        </w:rPr>
      </w:pPr>
    </w:p>
    <w:p w14:paraId="7AF6351C" w14:textId="77777777" w:rsidR="009D4E5A" w:rsidRPr="00E2291C" w:rsidRDefault="009D4E5A" w:rsidP="00A90CBF">
      <w:pPr>
        <w:spacing w:afterLines="60" w:after="144" w:line="360" w:lineRule="auto"/>
        <w:rPr>
          <w:rFonts w:ascii="Arial" w:hAnsi="Arial" w:cs="Arial"/>
          <w:lang w:val="en-US"/>
        </w:rPr>
      </w:pPr>
    </w:p>
    <w:p w14:paraId="52607CF7" w14:textId="77777777" w:rsidR="009D4E5A" w:rsidRPr="00E2291C" w:rsidRDefault="009D4E5A" w:rsidP="00A90CBF">
      <w:pPr>
        <w:spacing w:afterLines="60" w:after="144" w:line="360" w:lineRule="auto"/>
        <w:rPr>
          <w:rFonts w:ascii="Arial" w:hAnsi="Arial" w:cs="Arial"/>
          <w:lang w:val="en-US"/>
        </w:rPr>
      </w:pPr>
    </w:p>
    <w:p w14:paraId="5AA6EB11" w14:textId="4456FE5C" w:rsidR="009D4E5A" w:rsidRPr="00E2291C" w:rsidRDefault="009D4E5A" w:rsidP="00A90CBF">
      <w:pPr>
        <w:spacing w:afterLines="60" w:after="144" w:line="360" w:lineRule="auto"/>
        <w:rPr>
          <w:rFonts w:ascii="Arial" w:hAnsi="Arial" w:cs="Arial"/>
          <w:lang w:val="en-US"/>
        </w:rPr>
      </w:pPr>
    </w:p>
    <w:p w14:paraId="5868E703" w14:textId="4B7344E4" w:rsidR="00E83128" w:rsidRPr="00E2291C" w:rsidRDefault="00E83128" w:rsidP="00A90CBF">
      <w:pPr>
        <w:spacing w:afterLines="60" w:after="144" w:line="360" w:lineRule="auto"/>
        <w:rPr>
          <w:rFonts w:ascii="Arial" w:hAnsi="Arial" w:cs="Arial"/>
          <w:lang w:val="en-US"/>
        </w:rPr>
      </w:pPr>
    </w:p>
    <w:p w14:paraId="2026C0C3" w14:textId="09BDBBD4" w:rsidR="00E83128" w:rsidRPr="00E2291C" w:rsidRDefault="00E83128" w:rsidP="00A90CBF">
      <w:pPr>
        <w:spacing w:afterLines="60" w:after="144" w:line="360" w:lineRule="auto"/>
        <w:rPr>
          <w:rFonts w:ascii="Arial" w:hAnsi="Arial" w:cs="Arial"/>
          <w:lang w:val="en-US"/>
        </w:rPr>
      </w:pPr>
    </w:p>
    <w:p w14:paraId="208E6E76" w14:textId="3D87FDE3" w:rsidR="004749A9" w:rsidRDefault="004749A9" w:rsidP="00A90CBF">
      <w:pPr>
        <w:spacing w:afterLines="60" w:after="144" w:line="360" w:lineRule="auto"/>
        <w:rPr>
          <w:rFonts w:ascii="Arial" w:hAnsi="Arial" w:cs="Arial"/>
          <w:lang w:val="en-US"/>
        </w:rPr>
      </w:pPr>
    </w:p>
    <w:p w14:paraId="58A2A34C" w14:textId="39CA8C73" w:rsidR="009D4E5A" w:rsidRPr="00E2291C" w:rsidRDefault="0023190D" w:rsidP="00A90CBF">
      <w:pPr>
        <w:spacing w:afterLines="60" w:after="144" w:line="360" w:lineRule="auto"/>
        <w:rPr>
          <w:rFonts w:ascii="Arial" w:hAnsi="Arial" w:cs="Arial"/>
          <w:b/>
          <w:lang w:val="en-US"/>
        </w:rPr>
      </w:pPr>
      <w:r w:rsidRPr="00E2291C">
        <w:rPr>
          <w:rFonts w:ascii="Arial" w:hAnsi="Arial" w:cs="Arial"/>
          <w:b/>
          <w:lang w:val="en-US"/>
        </w:rPr>
        <w:lastRenderedPageBreak/>
        <w:t>A</w:t>
      </w:r>
      <w:r w:rsidR="00E40F96" w:rsidRPr="00E2291C">
        <w:rPr>
          <w:rFonts w:ascii="Arial" w:hAnsi="Arial" w:cs="Arial"/>
          <w:b/>
          <w:lang w:val="en-US"/>
        </w:rPr>
        <w:t>bstract</w:t>
      </w:r>
    </w:p>
    <w:p w14:paraId="12897DCA" w14:textId="768F29A1" w:rsidR="008121C2" w:rsidRDefault="008121C2" w:rsidP="008121C2">
      <w:pPr>
        <w:spacing w:after="0" w:line="480" w:lineRule="auto"/>
        <w:jc w:val="both"/>
        <w:rPr>
          <w:rFonts w:ascii="Arial" w:hAnsi="Arial" w:cs="Arial"/>
          <w:lang w:val="en-US"/>
        </w:rPr>
      </w:pPr>
      <w:r w:rsidRPr="008121C2">
        <w:rPr>
          <w:rFonts w:ascii="Arial" w:hAnsi="Arial" w:cs="Arial"/>
          <w:b/>
          <w:bCs/>
          <w:lang w:val="en-US"/>
        </w:rPr>
        <w:t>Purpose:</w:t>
      </w:r>
      <w:r w:rsidRPr="008121C2">
        <w:rPr>
          <w:rFonts w:ascii="Arial" w:hAnsi="Arial" w:cs="Arial"/>
          <w:lang w:val="en-US"/>
        </w:rPr>
        <w:t xml:space="preserve"> </w:t>
      </w:r>
      <w:r w:rsidR="00A76376">
        <w:rPr>
          <w:rFonts w:ascii="Arial" w:hAnsi="Arial" w:cs="Arial"/>
          <w:lang w:val="en-US"/>
        </w:rPr>
        <w:t>F</w:t>
      </w:r>
      <w:r w:rsidR="006A3A72">
        <w:rPr>
          <w:rFonts w:ascii="Arial" w:hAnsi="Arial" w:cs="Arial"/>
          <w:lang w:val="en-US"/>
        </w:rPr>
        <w:t xml:space="preserve">olic acid and homocysteine </w:t>
      </w:r>
      <w:r w:rsidR="00A76376">
        <w:rPr>
          <w:rFonts w:ascii="Arial" w:hAnsi="Arial" w:cs="Arial"/>
          <w:lang w:val="en-US"/>
        </w:rPr>
        <w:t>levels are influenced by the circulating levels of</w:t>
      </w:r>
      <w:r w:rsidR="006A3A72">
        <w:rPr>
          <w:rFonts w:ascii="Arial" w:hAnsi="Arial" w:cs="Arial"/>
          <w:lang w:val="en-US"/>
        </w:rPr>
        <w:t xml:space="preserve"> estradiol. </w:t>
      </w:r>
      <w:r w:rsidR="00A76376">
        <w:rPr>
          <w:rFonts w:ascii="Arial" w:hAnsi="Arial" w:cs="Arial"/>
          <w:lang w:val="en-US"/>
        </w:rPr>
        <w:t>L</w:t>
      </w:r>
      <w:r w:rsidR="006A3A72">
        <w:rPr>
          <w:rFonts w:ascii="Arial" w:hAnsi="Arial" w:cs="Arial"/>
          <w:lang w:val="en-US"/>
        </w:rPr>
        <w:t xml:space="preserve">ittle is known about the behavior of </w:t>
      </w:r>
      <w:r w:rsidR="00A76376">
        <w:rPr>
          <w:rFonts w:ascii="Arial" w:hAnsi="Arial" w:cs="Arial"/>
          <w:lang w:val="en-US"/>
        </w:rPr>
        <w:t>these metabolites</w:t>
      </w:r>
      <w:r w:rsidR="006A3A72">
        <w:rPr>
          <w:rFonts w:ascii="Arial" w:hAnsi="Arial" w:cs="Arial"/>
          <w:lang w:val="en-US"/>
        </w:rPr>
        <w:t xml:space="preserve"> during an in vitro fertilization cycle, where superovulation protocols induce a major increased in the levels of estradiol and other hormones.</w:t>
      </w:r>
      <w:r w:rsidR="004B7373" w:rsidRPr="00432426">
        <w:rPr>
          <w:rFonts w:ascii="Arial" w:hAnsi="Arial" w:cs="Arial"/>
          <w:lang w:val="en-US"/>
        </w:rPr>
        <w:t xml:space="preserve"> </w:t>
      </w:r>
    </w:p>
    <w:p w14:paraId="79B5BA3C" w14:textId="54BD91BD" w:rsidR="008121C2" w:rsidRDefault="008121C2" w:rsidP="008121C2">
      <w:pPr>
        <w:spacing w:after="0" w:line="480" w:lineRule="auto"/>
        <w:jc w:val="both"/>
        <w:rPr>
          <w:rFonts w:ascii="Arial" w:hAnsi="Arial" w:cs="Arial"/>
          <w:lang w:val="en-US"/>
        </w:rPr>
      </w:pPr>
      <w:r w:rsidRPr="008121C2">
        <w:rPr>
          <w:rFonts w:ascii="Arial" w:hAnsi="Arial" w:cs="Arial"/>
          <w:b/>
          <w:bCs/>
          <w:lang w:val="en-US"/>
        </w:rPr>
        <w:t>Methods:</w:t>
      </w:r>
      <w:r w:rsidR="004B7373">
        <w:rPr>
          <w:rFonts w:ascii="Arial" w:hAnsi="Arial" w:cs="Arial"/>
          <w:lang w:val="en-US"/>
        </w:rPr>
        <w:t xml:space="preserve"> </w:t>
      </w:r>
      <w:r>
        <w:rPr>
          <w:rFonts w:ascii="Arial" w:hAnsi="Arial" w:cs="Arial"/>
          <w:lang w:val="en-US"/>
        </w:rPr>
        <w:t>W</w:t>
      </w:r>
      <w:r w:rsidR="007354CF" w:rsidRPr="007354CF">
        <w:rPr>
          <w:rFonts w:ascii="Arial" w:hAnsi="Arial" w:cs="Arial"/>
          <w:lang w:val="en-US"/>
        </w:rPr>
        <w:t>e performed a</w:t>
      </w:r>
      <w:r w:rsidR="00432426" w:rsidRPr="007354CF">
        <w:rPr>
          <w:rFonts w:ascii="Arial" w:hAnsi="Arial" w:cs="Arial"/>
          <w:lang w:val="en-US"/>
        </w:rPr>
        <w:t xml:space="preserve"> </w:t>
      </w:r>
      <w:r w:rsidR="00687BE3">
        <w:rPr>
          <w:rFonts w:ascii="Arial" w:hAnsi="Arial" w:cs="Arial"/>
          <w:lang w:val="en-US"/>
        </w:rPr>
        <w:t>p</w:t>
      </w:r>
      <w:r w:rsidR="00432426" w:rsidRPr="007354CF">
        <w:rPr>
          <w:rFonts w:ascii="Arial" w:hAnsi="Arial" w:cs="Arial"/>
          <w:lang w:val="en-US"/>
        </w:rPr>
        <w:t>rospective, comparative, transversal, descriptive and observational</w:t>
      </w:r>
      <w:r w:rsidR="007354CF" w:rsidRPr="007354CF">
        <w:rPr>
          <w:rFonts w:ascii="Arial" w:hAnsi="Arial" w:cs="Arial"/>
          <w:lang w:val="en-US"/>
        </w:rPr>
        <w:t xml:space="preserve"> study that </w:t>
      </w:r>
      <w:r w:rsidR="00432426" w:rsidRPr="007354CF">
        <w:rPr>
          <w:rFonts w:ascii="Arial" w:hAnsi="Arial" w:cs="Arial"/>
          <w:lang w:val="en-US"/>
        </w:rPr>
        <w:t xml:space="preserve">includes 49 cases (group A), which were patients that entered </w:t>
      </w:r>
      <w:r w:rsidR="00937A46" w:rsidRPr="007354CF">
        <w:rPr>
          <w:rFonts w:ascii="Arial" w:hAnsi="Arial" w:cs="Arial"/>
          <w:lang w:val="en-US"/>
        </w:rPr>
        <w:t xml:space="preserve">a </w:t>
      </w:r>
      <w:r w:rsidR="00687BE3">
        <w:rPr>
          <w:rFonts w:ascii="Arial" w:hAnsi="Arial" w:cs="Arial"/>
          <w:lang w:val="en-US"/>
        </w:rPr>
        <w:t xml:space="preserve">fertility </w:t>
      </w:r>
      <w:r w:rsidR="00937A46" w:rsidRPr="007354CF">
        <w:rPr>
          <w:rFonts w:ascii="Arial" w:hAnsi="Arial" w:cs="Arial"/>
          <w:lang w:val="en-US"/>
        </w:rPr>
        <w:t>program</w:t>
      </w:r>
      <w:r w:rsidR="00432426" w:rsidRPr="007354CF">
        <w:rPr>
          <w:rFonts w:ascii="Arial" w:hAnsi="Arial" w:cs="Arial"/>
          <w:lang w:val="en-US"/>
        </w:rPr>
        <w:t xml:space="preserve">, and 14 controls (group B), which correspond to the donor group. </w:t>
      </w:r>
      <w:r w:rsidR="007354CF" w:rsidRPr="007354CF">
        <w:rPr>
          <w:rFonts w:ascii="Arial" w:hAnsi="Arial" w:cs="Arial"/>
          <w:lang w:val="en-US"/>
        </w:rPr>
        <w:t>In b</w:t>
      </w:r>
      <w:r w:rsidR="00432426" w:rsidRPr="007354CF">
        <w:rPr>
          <w:rFonts w:ascii="Arial" w:hAnsi="Arial" w:cs="Arial"/>
          <w:lang w:val="en-US"/>
        </w:rPr>
        <w:t>oth groups</w:t>
      </w:r>
      <w:r w:rsidR="007354CF" w:rsidRPr="007354CF">
        <w:rPr>
          <w:rFonts w:ascii="Arial" w:hAnsi="Arial" w:cs="Arial"/>
          <w:lang w:val="en-US"/>
        </w:rPr>
        <w:t>, the levels of</w:t>
      </w:r>
      <w:r w:rsidR="00432426" w:rsidRPr="007354CF">
        <w:rPr>
          <w:rFonts w:ascii="Arial" w:hAnsi="Arial" w:cs="Arial"/>
          <w:lang w:val="en-US"/>
        </w:rPr>
        <w:t xml:space="preserve"> fol</w:t>
      </w:r>
      <w:r w:rsidR="007354CF" w:rsidRPr="007354CF">
        <w:rPr>
          <w:rFonts w:ascii="Arial" w:hAnsi="Arial" w:cs="Arial"/>
          <w:lang w:val="en-US"/>
        </w:rPr>
        <w:t>ic acid</w:t>
      </w:r>
      <w:r w:rsidR="00432426" w:rsidRPr="007354CF">
        <w:rPr>
          <w:rFonts w:ascii="Arial" w:hAnsi="Arial" w:cs="Arial"/>
          <w:lang w:val="en-US"/>
        </w:rPr>
        <w:t>, estradiol</w:t>
      </w:r>
      <w:r w:rsidR="007354CF" w:rsidRPr="007354CF">
        <w:rPr>
          <w:rFonts w:ascii="Arial" w:hAnsi="Arial" w:cs="Arial"/>
          <w:lang w:val="en-US"/>
        </w:rPr>
        <w:t xml:space="preserve"> and</w:t>
      </w:r>
      <w:r w:rsidR="00432426" w:rsidRPr="007354CF">
        <w:rPr>
          <w:rFonts w:ascii="Arial" w:hAnsi="Arial" w:cs="Arial"/>
          <w:lang w:val="en-US"/>
        </w:rPr>
        <w:t xml:space="preserve"> homocysteine</w:t>
      </w:r>
      <w:r w:rsidR="007354CF" w:rsidRPr="007354CF">
        <w:rPr>
          <w:rFonts w:ascii="Arial" w:hAnsi="Arial" w:cs="Arial"/>
          <w:lang w:val="en-US"/>
        </w:rPr>
        <w:t xml:space="preserve"> as well as the</w:t>
      </w:r>
      <w:r w:rsidR="00432426" w:rsidRPr="007354CF">
        <w:rPr>
          <w:rFonts w:ascii="Arial" w:hAnsi="Arial" w:cs="Arial"/>
          <w:lang w:val="en-US"/>
        </w:rPr>
        <w:t xml:space="preserve"> </w:t>
      </w:r>
      <w:r w:rsidR="007354CF" w:rsidRPr="007354CF">
        <w:rPr>
          <w:rFonts w:ascii="Arial" w:hAnsi="Arial" w:cs="Arial"/>
          <w:lang w:val="en-US"/>
        </w:rPr>
        <w:t xml:space="preserve">MTHFR </w:t>
      </w:r>
      <w:r w:rsidR="00432426" w:rsidRPr="007354CF">
        <w:rPr>
          <w:rFonts w:ascii="Arial" w:hAnsi="Arial" w:cs="Arial"/>
          <w:lang w:val="en-US"/>
        </w:rPr>
        <w:t>polymorph</w:t>
      </w:r>
      <w:r w:rsidR="007354CF" w:rsidRPr="007354CF">
        <w:rPr>
          <w:rFonts w:ascii="Arial" w:hAnsi="Arial" w:cs="Arial"/>
          <w:lang w:val="en-US"/>
        </w:rPr>
        <w:t xml:space="preserve">ism </w:t>
      </w:r>
      <w:r w:rsidR="00687BE3">
        <w:rPr>
          <w:rFonts w:ascii="Arial" w:hAnsi="Arial" w:cs="Arial"/>
          <w:lang w:val="en-US"/>
        </w:rPr>
        <w:t>were</w:t>
      </w:r>
      <w:r w:rsidR="007354CF" w:rsidRPr="007354CF">
        <w:rPr>
          <w:rFonts w:ascii="Arial" w:hAnsi="Arial" w:cs="Arial"/>
          <w:lang w:val="en-US"/>
        </w:rPr>
        <w:t xml:space="preserve"> determined</w:t>
      </w:r>
      <w:r w:rsidR="00432426" w:rsidRPr="007354CF">
        <w:rPr>
          <w:rFonts w:ascii="Arial" w:hAnsi="Arial" w:cs="Arial"/>
          <w:lang w:val="en-US"/>
        </w:rPr>
        <w:t>.</w:t>
      </w:r>
      <w:r w:rsidR="00A76376">
        <w:rPr>
          <w:rFonts w:ascii="Arial" w:hAnsi="Arial" w:cs="Arial"/>
          <w:lang w:val="en-US"/>
        </w:rPr>
        <w:t xml:space="preserve"> </w:t>
      </w:r>
    </w:p>
    <w:p w14:paraId="0B189D06" w14:textId="77777777" w:rsidR="008121C2" w:rsidRDefault="008121C2" w:rsidP="008121C2">
      <w:pPr>
        <w:spacing w:after="0" w:line="480" w:lineRule="auto"/>
        <w:jc w:val="both"/>
        <w:rPr>
          <w:rFonts w:ascii="Arial" w:hAnsi="Arial" w:cs="Arial"/>
          <w:lang w:val="en-US"/>
        </w:rPr>
      </w:pPr>
      <w:r w:rsidRPr="008121C2">
        <w:rPr>
          <w:rFonts w:ascii="Arial" w:hAnsi="Arial" w:cs="Arial"/>
          <w:b/>
          <w:bCs/>
          <w:lang w:val="en-US"/>
        </w:rPr>
        <w:t>Results</w:t>
      </w:r>
      <w:r>
        <w:rPr>
          <w:rFonts w:ascii="Arial" w:hAnsi="Arial" w:cs="Arial"/>
          <w:b/>
          <w:bCs/>
          <w:lang w:val="en-US"/>
        </w:rPr>
        <w:t xml:space="preserve">: </w:t>
      </w:r>
      <w:r w:rsidR="00432426" w:rsidRPr="00432426">
        <w:rPr>
          <w:rFonts w:ascii="Arial" w:hAnsi="Arial" w:cs="Arial"/>
          <w:lang w:val="en-US"/>
        </w:rPr>
        <w:t>None of the patients has subnormal levels of folic acid o</w:t>
      </w:r>
      <w:r w:rsidR="00A76376">
        <w:rPr>
          <w:rFonts w:ascii="Arial" w:hAnsi="Arial" w:cs="Arial"/>
          <w:lang w:val="en-US"/>
        </w:rPr>
        <w:t>r</w:t>
      </w:r>
      <w:r w:rsidR="00432426" w:rsidRPr="00432426">
        <w:rPr>
          <w:rFonts w:ascii="Arial" w:hAnsi="Arial" w:cs="Arial"/>
          <w:lang w:val="en-US"/>
        </w:rPr>
        <w:t xml:space="preserve"> </w:t>
      </w:r>
      <w:r w:rsidR="00A76376">
        <w:rPr>
          <w:rFonts w:ascii="Arial" w:hAnsi="Arial" w:cs="Arial"/>
          <w:lang w:val="en-US"/>
        </w:rPr>
        <w:t xml:space="preserve">homocysteine and these levels </w:t>
      </w:r>
      <w:r w:rsidR="00432426" w:rsidRPr="00432426">
        <w:rPr>
          <w:rFonts w:ascii="Arial" w:hAnsi="Arial" w:cs="Arial"/>
          <w:lang w:val="en-US"/>
        </w:rPr>
        <w:t xml:space="preserve">were not modified </w:t>
      </w:r>
      <w:r w:rsidR="00A76376">
        <w:rPr>
          <w:rFonts w:ascii="Arial" w:hAnsi="Arial" w:cs="Arial"/>
          <w:lang w:val="en-US"/>
        </w:rPr>
        <w:t>after</w:t>
      </w:r>
      <w:r w:rsidR="00432426" w:rsidRPr="00432426">
        <w:rPr>
          <w:rFonts w:ascii="Arial" w:hAnsi="Arial" w:cs="Arial"/>
          <w:lang w:val="en-US"/>
        </w:rPr>
        <w:t xml:space="preserve"> ovarian stimulation</w:t>
      </w:r>
      <w:r w:rsidR="00A76376">
        <w:rPr>
          <w:rFonts w:ascii="Arial" w:hAnsi="Arial" w:cs="Arial"/>
          <w:lang w:val="en-US"/>
        </w:rPr>
        <w:t>. We observed that</w:t>
      </w:r>
      <w:r w:rsidR="00432426" w:rsidRPr="00432426">
        <w:rPr>
          <w:rFonts w:ascii="Arial" w:hAnsi="Arial" w:cs="Arial"/>
          <w:lang w:val="en-US"/>
        </w:rPr>
        <w:t xml:space="preserve"> homocysteine </w:t>
      </w:r>
      <w:r w:rsidR="00A76376">
        <w:rPr>
          <w:rFonts w:ascii="Arial" w:hAnsi="Arial" w:cs="Arial"/>
          <w:lang w:val="en-US"/>
        </w:rPr>
        <w:t xml:space="preserve">concentration </w:t>
      </w:r>
      <w:r w:rsidR="00432426" w:rsidRPr="00432426">
        <w:rPr>
          <w:rFonts w:ascii="Arial" w:hAnsi="Arial" w:cs="Arial"/>
          <w:lang w:val="en-US"/>
        </w:rPr>
        <w:t>tend</w:t>
      </w:r>
      <w:r w:rsidR="00A76376">
        <w:rPr>
          <w:rFonts w:ascii="Arial" w:hAnsi="Arial" w:cs="Arial"/>
          <w:lang w:val="en-US"/>
        </w:rPr>
        <w:t>ed</w:t>
      </w:r>
      <w:r w:rsidR="00432426" w:rsidRPr="00432426">
        <w:rPr>
          <w:rFonts w:ascii="Arial" w:hAnsi="Arial" w:cs="Arial"/>
          <w:lang w:val="en-US"/>
        </w:rPr>
        <w:t xml:space="preserve"> to </w:t>
      </w:r>
      <w:r w:rsidR="00A76376">
        <w:rPr>
          <w:rFonts w:ascii="Arial" w:hAnsi="Arial" w:cs="Arial"/>
          <w:lang w:val="en-US"/>
        </w:rPr>
        <w:t>decrease with</w:t>
      </w:r>
      <w:r w:rsidR="00432426" w:rsidRPr="00432426">
        <w:rPr>
          <w:rFonts w:ascii="Arial" w:hAnsi="Arial" w:cs="Arial"/>
          <w:lang w:val="en-US"/>
        </w:rPr>
        <w:t xml:space="preserve"> elevated estradiol levels </w:t>
      </w:r>
      <w:r w:rsidR="00A0231F">
        <w:rPr>
          <w:rFonts w:ascii="Arial" w:hAnsi="Arial" w:cs="Arial"/>
          <w:lang w:val="en-US"/>
        </w:rPr>
        <w:t>produced by</w:t>
      </w:r>
      <w:r w:rsidR="00432426" w:rsidRPr="00432426">
        <w:rPr>
          <w:rFonts w:ascii="Arial" w:hAnsi="Arial" w:cs="Arial"/>
          <w:lang w:val="en-US"/>
        </w:rPr>
        <w:t xml:space="preserve"> the stimulation </w:t>
      </w:r>
      <w:r w:rsidR="00A0231F">
        <w:rPr>
          <w:rFonts w:ascii="Arial" w:hAnsi="Arial" w:cs="Arial"/>
          <w:lang w:val="en-US"/>
        </w:rPr>
        <w:t>of</w:t>
      </w:r>
      <w:r w:rsidR="00432426" w:rsidRPr="00432426">
        <w:rPr>
          <w:rFonts w:ascii="Arial" w:hAnsi="Arial" w:cs="Arial"/>
          <w:lang w:val="en-US"/>
        </w:rPr>
        <w:t xml:space="preserve"> the ovary. </w:t>
      </w:r>
      <w:r w:rsidR="00A76376">
        <w:rPr>
          <w:rFonts w:ascii="Arial" w:hAnsi="Arial" w:cs="Arial"/>
          <w:lang w:val="en-US"/>
        </w:rPr>
        <w:t>T</w:t>
      </w:r>
      <w:r w:rsidR="00432426" w:rsidRPr="00432426">
        <w:rPr>
          <w:rFonts w:ascii="Arial" w:hAnsi="Arial" w:cs="Arial"/>
          <w:lang w:val="en-US"/>
        </w:rPr>
        <w:t xml:space="preserve">he presence of allele C677T MTHFR </w:t>
      </w:r>
      <w:r w:rsidR="00A76376">
        <w:rPr>
          <w:rFonts w:ascii="Arial" w:hAnsi="Arial" w:cs="Arial"/>
          <w:lang w:val="en-US"/>
        </w:rPr>
        <w:t>was</w:t>
      </w:r>
      <w:r w:rsidR="00432426" w:rsidRPr="00432426">
        <w:rPr>
          <w:rFonts w:ascii="Arial" w:hAnsi="Arial" w:cs="Arial"/>
          <w:lang w:val="en-US"/>
        </w:rPr>
        <w:t xml:space="preserve"> high</w:t>
      </w:r>
      <w:r w:rsidR="00A76376">
        <w:rPr>
          <w:rFonts w:ascii="Arial" w:hAnsi="Arial" w:cs="Arial"/>
          <w:lang w:val="en-US"/>
        </w:rPr>
        <w:t xml:space="preserve"> in the populations </w:t>
      </w:r>
      <w:r w:rsidR="00A0231F">
        <w:rPr>
          <w:rFonts w:ascii="Arial" w:hAnsi="Arial" w:cs="Arial"/>
          <w:lang w:val="en-US"/>
        </w:rPr>
        <w:t>evaluated in this study,</w:t>
      </w:r>
      <w:r w:rsidR="00A76376">
        <w:rPr>
          <w:rFonts w:ascii="Arial" w:hAnsi="Arial" w:cs="Arial"/>
          <w:lang w:val="en-US"/>
        </w:rPr>
        <w:t xml:space="preserve"> with a particular high incidence of the TT allele. </w:t>
      </w:r>
    </w:p>
    <w:p w14:paraId="011A53E6" w14:textId="11F24B61" w:rsidR="00E83128" w:rsidRDefault="008121C2" w:rsidP="008121C2">
      <w:pPr>
        <w:spacing w:after="0" w:line="480" w:lineRule="auto"/>
        <w:jc w:val="both"/>
        <w:rPr>
          <w:rFonts w:ascii="Arial" w:hAnsi="Arial" w:cs="Arial"/>
          <w:lang w:val="en-US"/>
        </w:rPr>
      </w:pPr>
      <w:r w:rsidRPr="008121C2">
        <w:rPr>
          <w:rFonts w:ascii="Arial" w:hAnsi="Arial" w:cs="Arial"/>
          <w:b/>
          <w:bCs/>
          <w:lang w:val="en-US"/>
        </w:rPr>
        <w:t>Conclusion:</w:t>
      </w:r>
      <w:r>
        <w:rPr>
          <w:rFonts w:ascii="Arial" w:hAnsi="Arial" w:cs="Arial"/>
          <w:lang w:val="en-US"/>
        </w:rPr>
        <w:t xml:space="preserve"> The l</w:t>
      </w:r>
      <w:r w:rsidRPr="00432426">
        <w:rPr>
          <w:rFonts w:ascii="Arial" w:hAnsi="Arial" w:cs="Arial"/>
          <w:lang w:val="en-US"/>
        </w:rPr>
        <w:t xml:space="preserve">evels of </w:t>
      </w:r>
      <w:r w:rsidR="005C38A9">
        <w:rPr>
          <w:rFonts w:ascii="Arial" w:hAnsi="Arial" w:cs="Arial"/>
          <w:lang w:val="en-US"/>
        </w:rPr>
        <w:t>plasma and intracellular folate,</w:t>
      </w:r>
      <w:r>
        <w:rPr>
          <w:rFonts w:ascii="Arial" w:hAnsi="Arial" w:cs="Arial"/>
          <w:lang w:val="en-US"/>
        </w:rPr>
        <w:t xml:space="preserve"> and</w:t>
      </w:r>
      <w:r w:rsidRPr="00432426">
        <w:rPr>
          <w:rFonts w:ascii="Arial" w:hAnsi="Arial" w:cs="Arial"/>
          <w:lang w:val="en-US"/>
        </w:rPr>
        <w:t xml:space="preserve"> homocysteine</w:t>
      </w:r>
      <w:r>
        <w:rPr>
          <w:rFonts w:ascii="Arial" w:hAnsi="Arial" w:cs="Arial"/>
          <w:lang w:val="en-US"/>
        </w:rPr>
        <w:t xml:space="preserve"> do not change during hormonal stimulation.</w:t>
      </w:r>
    </w:p>
    <w:p w14:paraId="0663E298" w14:textId="77777777" w:rsidR="008121C2" w:rsidRPr="00E2291C" w:rsidRDefault="008121C2" w:rsidP="008121C2">
      <w:pPr>
        <w:spacing w:after="0" w:line="480" w:lineRule="auto"/>
        <w:jc w:val="both"/>
        <w:rPr>
          <w:rFonts w:ascii="Arial" w:hAnsi="Arial" w:cs="Arial"/>
          <w:lang w:val="en-US"/>
        </w:rPr>
      </w:pPr>
    </w:p>
    <w:p w14:paraId="232B8F7B" w14:textId="77777777" w:rsidR="00327B9D" w:rsidRPr="008012CB" w:rsidRDefault="00327B9D" w:rsidP="00327B9D">
      <w:pPr>
        <w:autoSpaceDE w:val="0"/>
        <w:autoSpaceDN w:val="0"/>
        <w:adjustRightInd w:val="0"/>
        <w:spacing w:afterLines="60" w:after="144" w:line="360" w:lineRule="auto"/>
        <w:jc w:val="both"/>
        <w:rPr>
          <w:rFonts w:ascii="Arial" w:hAnsi="Arial" w:cs="Arial"/>
          <w:lang w:val="en-US"/>
        </w:rPr>
      </w:pPr>
      <w:r w:rsidRPr="008447CC">
        <w:rPr>
          <w:rFonts w:ascii="Arial" w:hAnsi="Arial" w:cs="Arial"/>
          <w:b/>
          <w:highlight w:val="yellow"/>
          <w:lang w:val="en-US"/>
        </w:rPr>
        <w:t>Keywords</w:t>
      </w:r>
      <w:r w:rsidRPr="008447CC">
        <w:rPr>
          <w:rFonts w:ascii="Arial" w:hAnsi="Arial" w:cs="Arial"/>
          <w:highlight w:val="yellow"/>
          <w:lang w:val="en-US"/>
        </w:rPr>
        <w:t>: Folic acid; homocysteine; MTHFR polymorphism; infertility; IVF</w:t>
      </w:r>
    </w:p>
    <w:p w14:paraId="01EC43A4" w14:textId="68B4BDC1" w:rsidR="00E83128" w:rsidRPr="00E2291C" w:rsidRDefault="00E83128" w:rsidP="00A90CBF">
      <w:pPr>
        <w:spacing w:afterLines="60" w:after="144" w:line="360" w:lineRule="auto"/>
        <w:rPr>
          <w:rFonts w:ascii="Arial" w:hAnsi="Arial" w:cs="Arial"/>
          <w:lang w:val="en-US"/>
        </w:rPr>
      </w:pPr>
    </w:p>
    <w:p w14:paraId="3564306D" w14:textId="5FA299BE" w:rsidR="00C21BD5" w:rsidRPr="00E2291C" w:rsidRDefault="00C21BD5" w:rsidP="00A90CBF">
      <w:pPr>
        <w:spacing w:afterLines="60" w:after="144" w:line="360" w:lineRule="auto"/>
        <w:rPr>
          <w:rFonts w:ascii="Arial" w:hAnsi="Arial" w:cs="Arial"/>
          <w:lang w:val="en-US"/>
        </w:rPr>
      </w:pPr>
    </w:p>
    <w:p w14:paraId="7BF0E72F" w14:textId="63E1FC1E" w:rsidR="00C21BD5" w:rsidRPr="00E2291C" w:rsidRDefault="00C21BD5" w:rsidP="00A90CBF">
      <w:pPr>
        <w:spacing w:afterLines="60" w:after="144" w:line="360" w:lineRule="auto"/>
        <w:rPr>
          <w:rFonts w:ascii="Arial" w:hAnsi="Arial" w:cs="Arial"/>
          <w:lang w:val="en-US"/>
        </w:rPr>
      </w:pPr>
    </w:p>
    <w:p w14:paraId="6F920973" w14:textId="508178F6" w:rsidR="00C21BD5" w:rsidRPr="00E2291C" w:rsidRDefault="00C21BD5" w:rsidP="00A90CBF">
      <w:pPr>
        <w:spacing w:afterLines="60" w:after="144" w:line="360" w:lineRule="auto"/>
        <w:rPr>
          <w:rFonts w:ascii="Arial" w:hAnsi="Arial" w:cs="Arial"/>
          <w:lang w:val="en-US"/>
        </w:rPr>
      </w:pPr>
    </w:p>
    <w:p w14:paraId="120A5CB2" w14:textId="17427C04" w:rsidR="00C21BD5" w:rsidRDefault="00C21BD5" w:rsidP="00A90CBF">
      <w:pPr>
        <w:spacing w:afterLines="60" w:after="144" w:line="360" w:lineRule="auto"/>
        <w:rPr>
          <w:rFonts w:ascii="Arial" w:hAnsi="Arial" w:cs="Arial"/>
          <w:lang w:val="en-US"/>
        </w:rPr>
      </w:pPr>
    </w:p>
    <w:p w14:paraId="6C9C6CA2" w14:textId="77777777" w:rsidR="005C38A9" w:rsidRPr="00E2291C" w:rsidRDefault="005C38A9" w:rsidP="00A90CBF">
      <w:pPr>
        <w:spacing w:afterLines="60" w:after="144" w:line="360" w:lineRule="auto"/>
        <w:rPr>
          <w:rFonts w:ascii="Arial" w:hAnsi="Arial" w:cs="Arial"/>
          <w:lang w:val="en-US"/>
        </w:rPr>
      </w:pPr>
    </w:p>
    <w:p w14:paraId="477452CE" w14:textId="54999422" w:rsidR="00C21BD5" w:rsidRPr="00E2291C" w:rsidRDefault="00C21BD5" w:rsidP="00A90CBF">
      <w:pPr>
        <w:spacing w:afterLines="60" w:after="144" w:line="360" w:lineRule="auto"/>
        <w:rPr>
          <w:rFonts w:ascii="Arial" w:hAnsi="Arial" w:cs="Arial"/>
          <w:lang w:val="en-US"/>
        </w:rPr>
      </w:pPr>
    </w:p>
    <w:p w14:paraId="22D4BA64" w14:textId="55FF403B" w:rsidR="00C21BD5" w:rsidRPr="00E2291C" w:rsidRDefault="00C21BD5" w:rsidP="00A90CBF">
      <w:pPr>
        <w:spacing w:afterLines="60" w:after="144" w:line="360" w:lineRule="auto"/>
        <w:rPr>
          <w:rFonts w:ascii="Arial" w:hAnsi="Arial" w:cs="Arial"/>
          <w:lang w:val="en-US"/>
        </w:rPr>
      </w:pPr>
    </w:p>
    <w:p w14:paraId="5972507B" w14:textId="2DD1E0FA" w:rsidR="00C21BD5" w:rsidRDefault="00C21BD5" w:rsidP="00A90CBF">
      <w:pPr>
        <w:spacing w:afterLines="60" w:after="144" w:line="360" w:lineRule="auto"/>
        <w:rPr>
          <w:rFonts w:ascii="Arial" w:hAnsi="Arial" w:cs="Arial"/>
          <w:lang w:val="en-US"/>
        </w:rPr>
      </w:pPr>
    </w:p>
    <w:p w14:paraId="55BC8D79" w14:textId="785CF437" w:rsidR="009D4E5A" w:rsidRPr="00E2291C" w:rsidRDefault="00327B9D" w:rsidP="00BF46C5">
      <w:pPr>
        <w:spacing w:after="0" w:line="480" w:lineRule="auto"/>
        <w:rPr>
          <w:rFonts w:ascii="Arial" w:hAnsi="Arial" w:cs="Arial"/>
          <w:b/>
          <w:lang w:val="en-US"/>
        </w:rPr>
      </w:pPr>
      <w:r>
        <w:rPr>
          <w:rFonts w:ascii="Arial" w:hAnsi="Arial" w:cs="Arial"/>
          <w:b/>
          <w:lang w:val="en-US"/>
        </w:rPr>
        <w:lastRenderedPageBreak/>
        <w:t>Background</w:t>
      </w:r>
    </w:p>
    <w:p w14:paraId="60BE9DF2" w14:textId="78CEA2A4" w:rsidR="0005613D" w:rsidRDefault="00C27FCE" w:rsidP="005C38A9">
      <w:pPr>
        <w:spacing w:after="0" w:line="480" w:lineRule="auto"/>
        <w:ind w:firstLine="720"/>
        <w:jc w:val="both"/>
        <w:rPr>
          <w:rFonts w:ascii="Arial" w:hAnsi="Arial" w:cs="Arial"/>
          <w:lang w:val="en-US"/>
        </w:rPr>
      </w:pPr>
      <w:r>
        <w:rPr>
          <w:rFonts w:ascii="Arial" w:hAnsi="Arial" w:cs="Arial"/>
          <w:lang w:val="en-US"/>
        </w:rPr>
        <w:t>I</w:t>
      </w:r>
      <w:r w:rsidR="0005613D" w:rsidRPr="0005613D">
        <w:rPr>
          <w:rFonts w:ascii="Arial" w:hAnsi="Arial" w:cs="Arial"/>
          <w:lang w:val="en-US"/>
        </w:rPr>
        <w:t xml:space="preserve">nfertility affects approximately </w:t>
      </w:r>
      <w:r w:rsidR="00797112">
        <w:rPr>
          <w:rFonts w:ascii="Arial" w:hAnsi="Arial" w:cs="Arial"/>
          <w:lang w:val="en-US"/>
        </w:rPr>
        <w:t>10% of</w:t>
      </w:r>
      <w:r w:rsidR="0005613D" w:rsidRPr="0005613D">
        <w:rPr>
          <w:rFonts w:ascii="Arial" w:hAnsi="Arial" w:cs="Arial"/>
          <w:lang w:val="en-US"/>
        </w:rPr>
        <w:t xml:space="preserve"> couples</w:t>
      </w:r>
      <w:r w:rsidR="00797112">
        <w:rPr>
          <w:rFonts w:ascii="Arial" w:hAnsi="Arial" w:cs="Arial"/>
          <w:lang w:val="en-US"/>
        </w:rPr>
        <w:t xml:space="preserve"> in reproductive age</w:t>
      </w:r>
      <w:r w:rsidR="0005613D" w:rsidRPr="0005613D">
        <w:rPr>
          <w:rFonts w:ascii="Arial" w:hAnsi="Arial" w:cs="Arial"/>
          <w:lang w:val="en-US"/>
        </w:rPr>
        <w:t xml:space="preserve"> </w:t>
      </w:r>
      <w:r w:rsidR="008B0A09">
        <w:rPr>
          <w:rFonts w:ascii="Arial" w:hAnsi="Arial" w:cs="Arial"/>
          <w:lang w:val="en-US"/>
        </w:rPr>
        <w:fldChar w:fldCharType="begin" w:fldLock="1"/>
      </w:r>
      <w:r w:rsidR="008B0A09">
        <w:rPr>
          <w:rFonts w:ascii="Arial" w:hAnsi="Arial" w:cs="Arial"/>
          <w:lang w:val="en-US"/>
        </w:rPr>
        <w:instrText>ADDIN CSL_CITATION {"citationItems":[{"id":"ITEM-1","itemData":{"DOI":"10.1016/S0015-0282(02)03177-1","ISSN":"00150282","author":[{"dropping-particle":"","family":"Vayena","given":"Effy","non-dropping-particle":"","parse-names":false,"suffix":""},{"dropping-particle":"","family":"Rowe","given":"Patrick J","non-dropping-particle":"","parse-names":false,"suffix":""},{"dropping-particle":"","family":"Peterson","given":"Herbert B","non-dropping-particle":"","parse-names":false,"suffix":""}],"container-title":"Fertility and Sterility","id":"ITEM-1","issue":"1","issued":{"date-parts":[["2002","7"]]},"page":"13-15","title":"Assisted reproductive technology in developing countries: why should we care?","type":"article-journal","volume":"78"},"uris":["http://www.mendeley.com/documents/?uuid=1e93eabf-b798-3f3c-b016-de878ad69c16"]}],"mendeley":{"formattedCitation":"[1]","plainTextFormattedCitation":"[1]","previouslyFormattedCitation":"[1]"},"properties":{"noteIndex":0},"schema":"https://github.com/citation-style-language/schema/raw/master/csl-citation.json"}</w:instrText>
      </w:r>
      <w:r w:rsidR="008B0A09">
        <w:rPr>
          <w:rFonts w:ascii="Arial" w:hAnsi="Arial" w:cs="Arial"/>
          <w:lang w:val="en-US"/>
        </w:rPr>
        <w:fldChar w:fldCharType="separate"/>
      </w:r>
      <w:r w:rsidR="008B0A09" w:rsidRPr="008B0A09">
        <w:rPr>
          <w:rFonts w:ascii="Arial" w:hAnsi="Arial" w:cs="Arial"/>
          <w:noProof/>
          <w:lang w:val="en-US"/>
        </w:rPr>
        <w:t>[1]</w:t>
      </w:r>
      <w:r w:rsidR="008B0A09">
        <w:rPr>
          <w:rFonts w:ascii="Arial" w:hAnsi="Arial" w:cs="Arial"/>
          <w:lang w:val="en-US"/>
        </w:rPr>
        <w:fldChar w:fldCharType="end"/>
      </w:r>
      <w:r w:rsidR="0005613D" w:rsidRPr="0005613D">
        <w:rPr>
          <w:rFonts w:ascii="Arial" w:hAnsi="Arial" w:cs="Arial"/>
          <w:lang w:val="en-US"/>
        </w:rPr>
        <w:t xml:space="preserve"> and is </w:t>
      </w:r>
      <w:r>
        <w:rPr>
          <w:rFonts w:ascii="Arial" w:hAnsi="Arial" w:cs="Arial"/>
          <w:lang w:val="en-US"/>
        </w:rPr>
        <w:t>considered</w:t>
      </w:r>
      <w:r w:rsidR="0005613D" w:rsidRPr="0005613D">
        <w:rPr>
          <w:rFonts w:ascii="Arial" w:hAnsi="Arial" w:cs="Arial"/>
          <w:lang w:val="en-US"/>
        </w:rPr>
        <w:t xml:space="preserve"> as </w:t>
      </w:r>
      <w:r w:rsidR="00797112">
        <w:rPr>
          <w:rFonts w:ascii="Arial" w:hAnsi="Arial" w:cs="Arial"/>
          <w:lang w:val="en-US"/>
        </w:rPr>
        <w:t>a major cause of</w:t>
      </w:r>
      <w:r w:rsidR="0005613D" w:rsidRPr="0005613D">
        <w:rPr>
          <w:rFonts w:ascii="Arial" w:hAnsi="Arial" w:cs="Arial"/>
          <w:lang w:val="en-US"/>
        </w:rPr>
        <w:t xml:space="preserve"> stress</w:t>
      </w:r>
      <w:r w:rsidR="00797112">
        <w:rPr>
          <w:rFonts w:ascii="Arial" w:hAnsi="Arial" w:cs="Arial"/>
          <w:lang w:val="en-US"/>
        </w:rPr>
        <w:t xml:space="preserve"> </w:t>
      </w:r>
      <w:r w:rsidR="0005613D" w:rsidRPr="0005613D">
        <w:rPr>
          <w:rFonts w:ascii="Arial" w:hAnsi="Arial" w:cs="Arial"/>
          <w:lang w:val="en-US"/>
        </w:rPr>
        <w:t xml:space="preserve">in life </w:t>
      </w:r>
      <w:r w:rsidR="008B0A09">
        <w:rPr>
          <w:rFonts w:ascii="Arial" w:hAnsi="Arial" w:cs="Arial"/>
          <w:lang w:val="en-US"/>
        </w:rPr>
        <w:fldChar w:fldCharType="begin" w:fldLock="1"/>
      </w:r>
      <w:r w:rsidR="008B0A09">
        <w:rPr>
          <w:rFonts w:ascii="Arial" w:hAnsi="Arial" w:cs="Arial"/>
          <w:lang w:val="en-US"/>
        </w:rPr>
        <w:instrText>ADDIN CSL_CITATION {"citationItems":[{"id":"ITEM-1","itemData":{"DOI":"10.1093/ajcn/71.5.1295s","ISSN":"0002-9165","PMID":"10799405","abstract":"The periconceptional use of folic acid-containing supplements reduces the first occurrence, as well as the recurrence, of neural tube defects. Women of populations in which adverse pregnancy outcomes are prevalent often consume diets that contain a low density of vitamins and minerals, including folate. Folate intake may need to be sustained after complete closure of the neural tube to decrease the risk of other poor pregnancy outcomes. A central feature of embryonic and fetal development is widespread cell division; folate is central because of its role in nucleic acid synthesis. During gestation, marginal folate nutriture can impair cellular growth and replication in the fetus or placenta. Folate deficiency can occur because dietary folate intake is low or because the metabolic requirement for folate is increased by a particular genetic defect or defects. During pregnancy, low concentrations of dietary and circulating folate are associated with increased risks of preterm delivery, infant low birth weight, and fetal growth retardation. A metabolic effect of folate deficiency is an elevation of blood homocysteine. Likewise, the presence of maternal homocysteine concentrations have been associated both with increased habitual spontaneous abortion and pregnancy complications (eg, placental abruption and preeclampsia), which increase the risk of poor pregnancy outcome and of decreased birth weight and gestation duration.","author":[{"dropping-particle":"","family":"Scholl","given":"T O","non-dropping-particle":"","parse-names":false,"suffix":""},{"dropping-particle":"","family":"Johnson","given":"W G","non-dropping-particle":"","parse-names":false,"suffix":""}],"container-title":"The American journal of clinical nutrition","id":"ITEM-1","issue":"5 Suppl","issued":{"date-parts":[["2000","5","1"]]},"page":"1295S-303S","title":"Folic acid: influence on the outcome of pregnancy.","type":"article-journal","volume":"71"},"uris":["http://www.mendeley.com/documents/?uuid=35045a0e-75f0-3dd6-893a-8b451dd488b0"]}],"mendeley":{"formattedCitation":"[2]","plainTextFormattedCitation":"[2]","previouslyFormattedCitation":"[2]"},"properties":{"noteIndex":0},"schema":"https://github.com/citation-style-language/schema/raw/master/csl-citation.json"}</w:instrText>
      </w:r>
      <w:r w:rsidR="008B0A09">
        <w:rPr>
          <w:rFonts w:ascii="Arial" w:hAnsi="Arial" w:cs="Arial"/>
          <w:lang w:val="en-US"/>
        </w:rPr>
        <w:fldChar w:fldCharType="separate"/>
      </w:r>
      <w:r w:rsidR="008B0A09" w:rsidRPr="008B0A09">
        <w:rPr>
          <w:rFonts w:ascii="Arial" w:hAnsi="Arial" w:cs="Arial"/>
          <w:noProof/>
          <w:lang w:val="en-US"/>
        </w:rPr>
        <w:t>[2]</w:t>
      </w:r>
      <w:r w:rsidR="008B0A09">
        <w:rPr>
          <w:rFonts w:ascii="Arial" w:hAnsi="Arial" w:cs="Arial"/>
          <w:lang w:val="en-US"/>
        </w:rPr>
        <w:fldChar w:fldCharType="end"/>
      </w:r>
      <w:r w:rsidR="0005613D" w:rsidRPr="0005613D">
        <w:rPr>
          <w:rFonts w:ascii="Arial" w:hAnsi="Arial" w:cs="Arial"/>
          <w:lang w:val="en-US"/>
        </w:rPr>
        <w:t>.</w:t>
      </w:r>
      <w:r w:rsidR="00797112">
        <w:rPr>
          <w:rFonts w:ascii="Arial" w:hAnsi="Arial" w:cs="Arial"/>
          <w:lang w:val="en-US"/>
        </w:rPr>
        <w:t xml:space="preserve"> </w:t>
      </w:r>
      <w:r>
        <w:rPr>
          <w:rFonts w:ascii="Arial" w:hAnsi="Arial" w:cs="Arial"/>
          <w:lang w:val="en-US"/>
        </w:rPr>
        <w:t>O</w:t>
      </w:r>
      <w:r w:rsidR="0005613D" w:rsidRPr="0005613D">
        <w:rPr>
          <w:rFonts w:ascii="Arial" w:hAnsi="Arial" w:cs="Arial"/>
          <w:lang w:val="en-US"/>
        </w:rPr>
        <w:t>ne of the B vitamins,</w:t>
      </w:r>
      <w:r>
        <w:rPr>
          <w:rFonts w:ascii="Arial" w:hAnsi="Arial" w:cs="Arial"/>
          <w:lang w:val="en-US"/>
        </w:rPr>
        <w:t xml:space="preserve"> </w:t>
      </w:r>
      <w:r w:rsidRPr="00797112">
        <w:rPr>
          <w:rFonts w:ascii="Arial" w:hAnsi="Arial" w:cs="Arial"/>
          <w:lang w:val="en-US"/>
        </w:rPr>
        <w:t>Foli</w:t>
      </w:r>
      <w:r>
        <w:rPr>
          <w:rFonts w:ascii="Arial" w:hAnsi="Arial" w:cs="Arial"/>
          <w:lang w:val="en-US"/>
        </w:rPr>
        <w:t>c acid</w:t>
      </w:r>
      <w:r w:rsidRPr="0005613D">
        <w:rPr>
          <w:rFonts w:ascii="Arial" w:hAnsi="Arial" w:cs="Arial"/>
          <w:lang w:val="en-US"/>
        </w:rPr>
        <w:t xml:space="preserve">, </w:t>
      </w:r>
      <w:r w:rsidR="0005613D" w:rsidRPr="0005613D">
        <w:rPr>
          <w:rFonts w:ascii="Arial" w:hAnsi="Arial" w:cs="Arial"/>
          <w:lang w:val="en-US"/>
        </w:rPr>
        <w:t xml:space="preserve"> </w:t>
      </w:r>
      <w:r w:rsidR="00797112">
        <w:rPr>
          <w:rFonts w:ascii="Arial" w:hAnsi="Arial" w:cs="Arial"/>
          <w:lang w:val="en-US"/>
        </w:rPr>
        <w:t>was proposed</w:t>
      </w:r>
      <w:r w:rsidR="0005613D" w:rsidRPr="0005613D">
        <w:rPr>
          <w:rFonts w:ascii="Arial" w:hAnsi="Arial" w:cs="Arial"/>
          <w:lang w:val="en-US"/>
        </w:rPr>
        <w:t xml:space="preserve"> to be related to</w:t>
      </w:r>
      <w:r w:rsidR="00797112">
        <w:rPr>
          <w:rFonts w:ascii="Arial" w:hAnsi="Arial" w:cs="Arial"/>
          <w:lang w:val="en-US"/>
        </w:rPr>
        <w:t xml:space="preserve"> </w:t>
      </w:r>
      <w:r w:rsidR="00690F5C">
        <w:rPr>
          <w:rFonts w:ascii="Arial" w:hAnsi="Arial" w:cs="Arial"/>
          <w:lang w:val="en-US"/>
        </w:rPr>
        <w:t>human</w:t>
      </w:r>
      <w:r w:rsidR="0005613D" w:rsidRPr="0005613D">
        <w:rPr>
          <w:rFonts w:ascii="Arial" w:hAnsi="Arial" w:cs="Arial"/>
          <w:lang w:val="en-US"/>
        </w:rPr>
        <w:t xml:space="preserve"> infertility</w:t>
      </w:r>
      <w:r w:rsidR="000D39D8">
        <w:rPr>
          <w:rFonts w:ascii="Arial" w:hAnsi="Arial" w:cs="Arial"/>
          <w:lang w:val="en-US"/>
        </w:rPr>
        <w:t xml:space="preserve"> </w:t>
      </w:r>
      <w:r w:rsidR="000D39D8">
        <w:rPr>
          <w:rFonts w:ascii="Arial" w:hAnsi="Arial" w:cs="Arial"/>
          <w:lang w:val="en-US"/>
        </w:rPr>
        <w:fldChar w:fldCharType="begin" w:fldLock="1"/>
      </w:r>
      <w:r w:rsidR="000D39D8">
        <w:rPr>
          <w:rFonts w:ascii="Arial" w:hAnsi="Arial" w:cs="Arial"/>
          <w:lang w:val="en-US"/>
        </w:rPr>
        <w:instrText>ADDIN CSL_CITATION {"citationItems":[{"id":"ITEM-1","itemData":{"DOI":"10.1093/ajcn/83.5.993","ISSN":"0002-9165","PMID":"16685040","abstract":"The influence of folate nutritional status on various pregnancy outcomes has long been recognized. Studies conducted in the 1950s and 1960s led to the recognition of prenatal folic acid supplementation as a means to prevent pregnancy-induced megaloblastic anemia. In the 1990s, the utility of periconceptional folic acid supplementation and folic acid food fortification emerged when they were proven to prevent the occurrence of neural tube defects. These distinctively different uses of folic acid may well be ranked among the most significant public health measures for the prevention of pregnancy-related disorders. Folate is now viewed not only as a nutrient needed to prevent megaloblastic anemia in pregnancy but also as a vitamin essential for reproductive health. This review focuses on the relation between various outcomes of human reproduction (ie, pregnancy, lactation, and male reproduction) and folate nutrition and metabolism, homocysteine metabolism, and polymorphisms of genes that encode folate-related enzymes or proteins, and we identify issues for future research.","author":[{"dropping-particle":"","family":"Tamura","given":"Tsunenobu","non-dropping-particle":"","parse-names":false,"suffix":""},{"dropping-particle":"","family":"Picciano","given":"Mary Frances","non-dropping-particle":"","parse-names":false,"suffix":""}],"container-title":"The American Journal of Clinical Nutrition","id":"ITEM-1","issue":"5","issued":{"date-parts":[["2006","5","1"]]},"page":"993-1016","title":"Folate and human reproduction","type":"article-journal","volume":"83"},"uris":["http://www.mendeley.com/documents/?uuid=849f899b-9591-3507-915f-0ed14ddd04fc"]}],"mendeley":{"formattedCitation":"[3]","plainTextFormattedCitation":"[3]"},"properties":{"noteIndex":0},"schema":"https://github.com/citation-style-language/schema/raw/master/csl-citation.json"}</w:instrText>
      </w:r>
      <w:r w:rsidR="000D39D8">
        <w:rPr>
          <w:rFonts w:ascii="Arial" w:hAnsi="Arial" w:cs="Arial"/>
          <w:lang w:val="en-US"/>
        </w:rPr>
        <w:fldChar w:fldCharType="separate"/>
      </w:r>
      <w:r w:rsidR="000D39D8" w:rsidRPr="000D39D8">
        <w:rPr>
          <w:rFonts w:ascii="Arial" w:hAnsi="Arial" w:cs="Arial"/>
          <w:noProof/>
          <w:lang w:val="en-US"/>
        </w:rPr>
        <w:t>[3]</w:t>
      </w:r>
      <w:r w:rsidR="000D39D8">
        <w:rPr>
          <w:rFonts w:ascii="Arial" w:hAnsi="Arial" w:cs="Arial"/>
          <w:lang w:val="en-US"/>
        </w:rPr>
        <w:fldChar w:fldCharType="end"/>
      </w:r>
      <w:r w:rsidR="0005613D" w:rsidRPr="0005613D">
        <w:rPr>
          <w:rFonts w:ascii="Arial" w:hAnsi="Arial" w:cs="Arial"/>
          <w:lang w:val="en-US"/>
        </w:rPr>
        <w:t xml:space="preserve"> and is important for </w:t>
      </w:r>
      <w:r w:rsidR="00797112">
        <w:rPr>
          <w:rFonts w:ascii="Arial" w:hAnsi="Arial" w:cs="Arial"/>
          <w:lang w:val="en-US"/>
        </w:rPr>
        <w:t>egg</w:t>
      </w:r>
      <w:r w:rsidR="0005613D" w:rsidRPr="0005613D">
        <w:rPr>
          <w:rFonts w:ascii="Arial" w:hAnsi="Arial" w:cs="Arial"/>
          <w:lang w:val="en-US"/>
        </w:rPr>
        <w:t xml:space="preserve"> quality</w:t>
      </w:r>
      <w:r w:rsidR="00797112">
        <w:rPr>
          <w:rFonts w:ascii="Arial" w:hAnsi="Arial" w:cs="Arial"/>
          <w:lang w:val="en-US"/>
        </w:rPr>
        <w:t>,</w:t>
      </w:r>
      <w:r w:rsidR="0005613D" w:rsidRPr="0005613D">
        <w:rPr>
          <w:rFonts w:ascii="Arial" w:hAnsi="Arial" w:cs="Arial"/>
          <w:lang w:val="en-US"/>
        </w:rPr>
        <w:t xml:space="preserve"> maturation as well as for implantation and pregnancy </w:t>
      </w:r>
      <w:r w:rsidR="008B0A09">
        <w:rPr>
          <w:rFonts w:ascii="Arial" w:hAnsi="Arial" w:cs="Arial"/>
          <w:lang w:val="en-US"/>
        </w:rPr>
        <w:fldChar w:fldCharType="begin" w:fldLock="1"/>
      </w:r>
      <w:r w:rsidR="000D39D8">
        <w:rPr>
          <w:rFonts w:ascii="Arial" w:hAnsi="Arial" w:cs="Arial"/>
          <w:lang w:val="en-US"/>
        </w:rPr>
        <w:instrText>ADDIN CSL_CITATION {"citationItems":[{"id":"ITEM-1","itemData":{"DOI":"10.1093/humupd/dml054","ISSN":"1460-2369","PMID":"17099205","abstract":"Current treatments of subfertile couples are usually empiric, as the true cause of subfertility often remains unknown. Therefore, we outline the role of nutritional and biochemical factors in reproduction and subfertility. A literature search was performed using MEDLINE, Science Direct and bibliographies of published work with both positive and negative results. The studies showed that folate has a role in spermatogenesis. In female reproduction, folate is also important for oocyte quality and maturation, implantation, placentation, fetal growth and organ development. Zinc has also been implicated in testicular development, sperm maturation and testosterone synthesis. In females, zinc plays a role in sexual development, ovulation and the menstrual cycle. Both folate and zinc have antioxidant properties that counteract reactive oxygen species (ROS). Thiols, such as glutathione, balance the levels of ROS produced by spermatozoa and influence DNA compaction and the stability and motility of spermatozoa. Oocyte maturation, ovulation, luteolysis and follicle atresia are also affected by ROS. After fertilization, glutathione is important for sperm nucleus decondensation and pronucleus formation. Folate, zinc, ROS and thiols affect apoptosis, which is important for sperm release, regulation of follicle atresia, degeneration of the corpus luteum and endometrial shedding. Therefore, the concentrations of these nutrients may have substantial effects on reproduction. In conclusion, nutritional and biochemical factors affect biological processes in male and female reproduction. Further research should identify pathways that may lead to improvements in care and treatment of subfertility.","author":[{"dropping-particle":"","family":"Ebisch","given":"I.M.W.","non-dropping-particle":"","parse-names":false,"suffix":""},{"dropping-particle":"","family":"Thomas","given":"C.M.G.","non-dropping-particle":"","parse-names":false,"suffix":""},{"dropping-particle":"","family":"Peters","given":"W.H.M.","non-dropping-particle":"","parse-names":false,"suffix":""},{"dropping-particle":"","family":"Braat","given":"D.D.M.","non-dropping-particle":"","parse-names":false,"suffix":""},{"dropping-particle":"","family":"Steegers-Theunissen","given":"R.P.M.","non-dropping-particle":"","parse-names":false,"suffix":""}],"container-title":"Human Reproduction Update","id":"ITEM-1","issue":"2","issued":{"date-parts":[["2007","3","1"]]},"page":"163-174","title":"The importance of folate, zinc and antioxidants in the pathogenesis and prevention of subfertility","type":"article-journal","volume":"13"},"uris":["http://www.mendeley.com/documents/?uuid=7849f461-1bf8-3ada-a80e-8ce23f01cbc9"]}],"mendeley":{"formattedCitation":"[4]","plainTextFormattedCitation":"[4]","previouslyFormattedCitation":"[3]"},"properties":{"noteIndex":0},"schema":"https://github.com/citation-style-language/schema/raw/master/csl-citation.json"}</w:instrText>
      </w:r>
      <w:r w:rsidR="008B0A09">
        <w:rPr>
          <w:rFonts w:ascii="Arial" w:hAnsi="Arial" w:cs="Arial"/>
          <w:lang w:val="en-US"/>
        </w:rPr>
        <w:fldChar w:fldCharType="separate"/>
      </w:r>
      <w:r w:rsidR="000D39D8" w:rsidRPr="000D39D8">
        <w:rPr>
          <w:rFonts w:ascii="Arial" w:hAnsi="Arial" w:cs="Arial"/>
          <w:noProof/>
          <w:lang w:val="en-US"/>
        </w:rPr>
        <w:t>[4]</w:t>
      </w:r>
      <w:r w:rsidR="008B0A09">
        <w:rPr>
          <w:rFonts w:ascii="Arial" w:hAnsi="Arial" w:cs="Arial"/>
          <w:lang w:val="en-US"/>
        </w:rPr>
        <w:fldChar w:fldCharType="end"/>
      </w:r>
      <w:r w:rsidR="0005613D" w:rsidRPr="0005613D">
        <w:rPr>
          <w:rFonts w:ascii="Arial" w:hAnsi="Arial" w:cs="Arial"/>
          <w:lang w:val="en-US"/>
        </w:rPr>
        <w:t xml:space="preserve">. Folate </w:t>
      </w:r>
      <w:r w:rsidR="00797112">
        <w:rPr>
          <w:rFonts w:ascii="Arial" w:hAnsi="Arial" w:cs="Arial"/>
          <w:lang w:val="en-US"/>
        </w:rPr>
        <w:t>is</w:t>
      </w:r>
      <w:r w:rsidR="0005613D" w:rsidRPr="0005613D">
        <w:rPr>
          <w:rFonts w:ascii="Arial" w:hAnsi="Arial" w:cs="Arial"/>
          <w:lang w:val="en-US"/>
        </w:rPr>
        <w:t xml:space="preserve"> important role </w:t>
      </w:r>
      <w:r w:rsidR="00797112">
        <w:rPr>
          <w:rFonts w:ascii="Arial" w:hAnsi="Arial" w:cs="Arial"/>
          <w:lang w:val="en-US"/>
        </w:rPr>
        <w:t xml:space="preserve">for </w:t>
      </w:r>
      <w:r w:rsidR="0005613D" w:rsidRPr="0005613D">
        <w:rPr>
          <w:rFonts w:ascii="Arial" w:hAnsi="Arial" w:cs="Arial"/>
          <w:lang w:val="en-US"/>
        </w:rPr>
        <w:t>DNA synthesis and epigenetic modification, as well as cell proliferation</w:t>
      </w:r>
      <w:r w:rsidR="00797112">
        <w:rPr>
          <w:rFonts w:ascii="Arial" w:hAnsi="Arial" w:cs="Arial"/>
          <w:lang w:val="en-US"/>
        </w:rPr>
        <w:t xml:space="preserve"> and its</w:t>
      </w:r>
      <w:r w:rsidR="0005613D" w:rsidRPr="0005613D">
        <w:rPr>
          <w:rFonts w:ascii="Arial" w:hAnsi="Arial" w:cs="Arial"/>
          <w:lang w:val="en-US"/>
        </w:rPr>
        <w:t xml:space="preserve"> deficiency </w:t>
      </w:r>
      <w:r w:rsidR="00552A1A" w:rsidRPr="0005613D">
        <w:rPr>
          <w:rFonts w:ascii="Arial" w:hAnsi="Arial" w:cs="Arial"/>
          <w:lang w:val="en-US"/>
        </w:rPr>
        <w:t>affect</w:t>
      </w:r>
      <w:r w:rsidR="0005613D" w:rsidRPr="0005613D">
        <w:rPr>
          <w:rFonts w:ascii="Arial" w:hAnsi="Arial" w:cs="Arial"/>
          <w:lang w:val="en-US"/>
        </w:rPr>
        <w:t xml:space="preserve"> cells </w:t>
      </w:r>
      <w:r w:rsidR="00797112">
        <w:rPr>
          <w:rFonts w:ascii="Arial" w:hAnsi="Arial" w:cs="Arial"/>
          <w:lang w:val="en-US"/>
        </w:rPr>
        <w:t xml:space="preserve">with high levels of proliferation </w:t>
      </w:r>
      <w:r w:rsidR="0005613D" w:rsidRPr="0005613D">
        <w:rPr>
          <w:rFonts w:ascii="Arial" w:hAnsi="Arial" w:cs="Arial"/>
          <w:lang w:val="en-US"/>
        </w:rPr>
        <w:t xml:space="preserve">(e.g. neural tube cells in the developing fetus), thus </w:t>
      </w:r>
      <w:r>
        <w:rPr>
          <w:rFonts w:ascii="Arial" w:hAnsi="Arial" w:cs="Arial"/>
          <w:lang w:val="en-US"/>
        </w:rPr>
        <w:t>increasing</w:t>
      </w:r>
      <w:r w:rsidR="0005613D" w:rsidRPr="0005613D">
        <w:rPr>
          <w:rFonts w:ascii="Arial" w:hAnsi="Arial" w:cs="Arial"/>
          <w:lang w:val="en-US"/>
        </w:rPr>
        <w:t xml:space="preserve"> the risk of neural tube defects </w:t>
      </w:r>
      <w:r>
        <w:rPr>
          <w:rFonts w:ascii="Arial" w:hAnsi="Arial" w:cs="Arial"/>
          <w:lang w:val="en-US"/>
        </w:rPr>
        <w:t>as well as other</w:t>
      </w:r>
      <w:r w:rsidR="0005613D" w:rsidRPr="0005613D">
        <w:rPr>
          <w:rFonts w:ascii="Arial" w:hAnsi="Arial" w:cs="Arial"/>
          <w:lang w:val="en-US"/>
        </w:rPr>
        <w:t xml:space="preserve"> birth defects </w:t>
      </w:r>
      <w:r w:rsidR="008B0A09">
        <w:rPr>
          <w:rFonts w:ascii="Arial" w:hAnsi="Arial" w:cs="Arial"/>
          <w:lang w:val="en-US"/>
        </w:rPr>
        <w:fldChar w:fldCharType="begin" w:fldLock="1"/>
      </w:r>
      <w:r w:rsidR="000D39D8">
        <w:rPr>
          <w:rFonts w:ascii="Arial" w:hAnsi="Arial" w:cs="Arial"/>
          <w:lang w:val="en-US"/>
        </w:rPr>
        <w:instrText>ADDIN CSL_CITATION {"citationItems":[{"id":"ITEM-1","itemData":{"DOI":"10.1093/ajcn/85.2.598S","ISSN":"0002-9165","author":[{"dropping-particle":"","family":"Antony","given":"Aśok C","non-dropping-particle":"","parse-names":false,"suffix":""}],"container-title":"The American Journal of Clinical Nutrition","id":"ITEM-1","issue":"2","issued":{"date-parts":[["2007","2","1"]]},"page":"598S-603S","title":"In utero physiology: role of folic acid in nutrient delivery and fetal development","type":"article-journal","volume":"85"},"uris":["http://www.mendeley.com/documents/?uuid=0f6bdfab-7cf7-3e0d-9130-622791182db4"]},{"id":"ITEM-2","itemData":{"ISSN":"1368-9800","PMID":"11683553","abstract":"Research in the past decade has established that low or inadequate folate status may contribute to congenital malformations and the development of chronic disease in later life. Using an evidence based approach, there are clear guidelines for recommending folic acid supplementation or fortification in certain disease conditions but further proof of its efficacy is required in other circumstances. There is conclusive evidence that maternal periconceptional supplementation with folic acid prevents the majority of NTDs, probably by overcoming one or more genetically inherited metabolic blocks in folate dependent enzymes. Public health efforts to advise women to increase their folate intake have not been successful. As a result, the U.S. government passed legislation to have all flour fortified with folic acid. This intervention has had a dramatic effect on folate status in the U.S. To date, countries of the EU have not adopted mandatory fortification policies. The amino acid homocysteine is an essential intermediate in folate metabolism. Substantial evidence indicates that elevated plasma homocysteine is an independent risk factor for heart disease and stroke. Plasma homocysteine levels can be reduced by folic acid supplements. A food fortification policy would probably be an effective population strategy to reduce plasma homocysteine. However, many experts believe that this would be premature without first showing that such reduction would cause a decrease in the prevalence of cardiovascular disease. The contribution of folate to cancer risk is not well defined although there is reasonable evidence to implicate low folate status in the specific case of colorectal cancer. In particular, long-term folic acid supplementation may reduce risk of colorectal cancer substantially. Various mental disorders including Alzheimer's Disease have been associated with low folate status or elevated plasma homocysteine. While it is hard to determine if this is cause or effect, there is little doubt that if it were true then low dose folic acid intervention would be highly effective.","author":[{"dropping-particle":"","family":"Molloy","given":"A M","non-dropping-particle":"","parse-names":false,"suffix":""},{"dropping-particle":"","family":"Scott","given":"J M","non-dropping-particle":"","parse-names":false,"suffix":""}],"container-title":"Public health nutrition","id":"ITEM-2","issue":"2B","issued":{"date-parts":[["2001","4"]]},"page":"601-9","title":"Folates and prevention of disease.","type":"article-journal","volume":"4"},"uris":["http://www.mendeley.com/documents/?uuid=454b7788-9b42-3534-9c96-de8875b44de8"]},{"id":"ITEM-3","itemData":{"DOI":"10.1155/2012/295083","ISSN":"2090-2735","PMID":"22900183","abstract":"Nutritional deficiencies are preventable etiological and epigenetic factors causing congenital abnormalities, first cause of infant mortality. Folate deficiency has a well-established teratogenic effect, leading to an increasing risk of neural tube defects. This paper highlights the most recent medical literature about folate deficiency, be it maternal or paternal. It then focuses on associated deficiencies as nutritional deficiencies are multiple and interrelated. Observational and interventional studies have all been consistent with a 50-70% protective effect of adequate women consumption of folates on neural tube defects. Since strategies to modify women's dietary habits and vitamin use have achieved little progress, scientific as well as political effort is mandatory in order to implement global preventive public health strategies aimed at improving the alimentation of women in reproductive age, especially folic acid supplementation. Even with the recent breakthrough of fetal surgery for myelomeningocele, the emphasis should still be on prevention as the best practice rather than treatment of neural tube defects.","author":[{"dropping-particle":"","family":"Safi","given":"J","non-dropping-particle":"","parse-names":false,"suffix":""},{"dropping-particle":"","family":"Joyeux","given":"L","non-dropping-particle":"","parse-names":false,"suffix":""},{"dropping-particle":"","family":"Chalouhi","given":"G E","non-dropping-particle":"","parse-names":false,"suffix":""}],"container-title":"Journal of pregnancy","id":"ITEM-3","issued":{"date-parts":[["2012"]]},"page":"295083","title":"Periconceptional folate deficiency and implications in neural tube defects.","type":"article-journal","volume":"2012"},"uris":["http://www.mendeley.com/documents/?uuid=0b32abde-0219-3562-9f50-b2af97a862fb"]},{"id":"ITEM-4","itemData":{"DOI":"10.1136/bmj.39079.618287.0B","ISSN":"0959-8138","PMID":"17259187","abstract":"OBJECTIVE To explore the role of folic acid supplements, dietary folates, and multivitamins in the prevention of facial clefts. DESIGN National population based case-control study. SETTING Infants born 1996-2001 in Norway. PARTICIPANTS 377 infants with cleft lip with or without cleft palate; 196 infants with cleft palate alone; 763 controls. MAIN OUTCOME MEASURES Association of facial clefts with maternal intake of folic acid supplements, multivitamins, and folates in diet. RESULTS Folic acid supplementation during early pregnancy (&gt; or =400 microg/day) was associated with a reduced risk of isolated cleft lip with or without cleft palate after adjustment for multivitamins, smoking, and other potential confounding factors (adjusted odds ratio 0.61, 95% confidence interval 0.39 to 0.96). Independent of supplements, diets rich in fruits, vegetables, and other high folate containing foods reduced the risk somewhat (adjusted odds ratio 0.75, 0.50 to 1.11). The lowest risk of cleft lip was among women with folate rich diets who also took folic acid supplements and multivitamins (0.36, 0.17 to 0.77). Folic acid provided no protection against cleft palate alone (1.07, 0.56 to 2.03). CONCLUSIONS Folic acid supplements during early pregnancy seem to reduce the risk of isolated cleft lip (with or without cleft palate) by about a third. Other vitamins and dietary factors may provide additional benefit.","author":[{"dropping-particle":"","family":"Wilcox","given":"Allen J","non-dropping-particle":"","parse-names":false,"suffix":""},{"dropping-particle":"","family":"Lie","given":"Rolv Terje","non-dropping-particle":"","parse-names":false,"suffix":""},{"dropping-particle":"","family":"Solvoll","given":"Kari","non-dropping-particle":"","parse-names":false,"suffix":""},{"dropping-particle":"","family":"Taylor","given":"Jack","non-dropping-particle":"","parse-names":false,"suffix":""},{"dropping-particle":"","family":"McConnaughey","given":"D Robert","non-dropping-particle":"","parse-names":false,"suffix":""},{"dropping-particle":"","family":"Åbyholm","given":"Frank","non-dropping-particle":"","parse-names":false,"suffix":""},{"dropping-particle":"","family":"Vindenes","given":"Hallvard","non-dropping-particle":"","parse-names":false,"suffix":""},{"dropping-particle":"","family":"Vollset","given":"Stein Emil","non-dropping-particle":"","parse-names":false,"suffix":""},{"dropping-particle":"","family":"Drevon","given":"Christian A","non-dropping-particle":"","parse-names":false,"suffix":""}],"container-title":"BMJ","id":"ITEM-4","issue":"7591","issued":{"date-parts":[["2007","3","3"]]},"page":"464","title":"Folic acid supplements and risk of facial clefts: national population based case-control study","type":"article-journal","volume":"334"},"uris":["http://www.mendeley.com/documents/?uuid=1767dba1-1329-3797-81c5-869451129ba8"]}],"mendeley":{"formattedCitation":"[5–8]","plainTextFormattedCitation":"[5–8]","previouslyFormattedCitation":"[4–7]"},"properties":{"noteIndex":0},"schema":"https://github.com/citation-style-language/schema/raw/master/csl-citation.json"}</w:instrText>
      </w:r>
      <w:r w:rsidR="008B0A09">
        <w:rPr>
          <w:rFonts w:ascii="Arial" w:hAnsi="Arial" w:cs="Arial"/>
          <w:lang w:val="en-US"/>
        </w:rPr>
        <w:fldChar w:fldCharType="separate"/>
      </w:r>
      <w:r w:rsidR="000D39D8" w:rsidRPr="000D39D8">
        <w:rPr>
          <w:rFonts w:ascii="Arial" w:hAnsi="Arial" w:cs="Arial"/>
          <w:noProof/>
          <w:lang w:val="en-US"/>
        </w:rPr>
        <w:t>[5–8]</w:t>
      </w:r>
      <w:r w:rsidR="008B0A09">
        <w:rPr>
          <w:rFonts w:ascii="Arial" w:hAnsi="Arial" w:cs="Arial"/>
          <w:lang w:val="en-US"/>
        </w:rPr>
        <w:fldChar w:fldCharType="end"/>
      </w:r>
      <w:r w:rsidR="0005613D" w:rsidRPr="0005613D">
        <w:rPr>
          <w:rFonts w:ascii="Arial" w:hAnsi="Arial" w:cs="Arial"/>
          <w:lang w:val="en-US"/>
        </w:rPr>
        <w:t>.</w:t>
      </w:r>
      <w:r w:rsidR="0005613D">
        <w:rPr>
          <w:rFonts w:ascii="Arial" w:hAnsi="Arial" w:cs="Arial"/>
          <w:lang w:val="en-US"/>
        </w:rPr>
        <w:t xml:space="preserve"> </w:t>
      </w:r>
      <w:r>
        <w:rPr>
          <w:rFonts w:ascii="Arial" w:hAnsi="Arial" w:cs="Arial"/>
          <w:lang w:val="en-US"/>
        </w:rPr>
        <w:t>S</w:t>
      </w:r>
      <w:r w:rsidR="0005613D" w:rsidRPr="0005613D">
        <w:rPr>
          <w:rFonts w:ascii="Arial" w:hAnsi="Arial" w:cs="Arial"/>
          <w:lang w:val="en-US"/>
        </w:rPr>
        <w:t xml:space="preserve">upplementation increase folate concentrations and decrease concentrations of </w:t>
      </w:r>
      <w:r>
        <w:rPr>
          <w:rFonts w:ascii="Arial" w:hAnsi="Arial" w:cs="Arial"/>
          <w:lang w:val="en-US"/>
        </w:rPr>
        <w:t xml:space="preserve">plasmatic </w:t>
      </w:r>
      <w:r w:rsidR="0005613D" w:rsidRPr="0005613D">
        <w:rPr>
          <w:rFonts w:ascii="Arial" w:hAnsi="Arial" w:cs="Arial"/>
          <w:lang w:val="en-US"/>
        </w:rPr>
        <w:t xml:space="preserve">homocysteine. </w:t>
      </w:r>
      <w:r>
        <w:rPr>
          <w:rFonts w:ascii="Arial" w:hAnsi="Arial" w:cs="Arial"/>
          <w:lang w:val="en-US"/>
        </w:rPr>
        <w:t>Although f</w:t>
      </w:r>
      <w:r w:rsidR="0005613D" w:rsidRPr="0005613D">
        <w:rPr>
          <w:rFonts w:ascii="Arial" w:hAnsi="Arial" w:cs="Arial"/>
          <w:lang w:val="en-US"/>
        </w:rPr>
        <w:t xml:space="preserve">olic acid supplementation is </w:t>
      </w:r>
      <w:r>
        <w:rPr>
          <w:rFonts w:ascii="Arial" w:hAnsi="Arial" w:cs="Arial"/>
          <w:lang w:val="en-US"/>
        </w:rPr>
        <w:t>often</w:t>
      </w:r>
      <w:r w:rsidR="0005613D" w:rsidRPr="0005613D">
        <w:rPr>
          <w:rFonts w:ascii="Arial" w:hAnsi="Arial" w:cs="Arial"/>
          <w:lang w:val="en-US"/>
        </w:rPr>
        <w:t xml:space="preserve"> used by infertile women, the effect on pregnancy outcome in </w:t>
      </w:r>
      <w:r>
        <w:rPr>
          <w:rFonts w:ascii="Arial" w:hAnsi="Arial" w:cs="Arial"/>
          <w:lang w:val="en-US"/>
        </w:rPr>
        <w:t>individuals</w:t>
      </w:r>
      <w:r w:rsidR="0005613D" w:rsidRPr="0005613D">
        <w:rPr>
          <w:rFonts w:ascii="Arial" w:hAnsi="Arial" w:cs="Arial"/>
          <w:lang w:val="en-US"/>
        </w:rPr>
        <w:t xml:space="preserve"> </w:t>
      </w:r>
      <w:r>
        <w:rPr>
          <w:rFonts w:ascii="Arial" w:hAnsi="Arial" w:cs="Arial"/>
          <w:lang w:val="en-US"/>
        </w:rPr>
        <w:t>that were</w:t>
      </w:r>
      <w:r w:rsidR="0005613D" w:rsidRPr="0005613D">
        <w:rPr>
          <w:rFonts w:ascii="Arial" w:hAnsi="Arial" w:cs="Arial"/>
          <w:lang w:val="en-US"/>
        </w:rPr>
        <w:t xml:space="preserve"> diagnos</w:t>
      </w:r>
      <w:r>
        <w:rPr>
          <w:rFonts w:ascii="Arial" w:hAnsi="Arial" w:cs="Arial"/>
          <w:lang w:val="en-US"/>
        </w:rPr>
        <w:t>ed with</w:t>
      </w:r>
      <w:r w:rsidR="0005613D" w:rsidRPr="0005613D">
        <w:rPr>
          <w:rFonts w:ascii="Arial" w:hAnsi="Arial" w:cs="Arial"/>
          <w:lang w:val="en-US"/>
        </w:rPr>
        <w:t xml:space="preserve"> unexplained infertility has not been</w:t>
      </w:r>
      <w:r w:rsidR="007D246F">
        <w:rPr>
          <w:rFonts w:ascii="Arial" w:hAnsi="Arial" w:cs="Arial"/>
          <w:lang w:val="en-US"/>
        </w:rPr>
        <w:t xml:space="preserve"> fully</w:t>
      </w:r>
      <w:r w:rsidR="0005613D" w:rsidRPr="0005613D">
        <w:rPr>
          <w:rFonts w:ascii="Arial" w:hAnsi="Arial" w:cs="Arial"/>
          <w:lang w:val="en-US"/>
        </w:rPr>
        <w:t xml:space="preserve"> investigated.</w:t>
      </w:r>
    </w:p>
    <w:p w14:paraId="7D072F56" w14:textId="4DFE2B99" w:rsidR="007D246F" w:rsidRDefault="0005613D" w:rsidP="005C38A9">
      <w:pPr>
        <w:spacing w:after="0" w:line="480" w:lineRule="auto"/>
        <w:ind w:firstLine="720"/>
        <w:jc w:val="both"/>
        <w:rPr>
          <w:rFonts w:ascii="Arial" w:hAnsi="Arial" w:cs="Arial"/>
          <w:lang w:val="en-US"/>
        </w:rPr>
      </w:pPr>
      <w:r w:rsidRPr="0005613D">
        <w:rPr>
          <w:rFonts w:ascii="Arial" w:hAnsi="Arial" w:cs="Arial"/>
          <w:lang w:val="en-US"/>
        </w:rPr>
        <w:t>Homocysteine is a non-proteinogenic amino acid</w:t>
      </w:r>
      <w:r>
        <w:rPr>
          <w:rFonts w:ascii="Arial" w:hAnsi="Arial" w:cs="Arial"/>
          <w:lang w:val="en-US"/>
        </w:rPr>
        <w:t xml:space="preserve"> that is</w:t>
      </w:r>
      <w:r w:rsidRPr="0005613D">
        <w:rPr>
          <w:rFonts w:ascii="Arial" w:hAnsi="Arial" w:cs="Arial"/>
          <w:lang w:val="en-US"/>
        </w:rPr>
        <w:t xml:space="preserve"> biosynthesized from methionine </w:t>
      </w:r>
      <w:r>
        <w:rPr>
          <w:rFonts w:ascii="Arial" w:hAnsi="Arial" w:cs="Arial"/>
          <w:lang w:val="en-US"/>
        </w:rPr>
        <w:t>which</w:t>
      </w:r>
      <w:r w:rsidRPr="0005613D">
        <w:rPr>
          <w:rFonts w:ascii="Arial" w:hAnsi="Arial" w:cs="Arial"/>
          <w:lang w:val="en-US"/>
        </w:rPr>
        <w:t xml:space="preserve"> can be </w:t>
      </w:r>
      <w:r>
        <w:rPr>
          <w:rFonts w:ascii="Arial" w:hAnsi="Arial" w:cs="Arial"/>
          <w:lang w:val="en-US"/>
        </w:rPr>
        <w:t xml:space="preserve">also be </w:t>
      </w:r>
      <w:r w:rsidRPr="0005613D">
        <w:rPr>
          <w:rFonts w:ascii="Arial" w:hAnsi="Arial" w:cs="Arial"/>
          <w:lang w:val="en-US"/>
        </w:rPr>
        <w:t xml:space="preserve">recycled into methionine or converted into cysteine with the </w:t>
      </w:r>
      <w:r>
        <w:rPr>
          <w:rFonts w:ascii="Arial" w:hAnsi="Arial" w:cs="Arial"/>
          <w:lang w:val="en-US"/>
        </w:rPr>
        <w:t>help</w:t>
      </w:r>
      <w:r w:rsidRPr="0005613D">
        <w:rPr>
          <w:rFonts w:ascii="Arial" w:hAnsi="Arial" w:cs="Arial"/>
          <w:lang w:val="en-US"/>
        </w:rPr>
        <w:t xml:space="preserve"> of certain B-vitamins.</w:t>
      </w:r>
      <w:r>
        <w:rPr>
          <w:rFonts w:ascii="Arial" w:hAnsi="Arial" w:cs="Arial"/>
          <w:lang w:val="en-US"/>
        </w:rPr>
        <w:t xml:space="preserve"> </w:t>
      </w:r>
      <w:proofErr w:type="spellStart"/>
      <w:r w:rsidRPr="0005613D">
        <w:rPr>
          <w:rFonts w:ascii="Arial" w:hAnsi="Arial" w:cs="Arial"/>
          <w:lang w:val="en-US"/>
        </w:rPr>
        <w:t>Hyperhomocysteinemia</w:t>
      </w:r>
      <w:proofErr w:type="spellEnd"/>
      <w:r w:rsidRPr="0005613D">
        <w:rPr>
          <w:rFonts w:ascii="Arial" w:hAnsi="Arial" w:cs="Arial"/>
          <w:lang w:val="en-US"/>
        </w:rPr>
        <w:t xml:space="preserve"> </w:t>
      </w:r>
      <w:r>
        <w:rPr>
          <w:rFonts w:ascii="Arial" w:hAnsi="Arial" w:cs="Arial"/>
          <w:lang w:val="en-US"/>
        </w:rPr>
        <w:t>can</w:t>
      </w:r>
      <w:r w:rsidRPr="0005613D">
        <w:rPr>
          <w:rFonts w:ascii="Arial" w:hAnsi="Arial" w:cs="Arial"/>
          <w:lang w:val="en-US"/>
        </w:rPr>
        <w:t xml:space="preserve"> </w:t>
      </w:r>
      <w:r>
        <w:rPr>
          <w:rFonts w:ascii="Arial" w:hAnsi="Arial" w:cs="Arial"/>
          <w:lang w:val="en-US"/>
        </w:rPr>
        <w:t>alter</w:t>
      </w:r>
      <w:r w:rsidRPr="0005613D">
        <w:rPr>
          <w:rFonts w:ascii="Arial" w:hAnsi="Arial" w:cs="Arial"/>
          <w:lang w:val="en-US"/>
        </w:rPr>
        <w:t xml:space="preserve"> </w:t>
      </w:r>
      <w:r>
        <w:rPr>
          <w:rFonts w:ascii="Arial" w:hAnsi="Arial" w:cs="Arial"/>
          <w:lang w:val="en-US"/>
        </w:rPr>
        <w:t>the reproductive potential of men and women. Several reports have associated the high levels of homocysteine with</w:t>
      </w:r>
      <w:r w:rsidRPr="0005613D">
        <w:rPr>
          <w:rFonts w:ascii="Arial" w:hAnsi="Arial" w:cs="Arial"/>
          <w:lang w:val="en-US"/>
        </w:rPr>
        <w:t xml:space="preserve"> </w:t>
      </w:r>
      <w:r>
        <w:rPr>
          <w:rFonts w:ascii="Arial" w:hAnsi="Arial" w:cs="Arial"/>
          <w:lang w:val="en-US"/>
        </w:rPr>
        <w:t>low</w:t>
      </w:r>
      <w:r w:rsidRPr="0005613D">
        <w:rPr>
          <w:rFonts w:ascii="Arial" w:hAnsi="Arial" w:cs="Arial"/>
          <w:lang w:val="en-US"/>
        </w:rPr>
        <w:t xml:space="preserve"> </w:t>
      </w:r>
      <w:r>
        <w:rPr>
          <w:rFonts w:ascii="Arial" w:hAnsi="Arial" w:cs="Arial"/>
          <w:lang w:val="en-US"/>
        </w:rPr>
        <w:t>egg</w:t>
      </w:r>
      <w:r w:rsidRPr="0005613D">
        <w:rPr>
          <w:rFonts w:ascii="Arial" w:hAnsi="Arial" w:cs="Arial"/>
          <w:lang w:val="en-US"/>
        </w:rPr>
        <w:t xml:space="preserve"> quality, male infertility, congenital malformation</w:t>
      </w:r>
      <w:r>
        <w:rPr>
          <w:rFonts w:ascii="Arial" w:hAnsi="Arial" w:cs="Arial"/>
          <w:lang w:val="en-US"/>
        </w:rPr>
        <w:t>s</w:t>
      </w:r>
      <w:r w:rsidRPr="0005613D">
        <w:rPr>
          <w:rFonts w:ascii="Arial" w:hAnsi="Arial" w:cs="Arial"/>
          <w:lang w:val="en-US"/>
        </w:rPr>
        <w:t>, miscarriage</w:t>
      </w:r>
      <w:r>
        <w:rPr>
          <w:rFonts w:ascii="Arial" w:hAnsi="Arial" w:cs="Arial"/>
          <w:lang w:val="en-US"/>
        </w:rPr>
        <w:t xml:space="preserve"> and low </w:t>
      </w:r>
      <w:r w:rsidR="00E54EE0">
        <w:rPr>
          <w:rFonts w:ascii="Arial" w:hAnsi="Arial" w:cs="Arial"/>
          <w:lang w:val="en-US"/>
        </w:rPr>
        <w:t>pregnancy</w:t>
      </w:r>
      <w:r>
        <w:rPr>
          <w:rFonts w:ascii="Arial" w:hAnsi="Arial" w:cs="Arial"/>
          <w:lang w:val="en-US"/>
        </w:rPr>
        <w:t xml:space="preserve"> rates </w:t>
      </w:r>
      <w:r w:rsidR="008B0A09">
        <w:rPr>
          <w:rFonts w:ascii="Arial" w:hAnsi="Arial" w:cs="Arial"/>
          <w:lang w:val="en-US"/>
        </w:rPr>
        <w:fldChar w:fldCharType="begin" w:fldLock="1"/>
      </w:r>
      <w:r w:rsidR="000D39D8">
        <w:rPr>
          <w:rFonts w:ascii="Arial" w:hAnsi="Arial" w:cs="Arial"/>
          <w:lang w:val="en-US"/>
        </w:rPr>
        <w:instrText>ADDIN CSL_CITATION {"citationItems":[{"id":"ITEM-1","itemData":{"DOI":"10.1093/humrep/del081","ISSN":"0268-1161","PMID":"16556671","abstract":"BACKGROUND Thiols are scavengers of reactive oxygen species (ROS). We aim to investigate associations between thiols in various fluids in (sub)fertile couples and fertility outcome parameters. METHODS In 156 couples undergoing assisted reproduction techniques (ART), we measured the concentrations of glutathione (GSH), cysteine (Cys), homocysteine (Hcy) and cysteinylglycine (CGS) and fertility outcome parameters in the ejaculate, purified spermatozoa and follicular fluid. RESULTS All thiols were detectable in most ejaculates, spermatozoa and follicular fluids, of which Cys concentrations were highest. Thiol concentrations in the ejaculate were similar in fertile and subfertile men. However, Hcy in follicular fluid was higher in women with endometriosis compared with women in the idiopathic subfertile group (P=0.04). The GSH, Cys, Hcy and CGS concentrations in spermatozoa of subfertile men were significantly higher compared with men in the idiopathic subfertile group and fertile men (P&lt;0.001). Most notably, Hcy concentrations in both the ejaculate and follicular fluid were negatively associated with embryo quality on culture day 3 in the IVF/ICSI procedure. CONCLUSIONS Spermatozoa of subfertile men contain significantly higher thiol concentrations as compared with those of fertile men. The detrimental effect on embryo quality of a high Hcy concentration in the ejaculate and in follicular fluid is intriguing and may suggest that Hcy is inversely associated with fertility outcome.","author":[{"dropping-particle":"","family":"Ebisch","given":"I M W","non-dropping-particle":"","parse-names":false,"suffix":""},{"dropping-particle":"","family":"Peters","given":"W H M","non-dropping-particle":"","parse-names":false,"suffix":""},{"dropping-particle":"","family":"Thomas","given":"C M G","non-dropping-particle":"","parse-names":false,"suffix":""},{"dropping-particle":"","family":"Wetzels","given":"A M M","non-dropping-particle":"","parse-names":false,"suffix":""},{"dropping-particle":"","family":"Peer","given":"P G M","non-dropping-particle":"","parse-names":false,"suffix":""},{"dropping-particle":"","family":"Steegers-Theunissen","given":"R P M","non-dropping-particle":"","parse-names":false,"suffix":""}],"container-title":"Human reproduction (Oxford, England)","id":"ITEM-1","issue":"7","issued":{"date-parts":[["2006","7"]]},"page":"1725-33","title":"Homocysteine, glutathione and related thiols affect fertility parameters in the (sub)fertile couple.","type":"article-journal","volume":"21"},"uris":["http://www.mendeley.com/documents/?uuid=217f0951-46ad-3f59-91cf-2bd1781d29be"]},{"id":"ITEM-2","itemData":{"DOI":"10.1016/s0029-7844(99)00610-9","ISSN":"0029-7844","PMID":"10725483","abstract":"OBJECTIVE To estimate the relative risk of recurrent early pregnancy loss for different total plasma homocysteine and serum folate concentrations. METHODS In a case-control study, we measured homocysteine (fasting and afterload), folate (serum and red cells), pyridoxal 5'-phosphate, and cobalamin concentrations in 123 women who had at least two consecutive spontaneous early pregnancy losses each and compared concentrations with those of 104 healthy controls. RESULTS Women with recurrent early pregnancy losses had significantly lower serum folate concentrations than controls, whereas the other measurements were similar to those of controls. Elevated homocysteine, fasting greater than 18.3 micromol/L and afterload greater than 61.5 micromol/L, was a risk factor for recurrent early pregnancy loss, with odds ratios (ORs) and 95% confidence intervals (95% CIs) of 3.6 (1.2, 12.7) and 2.7 (0.9, 8.8) in the group with recurrent miscarriages: 6.4 (1.9, 24.3) and 4.3 (1. 2, 17.3) in primary aborters, and 4.2 (1.3, 15.4) and 3.4 (1.0, 12. 8) in those with three or more miscarriages. The ORs (95% CIs) in the same study populations for serum folate concentrations less than 8.4 nmol/L were 2.1 (0.9, 4.8), 2.7 (1.0, 7.8), and 3.2 (1.3, 8.1), respectively. A significant dose-response relationship between serum folate concentrations and risk of recurrent early pregnancy loss suggested a protective effect by high serum folate concentrations. CONCLUSION Elevated homocysteine and reduced serum folate concentrations were risk factors for recurrent spontaneous early pregnancy losses. Folic acid supplementation might be beneficial in women with histories of early pregnancy loss.","author":[{"dropping-particle":"","family":"Nelen","given":"W L","non-dropping-particle":"","parse-names":false,"suffix":""},{"dropping-particle":"","family":"Blom","given":"H J","non-dropping-particle":"","parse-names":false,"suffix":""},{"dropping-particle":"","family":"Steegers","given":"E A","non-dropping-particle":"","parse-names":false,"suffix":""},{"dropping-particle":"","family":"Heijer","given":"M","non-dropping-particle":"den","parse-names":false,"suffix":""},{"dropping-particle":"","family":"Thomas","given":"C M","non-dropping-particle":"","parse-names":false,"suffix":""},{"dropping-particle":"","family":"Eskes","given":"T K","non-dropping-particle":"","parse-names":false,"suffix":""}],"container-title":"Obstetrics and gynecology","id":"ITEM-2","issue":"4","issued":{"date-parts":[["2000","4"]]},"page":"519-24","title":"Homocysteine and folate levels as risk factors for recurrent early pregnancy loss.","type":"article-journal","volume":"95"},"uris":["http://www.mendeley.com/documents/?uuid=2e5efee1-cba5-3d26-a39b-55e7423ec75a"]},{"id":"ITEM-3","itemData":{"DOI":"10.1111/j.1471-0528.2006.01109.x","ISSN":"14700328","PMID":"17081182","abstract":"OBJECTIVE To investigate the inter-relation between mother and infant homocysteine, folate and vitamin B12 status and the risk of a child with congenital heart disease (CHD). DESIGN Case-control study. SETTING Erasmus MC, University Medical Centre, Rotterdam, the Netherlands. POPULATION Participants were 149 case-mothers and their children with CHD (n = 151) and 183 control-mothers with their children (n = 175). METHODS Approximately 17 months after the index-pregnancy maternal fasting, children's random venous blood samples were drawn to measure plasma total homocysteine, serum and red blood cell (RBC) folate, and serum vitamin B12 concentrations. Data were compared between cases and controls using the Mann-Whitney U test. The biochemical parameters were dichotomised according to the cutoff value of the 10th percentile of vitamin concentrations and the 90th percentile of homocysteine concentrations based on control data. Risk estimates for the association between CHD and the biochemical parameters were estimated in a logistic regression model. MAIN OUTCOME MEASURES Medians (minimum-maximum) and odds ratios (OR) (95% confidence intervals [CI]). RESULTS The OR (95% CI) of having a child with CHD was 2.9 (1.4-6.0) for maternal hyperhomocysteinaemia (&gt;14.3 micromol/l). This finding is substantiated by a significant concentration-dependent risk (Ptrend = 0.004). Hyperhomocysteinaemic case-mothers showed significantly lower serum folate and vitamin B12 concentrations than normohomocysteinaemic case-mothers. Serum and RBC folate concentrations were significantly higher in case-children than that in control-children. CONCLUSIONS Maternal hyperhomocysteinaemia is associated with an increased risk of CHD, partially due to low folate and vitamin B12 status. The folate status of children warrants further investigation.","author":[{"dropping-particle":"","family":"Verkleij-Hagoort","given":"AC","non-dropping-particle":"","parse-names":false,"suffix":""},{"dropping-particle":"","family":"Verlinde","given":"M","non-dropping-particle":"","parse-names":false,"suffix":""},{"dropping-particle":"","family":"Ursem","given":"NTC","non-dropping-particle":"","parse-names":false,"suffix":""},{"dropping-particle":"","family":"Lindemans","given":"J","non-dropping-particle":"","parse-names":false,"suffix":""},{"dropping-particle":"","family":"Helbing","given":"WA","non-dropping-particle":"","parse-names":false,"suffix":""},{"dropping-particle":"","family":"Ottenkamp","given":"J","non-dropping-particle":"","parse-names":false,"suffix":""},{"dropping-particle":"","family":"Siebel","given":"FMH","non-dropping-particle":"","parse-names":false,"suffix":""},{"dropping-particle":"","family":"Gittenberger-de Groot","given":"AC","non-dropping-particle":"","parse-names":false,"suffix":""},{"dropping-particle":"","family":"Jonge","given":"R","non-dropping-particle":"De","parse-names":false,"suffix":""},{"dropping-particle":"","family":"Bartelings","given":"MM","non-dropping-particle":"","parse-names":false,"suffix":""},{"dropping-particle":"","family":"Steegers","given":"EAP","non-dropping-particle":"","parse-names":false,"suffix":""},{"dropping-particle":"","family":"Steegers-Theunissen","given":"RPM","non-dropping-particle":"","parse-names":false,"suffix":""}],"container-title":"BJOG: An International Journal of Obstetrics &amp; Gynaecology","id":"ITEM-3","issue":"12","issued":{"date-parts":[["2006","11","1"]]},"page":"1412-1418","title":"Maternal hyperhomocysteinaemia is a risk factor for congenital heart disease","type":"article-journal","volume":"113"},"uris":["http://www.mendeley.com/documents/?uuid=17ca9594-e4f1-3401-a3c0-5e889efd5dd6"]}],"mendeley":{"formattedCitation":"[9–11]","plainTextFormattedCitation":"[9–11]","previouslyFormattedCitation":"[8–10]"},"properties":{"noteIndex":0},"schema":"https://github.com/citation-style-language/schema/raw/master/csl-citation.json"}</w:instrText>
      </w:r>
      <w:r w:rsidR="008B0A09">
        <w:rPr>
          <w:rFonts w:ascii="Arial" w:hAnsi="Arial" w:cs="Arial"/>
          <w:lang w:val="en-US"/>
        </w:rPr>
        <w:fldChar w:fldCharType="separate"/>
      </w:r>
      <w:r w:rsidR="000D39D8" w:rsidRPr="000D39D8">
        <w:rPr>
          <w:rFonts w:ascii="Arial" w:hAnsi="Arial" w:cs="Arial"/>
          <w:noProof/>
          <w:lang w:val="en-US"/>
        </w:rPr>
        <w:t>[9–11]</w:t>
      </w:r>
      <w:r w:rsidR="008B0A09">
        <w:rPr>
          <w:rFonts w:ascii="Arial" w:hAnsi="Arial" w:cs="Arial"/>
          <w:lang w:val="en-US"/>
        </w:rPr>
        <w:fldChar w:fldCharType="end"/>
      </w:r>
      <w:r w:rsidR="002F5748">
        <w:rPr>
          <w:rFonts w:ascii="Arial" w:hAnsi="Arial" w:cs="Arial"/>
          <w:lang w:val="en-US"/>
        </w:rPr>
        <w:t>.</w:t>
      </w:r>
      <w:r w:rsidR="007D246F">
        <w:rPr>
          <w:rFonts w:ascii="Arial" w:hAnsi="Arial" w:cs="Arial"/>
          <w:lang w:val="en-US"/>
        </w:rPr>
        <w:t xml:space="preserve"> The enzyme </w:t>
      </w:r>
      <w:r w:rsidR="007D246F" w:rsidRPr="005F4E14">
        <w:rPr>
          <w:rFonts w:ascii="Arial" w:hAnsi="Arial" w:cs="Arial"/>
          <w:lang w:val="en-US"/>
        </w:rPr>
        <w:t xml:space="preserve">Methylene tetrahydrofolate reductase (MTHFR) encoded by the </w:t>
      </w:r>
      <w:proofErr w:type="spellStart"/>
      <w:r w:rsidR="007D246F" w:rsidRPr="004378F0">
        <w:rPr>
          <w:rFonts w:ascii="Arial" w:hAnsi="Arial" w:cs="Arial"/>
          <w:i/>
          <w:iCs/>
          <w:lang w:val="en-US"/>
        </w:rPr>
        <w:t>mthfr</w:t>
      </w:r>
      <w:proofErr w:type="spellEnd"/>
      <w:r w:rsidR="007D246F" w:rsidRPr="005F4E14">
        <w:rPr>
          <w:rFonts w:ascii="Arial" w:hAnsi="Arial" w:cs="Arial"/>
          <w:lang w:val="en-US"/>
        </w:rPr>
        <w:t xml:space="preserve"> gene</w:t>
      </w:r>
      <w:r w:rsidR="007D246F">
        <w:rPr>
          <w:rFonts w:ascii="Arial" w:hAnsi="Arial" w:cs="Arial"/>
          <w:lang w:val="en-US"/>
        </w:rPr>
        <w:t xml:space="preserve"> </w:t>
      </w:r>
      <w:r w:rsidR="007D246F" w:rsidRPr="004378F0">
        <w:rPr>
          <w:rFonts w:ascii="Arial" w:hAnsi="Arial" w:cs="Arial"/>
          <w:lang w:val="en-US"/>
        </w:rPr>
        <w:t xml:space="preserve">catalyzes the conversion of 5,10-methylenetetrahydrofolate to 5-methyltetrahydrofolate, a </w:t>
      </w:r>
      <w:proofErr w:type="spellStart"/>
      <w:r w:rsidR="007D246F" w:rsidRPr="004378F0">
        <w:rPr>
          <w:rFonts w:ascii="Arial" w:hAnsi="Arial" w:cs="Arial"/>
          <w:lang w:val="en-US"/>
        </w:rPr>
        <w:t>cosubstrate</w:t>
      </w:r>
      <w:proofErr w:type="spellEnd"/>
      <w:r w:rsidR="007D246F" w:rsidRPr="004378F0">
        <w:rPr>
          <w:rFonts w:ascii="Arial" w:hAnsi="Arial" w:cs="Arial"/>
          <w:lang w:val="en-US"/>
        </w:rPr>
        <w:t xml:space="preserve"> for homocysteine </w:t>
      </w:r>
      <w:proofErr w:type="spellStart"/>
      <w:r w:rsidR="007D246F" w:rsidRPr="004378F0">
        <w:rPr>
          <w:rFonts w:ascii="Arial" w:hAnsi="Arial" w:cs="Arial"/>
          <w:lang w:val="en-US"/>
        </w:rPr>
        <w:t>remethylation</w:t>
      </w:r>
      <w:proofErr w:type="spellEnd"/>
      <w:r w:rsidR="007D246F" w:rsidRPr="004378F0">
        <w:rPr>
          <w:rFonts w:ascii="Arial" w:hAnsi="Arial" w:cs="Arial"/>
          <w:lang w:val="en-US"/>
        </w:rPr>
        <w:t xml:space="preserve"> to methionine</w:t>
      </w:r>
      <w:r w:rsidR="007D246F">
        <w:rPr>
          <w:rFonts w:ascii="Arial" w:hAnsi="Arial" w:cs="Arial"/>
          <w:lang w:val="en-US"/>
        </w:rPr>
        <w:t xml:space="preserve">. </w:t>
      </w:r>
      <w:r w:rsidR="007D246F" w:rsidRPr="005F4E14">
        <w:rPr>
          <w:rFonts w:ascii="Arial" w:hAnsi="Arial" w:cs="Arial"/>
          <w:lang w:val="en-US"/>
        </w:rPr>
        <w:t>There are genetic polymorphisms associated with this gene</w:t>
      </w:r>
      <w:r w:rsidR="007D246F">
        <w:rPr>
          <w:rFonts w:ascii="Arial" w:hAnsi="Arial" w:cs="Arial"/>
          <w:lang w:val="en-US"/>
        </w:rPr>
        <w:t xml:space="preserve"> and one </w:t>
      </w:r>
      <w:r w:rsidR="007D246F" w:rsidRPr="005F4E14">
        <w:rPr>
          <w:rFonts w:ascii="Arial" w:hAnsi="Arial" w:cs="Arial"/>
          <w:lang w:val="en-US"/>
        </w:rPr>
        <w:t xml:space="preserve">of the most investigated </w:t>
      </w:r>
      <w:r w:rsidR="007D246F">
        <w:rPr>
          <w:rFonts w:ascii="Arial" w:hAnsi="Arial" w:cs="Arial"/>
          <w:lang w:val="en-US"/>
        </w:rPr>
        <w:t>is</w:t>
      </w:r>
      <w:r w:rsidR="007D246F" w:rsidRPr="005F4E14">
        <w:rPr>
          <w:rFonts w:ascii="Arial" w:hAnsi="Arial" w:cs="Arial"/>
          <w:lang w:val="en-US"/>
        </w:rPr>
        <w:t xml:space="preserve"> C677T</w:t>
      </w:r>
      <w:r w:rsidR="007D246F">
        <w:rPr>
          <w:rFonts w:ascii="Arial" w:hAnsi="Arial" w:cs="Arial"/>
          <w:lang w:val="en-US"/>
        </w:rPr>
        <w:t xml:space="preserve">, where the </w:t>
      </w:r>
      <w:r w:rsidR="007D246F" w:rsidRPr="005F4E14">
        <w:rPr>
          <w:rFonts w:ascii="Arial" w:hAnsi="Arial" w:cs="Arial"/>
          <w:lang w:val="en-US"/>
        </w:rPr>
        <w:t xml:space="preserve">nucleotide at position 677 </w:t>
      </w:r>
      <w:r w:rsidR="007D246F">
        <w:rPr>
          <w:rFonts w:ascii="Arial" w:hAnsi="Arial" w:cs="Arial"/>
          <w:lang w:val="en-US"/>
        </w:rPr>
        <w:t>can be either a</w:t>
      </w:r>
      <w:r w:rsidR="007D246F" w:rsidRPr="005F4E14">
        <w:rPr>
          <w:rFonts w:ascii="Arial" w:hAnsi="Arial" w:cs="Arial"/>
          <w:lang w:val="en-US"/>
        </w:rPr>
        <w:t xml:space="preserve"> cytosine or thymine. </w:t>
      </w:r>
      <w:r w:rsidR="007D246F">
        <w:rPr>
          <w:rFonts w:ascii="Arial" w:hAnsi="Arial" w:cs="Arial"/>
          <w:lang w:val="en-US"/>
        </w:rPr>
        <w:t xml:space="preserve">Those with </w:t>
      </w:r>
      <w:r w:rsidR="007D246F" w:rsidRPr="005F4E14">
        <w:rPr>
          <w:rFonts w:ascii="Arial" w:hAnsi="Arial" w:cs="Arial"/>
          <w:lang w:val="en-US"/>
        </w:rPr>
        <w:t>677TT (</w:t>
      </w:r>
      <w:r w:rsidR="007D246F">
        <w:rPr>
          <w:rFonts w:ascii="Arial" w:hAnsi="Arial" w:cs="Arial"/>
          <w:lang w:val="en-US"/>
        </w:rPr>
        <w:t>T/T)</w:t>
      </w:r>
      <w:r w:rsidR="007D246F" w:rsidRPr="005F4E14">
        <w:rPr>
          <w:rFonts w:ascii="Arial" w:hAnsi="Arial" w:cs="Arial"/>
          <w:lang w:val="en-US"/>
        </w:rPr>
        <w:t xml:space="preserve"> have lower MTHFR activity than CC or CT</w:t>
      </w:r>
      <w:r w:rsidR="007D246F">
        <w:rPr>
          <w:rFonts w:ascii="Arial" w:hAnsi="Arial" w:cs="Arial"/>
          <w:lang w:val="en-US"/>
        </w:rPr>
        <w:t xml:space="preserve"> and as a result, tend to display a</w:t>
      </w:r>
      <w:r w:rsidR="007D246F" w:rsidRPr="00DF5C7C">
        <w:rPr>
          <w:rFonts w:ascii="Arial" w:hAnsi="Arial" w:cs="Arial"/>
          <w:lang w:val="en-US"/>
        </w:rPr>
        <w:t xml:space="preserve"> mild </w:t>
      </w:r>
      <w:proofErr w:type="spellStart"/>
      <w:r w:rsidR="007D246F" w:rsidRPr="00DF5C7C">
        <w:rPr>
          <w:rFonts w:ascii="Arial" w:hAnsi="Arial" w:cs="Arial"/>
          <w:lang w:val="en-US"/>
        </w:rPr>
        <w:t>hyperhomocysteinemia</w:t>
      </w:r>
      <w:proofErr w:type="spellEnd"/>
      <w:r w:rsidR="007D246F" w:rsidRPr="00DF5C7C">
        <w:rPr>
          <w:rFonts w:ascii="Arial" w:hAnsi="Arial" w:cs="Arial"/>
          <w:lang w:val="en-US"/>
        </w:rPr>
        <w:t>.</w:t>
      </w:r>
      <w:r w:rsidR="007D246F">
        <w:rPr>
          <w:rFonts w:ascii="Arial" w:hAnsi="Arial" w:cs="Arial"/>
          <w:lang w:val="en-US"/>
        </w:rPr>
        <w:t xml:space="preserve"> </w:t>
      </w:r>
    </w:p>
    <w:p w14:paraId="15545BAA" w14:textId="5426DF0F" w:rsidR="00E83128" w:rsidRDefault="005D7F20" w:rsidP="005C38A9">
      <w:pPr>
        <w:spacing w:after="0" w:line="480" w:lineRule="auto"/>
        <w:ind w:firstLine="720"/>
        <w:jc w:val="both"/>
        <w:rPr>
          <w:rFonts w:ascii="Arial" w:hAnsi="Arial" w:cs="Arial"/>
          <w:lang w:val="en-US"/>
        </w:rPr>
      </w:pPr>
      <w:r>
        <w:rPr>
          <w:rFonts w:ascii="Arial" w:hAnsi="Arial" w:cs="Arial"/>
          <w:lang w:val="en-US"/>
        </w:rPr>
        <w:t xml:space="preserve">It </w:t>
      </w:r>
      <w:r w:rsidRPr="0005613D">
        <w:rPr>
          <w:rFonts w:ascii="Arial" w:hAnsi="Arial" w:cs="Arial"/>
          <w:lang w:val="en-US"/>
        </w:rPr>
        <w:t>is not clear</w:t>
      </w:r>
      <w:r>
        <w:rPr>
          <w:rFonts w:ascii="Arial" w:hAnsi="Arial" w:cs="Arial"/>
          <w:lang w:val="en-US"/>
        </w:rPr>
        <w:t xml:space="preserve"> if</w:t>
      </w:r>
      <w:r w:rsidR="0005613D" w:rsidRPr="0005613D">
        <w:rPr>
          <w:rFonts w:ascii="Arial" w:hAnsi="Arial" w:cs="Arial"/>
          <w:lang w:val="en-US"/>
        </w:rPr>
        <w:t xml:space="preserve"> estrogens </w:t>
      </w:r>
      <w:r>
        <w:rPr>
          <w:rFonts w:ascii="Arial" w:hAnsi="Arial" w:cs="Arial"/>
          <w:lang w:val="en-US"/>
        </w:rPr>
        <w:t>alters</w:t>
      </w:r>
      <w:r w:rsidR="0005613D" w:rsidRPr="0005613D">
        <w:rPr>
          <w:rFonts w:ascii="Arial" w:hAnsi="Arial" w:cs="Arial"/>
          <w:lang w:val="en-US"/>
        </w:rPr>
        <w:t xml:space="preserve"> the </w:t>
      </w:r>
      <w:r w:rsidR="0099114F">
        <w:rPr>
          <w:rFonts w:ascii="Arial" w:hAnsi="Arial" w:cs="Arial"/>
          <w:lang w:val="en-US"/>
        </w:rPr>
        <w:t xml:space="preserve">levels of folic acid or </w:t>
      </w:r>
      <w:r w:rsidR="0005613D" w:rsidRPr="0005613D">
        <w:rPr>
          <w:rFonts w:ascii="Arial" w:hAnsi="Arial" w:cs="Arial"/>
          <w:lang w:val="en-US"/>
        </w:rPr>
        <w:t>homocysteine</w:t>
      </w:r>
      <w:r w:rsidR="0099114F">
        <w:rPr>
          <w:rFonts w:ascii="Arial" w:hAnsi="Arial" w:cs="Arial"/>
          <w:lang w:val="en-US"/>
        </w:rPr>
        <w:t xml:space="preserve"> </w:t>
      </w:r>
      <w:r>
        <w:rPr>
          <w:rFonts w:ascii="Arial" w:hAnsi="Arial" w:cs="Arial"/>
          <w:lang w:val="en-US"/>
        </w:rPr>
        <w:t xml:space="preserve">either </w:t>
      </w:r>
      <w:r w:rsidR="0005613D" w:rsidRPr="0005613D">
        <w:rPr>
          <w:rFonts w:ascii="Arial" w:hAnsi="Arial" w:cs="Arial"/>
          <w:lang w:val="en-US"/>
        </w:rPr>
        <w:t xml:space="preserve">directly or </w:t>
      </w:r>
      <w:r>
        <w:rPr>
          <w:rFonts w:ascii="Arial" w:hAnsi="Arial" w:cs="Arial"/>
          <w:lang w:val="en-US"/>
        </w:rPr>
        <w:t>through</w:t>
      </w:r>
      <w:r w:rsidR="0005613D" w:rsidRPr="0005613D">
        <w:rPr>
          <w:rFonts w:ascii="Arial" w:hAnsi="Arial" w:cs="Arial"/>
          <w:lang w:val="en-US"/>
        </w:rPr>
        <w:t xml:space="preserve"> intermediates and cofactors </w:t>
      </w:r>
      <w:r w:rsidR="002F5748">
        <w:rPr>
          <w:rFonts w:ascii="Arial" w:hAnsi="Arial" w:cs="Arial"/>
          <w:lang w:val="en-US"/>
        </w:rPr>
        <w:fldChar w:fldCharType="begin" w:fldLock="1"/>
      </w:r>
      <w:r w:rsidR="000D39D8">
        <w:rPr>
          <w:rFonts w:ascii="Arial" w:hAnsi="Arial" w:cs="Arial"/>
          <w:lang w:val="en-US"/>
        </w:rPr>
        <w:instrText>ADDIN CSL_CITATION {"citationItems":[{"id":"ITEM-1","itemData":{"DOI":"10.1210/jc.2004-1021","ISSN":"0021-972X","PMID":"15671107","abstract":"Estrogens, both endogenous and exogenous, lower the fasting levels of the independent risk factor for cardiovascular disease homocysteine. The mechanism behind this observation remains unclear. In a randomized, placebo-controlled, double-blind study, 25 postmenopausal women with a screening homocysteine concentration above 10 micromol/liter were included. We investigated the influence on homocysteine levels of a 3-month treatment with a daily oral dose of 4 mg 17beta-estradiol (ET) or 4 mg ET combined with 10 mg dydrogesterone (EPT); the comparison group received placebo treatment. We performed primed continuous infusions of L-[2H3-methyl-13C]methionine to assess steady-state flux rates of transmethylation, remethylation, and transsulfuration. Homocysteine concentration relationships with S-adenosylmethionine, S-adenosylhomocysteine, creatinine, albumin, vitamins B6 and B12, and folate status were determined as well. The mean change from baseline in homocysteine concentration by both treatments compared with placebo (ET, -13%; EPT, -10%) was accompanied by a decrease in the concentration of vitamin B6 (ET, -25%; EPT, -38%) and albumin (ET, -7%; EPT, -11%). No significant changes in flux rates were observed. In a .multiltivariate analysis, changes in homocysteine concentration were related to changes in albumin concentration. No relation to other variables was observed. We conclude that the ET- and EPT-induced homocysteine changes in this study were not accompanied by a significant change in methionine-homocysteine flux rates and hypothesize that an estrogen-induced lowering of homocysteine levels is primarily part of a change in albumin metabolism.","author":[{"dropping-particle":"V.","family":"Smolders","given":"R. G.","non-dropping-particle":"","parse-names":false,"suffix":""},{"dropping-particle":"","family":"Meer","given":"K.","non-dropping-particle":"de","parse-names":false,"suffix":""},{"dropping-particle":"","family":"Kenemans","given":"P.","non-dropping-particle":"","parse-names":false,"suffix":""},{"dropping-particle":"","family":"Jakobs","given":"C.","non-dropping-particle":"","parse-names":false,"suffix":""},{"dropping-particle":"","family":"Kulik","given":"W.","non-dropping-particle":"","parse-names":false,"suffix":""},{"dropping-particle":"","family":"Mooren","given":"M. J.","non-dropping-particle":"van der","parse-names":false,"suffix":""}],"container-title":"The Journal of Clinical Endocrinology &amp; Metabolism","id":"ITEM-1","issue":"4","issued":{"date-parts":[["2005","4"]]},"page":"2218-2224","title":"Oral Estradiol Decreases Plasma Homocysteine, Vitamin B &lt;sub&gt;6&lt;/sub&gt; , and Albumin in Postmenopausal Women But Does Not Change the Whole-Body Homocysteine Remethylation and Transmethylation Flux","type":"article-journal","volume":"90"},"uris":["http://www.mendeley.com/documents/?uuid=eea40925-e89f-3b1c-aa8c-4b87674ffb89"]},{"id":"ITEM-2","itemData":{"DOI":"10.1080/13697130600870352","ISSN":"1369-7137","PMID":"17000586","abstract":"OBJECTIVE To evaluate the effect of two different hormone therapy (HT) doses on fasting and post-methionine homocysteine levels, an independent risk factor for cardiovascular and thromboembolic diseases. METHODS Forty-eight women in natural postmenopause randomly received calcium 1 mg/day (control group; n = 12) or calcium plus low dose (1 mg estradiol plus 0.5 mg norethisterone; n = 18) or high dose (2 mg estradiol plus 1 mg norethisterone; n = 18) HT in a 6-month randomized, controlled, prospective study. RESULTS Folate levels did not vary in any group, while levels of vitamin B12 significantly decreased after low- (-12.2 +/- 6.6%; p &lt; 0.04) or high-dose HT (-13.9 +/- 6.1%; p &lt; 0.01). Fasting homocysteine was reduced by either HT dose in a way that was inversely related to pretreatment homocysteine levels (-0.675x; r = 0.644; p &lt; 0.0001). Modification of post-load homocysteine increase was influenced by the HT dose and inversely related to the homocysteine response to methionine observed at baseline. The regression slope observed with the low-dose HT (-1.637x; r = 0.57; p &lt; 0.02) was significantly steeper (p &lt; 0.001) than that observed with the high-dose HT (-0.304x; r = 0.554; p &lt; 0.03) dose. CONCLUSIONS Low- or high-dose HT similarly influences fasting homocysteine levels. Low-dose HT seems to be more effective than high-dose HT in reducing the post-methionine homocysteine increase.","author":[{"dropping-particle":"","family":"Cagnacci","given":"A.","non-dropping-particle":"","parse-names":false,"suffix":""},{"dropping-particle":"","family":"Generali","given":"M.","non-dropping-particle":"","parse-names":false,"suffix":""},{"dropping-particle":"","family":"Pirillo","given":"D.","non-dropping-particle":"","parse-names":false,"suffix":""},{"dropping-particle":"","family":"Baldassari","given":"F.","non-dropping-particle":"","parse-names":false,"suffix":""},{"dropping-particle":"","family":"Volpe","given":"A.","non-dropping-particle":"","parse-names":false,"suffix":""}],"container-title":"Climacteric","id":"ITEM-2","issue":"5","issued":{"date-parts":[["2006","1","3"]]},"page":"388-395","title":"Effects of low- or high-dose hormone therapy on fasting and post-methionine homocysteine levels in postmenopausal women","type":"article-journal","volume":"9"},"uris":["http://www.mendeley.com/documents/?uuid=e8ec4958-2e4f-38f6-bd9a-b942e8e490e1"]},{"id":"ITEM-3","itemData":{"DOI":"10.4065/75.1.18","ISSN":"00256196","PMID":"10630752","abstract":"OBJECTIVE To clarify the effect of estrogen on total plasma homocysteine concentration and on the concentration of vitamins required for homocysteine metabolism (folate, vitamin B12, and vitamin B6). METHODS AND RESULTS We measured total fasting plasma homocysteine in 16 healthy postmenopausal women before and 6 hours after a methionine load (100 mg/kg); fasting concentrations of folate, vitamin B12, vitamin B6, total cholesterol, low-density lipoprotein cholesterol, and high-density lipoprotein cholesterol were also determined. After 6 months of estrogen replacement therapy with estradiol, 2 mg daily, and 1 cycle of quarterly methoxyprogesterone acetate, 5 mg daily administered on the 91st through 100th days, measurements were repeated. There was no significant change in mean +/- SD fasting homocysteine concentration (8.8+/-2.5 vs 8.5+/-2.0 micromol/L; P=.30); homocysteine concentrations after methionine load increased from 38.8+/-12.3 to 51.1+/-12.5 micromol/L (P=.01). During this time period, no significant changes occurred in the concentrations of folate (11.7+/-4.4 vs 9.8+/-4.1 nmol/L; P=.06), vitamin B12 (394+/-182 vs 411+/-155 pmol/L; P=.40), or vitamin B6 (pyridoxal phosphate) (26+/-21 vs 36+/-25 nmol/L; P=.15). The mean +/- SD concentration of low-density cholesterol declined 20% (from 147+/-32 to 118+/-37 mg/dL) and high-density lipoprotein increased 16% (from 40+/-13 to 46+/-19 mg/dL) during the study period. CONCLUSIONS Six months of estrogen replacement therapy did not lower fasting plasma total homocysteine concentrations and raised homocysteine concentrations following a methionine load. Lipid profiles improved significantly during the study period. A reduction in homocysteine concentrations is not likely to contribute to the reduction in cardiovascular events seen with estrogen replacement therapy.","author":[{"dropping-particle":"","family":"Berger","given":"Peter B.","non-dropping-particle":"","parse-names":false,"suffix":""},{"dropping-particle":"","family":"Herrmann","given":"Rebekah R.","non-dropping-particle":"","parse-names":false,"suffix":""},{"dropping-particle":"","family":"Dumesic","given":"Daniel A.","non-dropping-particle":"","parse-names":false,"suffix":""}],"container-title":"Mayo Clinic Proceedings","id":"ITEM-3","issue":"1","issued":{"date-parts":[["2000","1"]]},"page":"18-23","title":"The Effect of Estrogen Replacement Therapy on Total Plasma Homocysteine in Healthy Postmenopausal Women","type":"article-journal","volume":"75"},"uris":["http://www.mendeley.com/documents/?uuid=d1b49b3c-cb03-33fc-9051-d65487ca96a7"]}],"mendeley":{"formattedCitation":"[12–14]","plainTextFormattedCitation":"[12–14]","previouslyFormattedCitation":"[11–13]"},"properties":{"noteIndex":0},"schema":"https://github.com/citation-style-language/schema/raw/master/csl-citation.json"}</w:instrText>
      </w:r>
      <w:r w:rsidR="002F5748">
        <w:rPr>
          <w:rFonts w:ascii="Arial" w:hAnsi="Arial" w:cs="Arial"/>
          <w:lang w:val="en-US"/>
        </w:rPr>
        <w:fldChar w:fldCharType="separate"/>
      </w:r>
      <w:r w:rsidR="000D39D8" w:rsidRPr="000D39D8">
        <w:rPr>
          <w:rFonts w:ascii="Arial" w:hAnsi="Arial" w:cs="Arial"/>
          <w:noProof/>
          <w:lang w:val="en-US"/>
        </w:rPr>
        <w:t>[12–14]</w:t>
      </w:r>
      <w:r w:rsidR="002F5748">
        <w:rPr>
          <w:rFonts w:ascii="Arial" w:hAnsi="Arial" w:cs="Arial"/>
          <w:lang w:val="en-US"/>
        </w:rPr>
        <w:fldChar w:fldCharType="end"/>
      </w:r>
      <w:r w:rsidR="0005613D" w:rsidRPr="0005613D">
        <w:rPr>
          <w:rFonts w:ascii="Arial" w:hAnsi="Arial" w:cs="Arial"/>
          <w:lang w:val="en-US"/>
        </w:rPr>
        <w:t>.</w:t>
      </w:r>
      <w:r w:rsidR="0005613D">
        <w:rPr>
          <w:rFonts w:ascii="Arial" w:hAnsi="Arial" w:cs="Arial"/>
          <w:lang w:val="en-US"/>
        </w:rPr>
        <w:t xml:space="preserve"> </w:t>
      </w:r>
      <w:r>
        <w:rPr>
          <w:rFonts w:ascii="Arial" w:hAnsi="Arial" w:cs="Arial"/>
          <w:lang w:val="en-US"/>
        </w:rPr>
        <w:t>The administration of e</w:t>
      </w:r>
      <w:r w:rsidR="0005613D" w:rsidRPr="0005613D">
        <w:rPr>
          <w:rFonts w:ascii="Arial" w:hAnsi="Arial" w:cs="Arial"/>
          <w:lang w:val="en-US"/>
        </w:rPr>
        <w:t xml:space="preserve">xogeneous estrogens </w:t>
      </w:r>
      <w:r w:rsidRPr="0005613D">
        <w:rPr>
          <w:rFonts w:ascii="Arial" w:hAnsi="Arial" w:cs="Arial"/>
          <w:lang w:val="en-US"/>
        </w:rPr>
        <w:t xml:space="preserve">in women </w:t>
      </w:r>
      <w:r w:rsidR="0005613D" w:rsidRPr="0005613D">
        <w:rPr>
          <w:rFonts w:ascii="Arial" w:hAnsi="Arial" w:cs="Arial"/>
          <w:lang w:val="en-US"/>
        </w:rPr>
        <w:t xml:space="preserve">affect several endocrine and metabolic pathways, including homocysteine metabolism. For </w:t>
      </w:r>
      <w:r>
        <w:rPr>
          <w:rFonts w:ascii="Arial" w:hAnsi="Arial" w:cs="Arial"/>
          <w:lang w:val="en-US"/>
        </w:rPr>
        <w:t>example</w:t>
      </w:r>
      <w:r w:rsidR="0005613D" w:rsidRPr="0005613D">
        <w:rPr>
          <w:rFonts w:ascii="Arial" w:hAnsi="Arial" w:cs="Arial"/>
          <w:lang w:val="en-US"/>
        </w:rPr>
        <w:t xml:space="preserve">, estrogen </w:t>
      </w:r>
      <w:r>
        <w:rPr>
          <w:rFonts w:ascii="Arial" w:hAnsi="Arial" w:cs="Arial"/>
          <w:lang w:val="en-US"/>
        </w:rPr>
        <w:t>administration in</w:t>
      </w:r>
      <w:r w:rsidR="0005613D" w:rsidRPr="0005613D">
        <w:rPr>
          <w:rFonts w:ascii="Arial" w:hAnsi="Arial" w:cs="Arial"/>
          <w:lang w:val="en-US"/>
        </w:rPr>
        <w:t xml:space="preserve"> post-menopausal women significantly </w:t>
      </w:r>
      <w:r>
        <w:rPr>
          <w:rFonts w:ascii="Arial" w:hAnsi="Arial" w:cs="Arial"/>
          <w:lang w:val="en-US"/>
        </w:rPr>
        <w:t>decrease</w:t>
      </w:r>
      <w:r w:rsidR="0005613D" w:rsidRPr="0005613D">
        <w:rPr>
          <w:rFonts w:ascii="Arial" w:hAnsi="Arial" w:cs="Arial"/>
          <w:lang w:val="en-US"/>
        </w:rPr>
        <w:t xml:space="preserve"> the total homocysteine levels</w:t>
      </w:r>
      <w:r w:rsidR="002F5748">
        <w:rPr>
          <w:rFonts w:ascii="Arial" w:hAnsi="Arial" w:cs="Arial"/>
          <w:lang w:val="en-US"/>
        </w:rPr>
        <w:t xml:space="preserve"> </w:t>
      </w:r>
      <w:r w:rsidR="002F5748">
        <w:rPr>
          <w:rFonts w:ascii="Arial" w:hAnsi="Arial" w:cs="Arial"/>
          <w:lang w:val="en-US"/>
        </w:rPr>
        <w:fldChar w:fldCharType="begin" w:fldLock="1"/>
      </w:r>
      <w:r w:rsidR="000D39D8">
        <w:rPr>
          <w:rFonts w:ascii="Arial" w:hAnsi="Arial" w:cs="Arial"/>
          <w:lang w:val="en-US"/>
        </w:rPr>
        <w:instrText>ADDIN CSL_CITATION {"citationItems":[{"id":"ITEM-1","itemData":{"DOI":"10.1067/mob.2002.123030","ISSN":"0002-9378","PMID":"12114885","abstract":"OBJECTIVE The purpose of this study was to investigate the long-term effect of hormone replacement therapy on total homocysteine and to study whether there was any difference in effect between opposed and unopposed hormone replacement therapy or whether the methylenetetrahydrofolate reductase C677T polymorphism was associated with the effect of hormone replacement therapy on total homocysteine. STUDY DESIGN Two hundred nine healthy postmenopausal women were randomized to hormone replacement therapy (n = 103) or no substitution (n = 106) 5 to 7 years earlier. RESULTS Women who received hormone replacement therapy had significantly lower total homocysteine concentrations than women in the control group; median total homocysteine values were 8.6 micromol/L and 9.7 micromol/L, respectively, in a per-protocol analysis (P =.02). The effect was comparable in all methylenetetrahydrofolate reductase genotypes, and no difference between unopposed and opposed hormone replacement therapy could be demonstrated. Similar results were obtained when an intention-to-treat analysis was performed. CONCLUSION Long-term hormone replacement therapy results in lower total homocysteine concentrations in all methylenetetrahydrofolate reductase genotypes without demonstrable difference in effect between unopposed and opposed hormone replacement therapy.","author":[{"dropping-particle":"","family":"Madsen","given":"Jonna S","non-dropping-particle":"","parse-names":false,"suffix":""},{"dropping-particle":"","family":"Kristensen","given":"Søren R","non-dropping-particle":"","parse-names":false,"suffix":""},{"dropping-particle":"","family":"Klitgaard","given":"Niels A","non-dropping-particle":"","parse-names":false,"suffix":""},{"dropping-particle":"","family":"Bladbjerg","given":"Else M","non-dropping-particle":"","parse-names":false,"suffix":""},{"dropping-particle":"","family":"Abrahamsen","given":"Bo","non-dropping-particle":"","parse-names":false,"suffix":""},{"dropping-particle":"","family":"Stilgren","given":"Lis","non-dropping-particle":"","parse-names":false,"suffix":""},{"dropping-particle":"","family":"Jespersen","given":"Jørgen","non-dropping-particle":"","parse-names":false,"suffix":""}],"container-title":"American journal of obstetrics and gynecology","id":"ITEM-1","issue":"1","issued":{"date-parts":[["2002","7"]]},"page":"33-9","title":"Effect of long-term hormone replacement therapy on plasma homocysteine in postmenopausal women: a randomized controlled study.","type":"article-journal","volume":"187"},"uris":["http://www.mendeley.com/documents/?uuid=73958f20-0ab4-3db5-8fa0-913639e7df76"]}],"mendeley":{"formattedCitation":"[15]","plainTextFormattedCitation":"[15]","previouslyFormattedCitation":"[14]"},"properties":{"noteIndex":0},"schema":"https://github.com/citation-style-language/schema/raw/master/csl-citation.json"}</w:instrText>
      </w:r>
      <w:r w:rsidR="002F5748">
        <w:rPr>
          <w:rFonts w:ascii="Arial" w:hAnsi="Arial" w:cs="Arial"/>
          <w:lang w:val="en-US"/>
        </w:rPr>
        <w:fldChar w:fldCharType="separate"/>
      </w:r>
      <w:r w:rsidR="000D39D8" w:rsidRPr="000D39D8">
        <w:rPr>
          <w:rFonts w:ascii="Arial" w:hAnsi="Arial" w:cs="Arial"/>
          <w:noProof/>
          <w:lang w:val="en-US"/>
        </w:rPr>
        <w:t>[15]</w:t>
      </w:r>
      <w:r w:rsidR="002F5748">
        <w:rPr>
          <w:rFonts w:ascii="Arial" w:hAnsi="Arial" w:cs="Arial"/>
          <w:lang w:val="en-US"/>
        </w:rPr>
        <w:fldChar w:fldCharType="end"/>
      </w:r>
      <w:r w:rsidR="0005613D" w:rsidRPr="0005613D">
        <w:rPr>
          <w:rFonts w:ascii="Arial" w:hAnsi="Arial" w:cs="Arial"/>
          <w:lang w:val="en-US"/>
        </w:rPr>
        <w:t xml:space="preserve">. </w:t>
      </w:r>
      <w:r>
        <w:rPr>
          <w:rFonts w:ascii="Arial" w:hAnsi="Arial" w:cs="Arial"/>
          <w:lang w:val="en-US"/>
        </w:rPr>
        <w:t>Another example is that</w:t>
      </w:r>
      <w:r w:rsidR="0005613D" w:rsidRPr="0005613D">
        <w:rPr>
          <w:rFonts w:ascii="Arial" w:hAnsi="Arial" w:cs="Arial"/>
          <w:lang w:val="en-US"/>
        </w:rPr>
        <w:t xml:space="preserve"> </w:t>
      </w:r>
      <w:r>
        <w:rPr>
          <w:rFonts w:ascii="Arial" w:hAnsi="Arial" w:cs="Arial"/>
          <w:lang w:val="en-US"/>
        </w:rPr>
        <w:t xml:space="preserve">the </w:t>
      </w:r>
      <w:r w:rsidR="0005613D" w:rsidRPr="0005613D">
        <w:rPr>
          <w:rFonts w:ascii="Arial" w:hAnsi="Arial" w:cs="Arial"/>
          <w:lang w:val="en-US"/>
        </w:rPr>
        <w:t>levels</w:t>
      </w:r>
      <w:r>
        <w:rPr>
          <w:rFonts w:ascii="Arial" w:hAnsi="Arial" w:cs="Arial"/>
          <w:lang w:val="en-US"/>
        </w:rPr>
        <w:t xml:space="preserve"> of </w:t>
      </w:r>
      <w:r w:rsidRPr="0005613D">
        <w:rPr>
          <w:rFonts w:ascii="Arial" w:hAnsi="Arial" w:cs="Arial"/>
          <w:lang w:val="en-US"/>
        </w:rPr>
        <w:t>homocysteine</w:t>
      </w:r>
      <w:r w:rsidR="0005613D" w:rsidRPr="0005613D">
        <w:rPr>
          <w:rFonts w:ascii="Arial" w:hAnsi="Arial" w:cs="Arial"/>
          <w:lang w:val="en-US"/>
        </w:rPr>
        <w:t xml:space="preserve"> </w:t>
      </w:r>
      <w:r>
        <w:rPr>
          <w:rFonts w:ascii="Arial" w:hAnsi="Arial" w:cs="Arial"/>
          <w:lang w:val="en-US"/>
        </w:rPr>
        <w:t>are</w:t>
      </w:r>
      <w:r w:rsidR="0005613D" w:rsidRPr="0005613D">
        <w:rPr>
          <w:rFonts w:ascii="Arial" w:hAnsi="Arial" w:cs="Arial"/>
          <w:lang w:val="en-US"/>
        </w:rPr>
        <w:t xml:space="preserve"> significantly lower in the luteal phase than in the follicular phase of the </w:t>
      </w:r>
      <w:r w:rsidR="0005613D" w:rsidRPr="0005613D">
        <w:rPr>
          <w:rFonts w:ascii="Arial" w:hAnsi="Arial" w:cs="Arial"/>
          <w:lang w:val="en-US"/>
        </w:rPr>
        <w:lastRenderedPageBreak/>
        <w:t xml:space="preserve">ovulatory cycle </w:t>
      </w:r>
      <w:r w:rsidR="002F5748">
        <w:rPr>
          <w:rFonts w:ascii="Arial" w:hAnsi="Arial" w:cs="Arial"/>
          <w:lang w:val="en-US"/>
        </w:rPr>
        <w:fldChar w:fldCharType="begin" w:fldLock="1"/>
      </w:r>
      <w:r w:rsidR="000D39D8">
        <w:rPr>
          <w:rFonts w:ascii="Arial" w:hAnsi="Arial" w:cs="Arial"/>
          <w:lang w:val="en-US"/>
        </w:rPr>
        <w:instrText>ADDIN CSL_CITATION {"citationItems":[{"id":"ITEM-1","itemData":{"ISSN":"0014-2972","PMID":"10583452","abstract":"BACKGROUND It is known that plasma total homocysteine (tHcy) levels are lower in premenopausal and pregnant women compared with postmenopausal women. To confirm the suggestion that sex steroid hormones are nongenetic factors affecting homocysteine metabolism, we investigated the effect of natural steroid hormone levels on the fasting plasma tHcy in healthy women during the menstrual cycle. MATERIALS AND METHODS Fifteen premenopausal women were enrolled in this study. Plasma tHcy, estradiol, progesterone and cortisol concentrations were measured in the luteal and follicular phase. The plasma tHcy concentration was determined by high performance liquid chromatography with fluorescence detection, and the steroid hormones by RIA methods. RESULTS Mean homocysteine values increased from 7.8 micromol L-1 in the luteal phase to 8.9 micromol L-1 in the follicular phase (P &lt; 0.000005, Student's paired t-test). We also found slight negative but insignificant correlations of homocysteine levels with estradiol in both phases of the menstrual cycle. In the case of cortisol and progesterone, no significant correlations with plasma homocysteine were found. CONCLUSION The study provides the first evidence of significant differences in plasma homocysteine concentration during the menstrual cycle. From our observed findings it is necessary to account for the phase of the menstrual cycle when determining homocysteine in premenopausal women.","author":[{"dropping-particle":"","family":"Tallova","given":"J","non-dropping-particle":"","parse-names":false,"suffix":""},{"dropping-particle":"","family":"Tomandl","given":"J","non-dropping-particle":"","parse-names":false,"suffix":""},{"dropping-particle":"","family":"Bicikova","given":"M","non-dropping-particle":"","parse-names":false,"suffix":""},{"dropping-particle":"","family":"Hill","given":"M","non-dropping-particle":"","parse-names":false,"suffix":""}],"container-title":"European journal of clinical investigation","id":"ITEM-1","issue":"12","issued":{"date-parts":[["1999","12"]]},"page":"1041-4","title":"Changes of plasma total homocysteine levels during the menstrual cycle.","type":"article-journal","volume":"29"},"uris":["http://www.mendeley.com/documents/?uuid=e6440ce5-bef7-3a09-be25-4741f2a3a119"]}],"mendeley":{"formattedCitation":"[16]","plainTextFormattedCitation":"[16]","previouslyFormattedCitation":"[15]"},"properties":{"noteIndex":0},"schema":"https://github.com/citation-style-language/schema/raw/master/csl-citation.json"}</w:instrText>
      </w:r>
      <w:r w:rsidR="002F5748">
        <w:rPr>
          <w:rFonts w:ascii="Arial" w:hAnsi="Arial" w:cs="Arial"/>
          <w:lang w:val="en-US"/>
        </w:rPr>
        <w:fldChar w:fldCharType="separate"/>
      </w:r>
      <w:r w:rsidR="000D39D8" w:rsidRPr="000D39D8">
        <w:rPr>
          <w:rFonts w:ascii="Arial" w:hAnsi="Arial" w:cs="Arial"/>
          <w:noProof/>
          <w:lang w:val="en-US"/>
        </w:rPr>
        <w:t>[16]</w:t>
      </w:r>
      <w:r w:rsidR="002F5748">
        <w:rPr>
          <w:rFonts w:ascii="Arial" w:hAnsi="Arial" w:cs="Arial"/>
          <w:lang w:val="en-US"/>
        </w:rPr>
        <w:fldChar w:fldCharType="end"/>
      </w:r>
      <w:r w:rsidR="0005613D" w:rsidRPr="0005613D">
        <w:rPr>
          <w:rFonts w:ascii="Arial" w:hAnsi="Arial" w:cs="Arial"/>
          <w:lang w:val="en-US"/>
        </w:rPr>
        <w:t xml:space="preserve">. </w:t>
      </w:r>
      <w:r>
        <w:rPr>
          <w:rFonts w:ascii="Arial" w:hAnsi="Arial" w:cs="Arial"/>
          <w:lang w:val="en-US"/>
        </w:rPr>
        <w:t>In addition</w:t>
      </w:r>
      <w:r w:rsidR="0005613D" w:rsidRPr="0005613D">
        <w:rPr>
          <w:rFonts w:ascii="Arial" w:hAnsi="Arial" w:cs="Arial"/>
          <w:lang w:val="en-US"/>
        </w:rPr>
        <w:t xml:space="preserve">, </w:t>
      </w:r>
      <w:r>
        <w:rPr>
          <w:rFonts w:ascii="Arial" w:hAnsi="Arial" w:cs="Arial"/>
          <w:lang w:val="en-US"/>
        </w:rPr>
        <w:t>circulating levels of</w:t>
      </w:r>
      <w:r w:rsidR="0005613D" w:rsidRPr="0005613D">
        <w:rPr>
          <w:rFonts w:ascii="Arial" w:hAnsi="Arial" w:cs="Arial"/>
          <w:lang w:val="en-US"/>
        </w:rPr>
        <w:t xml:space="preserve"> </w:t>
      </w:r>
      <w:r w:rsidRPr="0005613D">
        <w:rPr>
          <w:rFonts w:ascii="Arial" w:hAnsi="Arial" w:cs="Arial"/>
          <w:lang w:val="en-US"/>
        </w:rPr>
        <w:t xml:space="preserve">homocysteine </w:t>
      </w:r>
      <w:r w:rsidR="0005613D" w:rsidRPr="0005613D">
        <w:rPr>
          <w:rFonts w:ascii="Arial" w:hAnsi="Arial" w:cs="Arial"/>
          <w:lang w:val="en-US"/>
        </w:rPr>
        <w:t xml:space="preserve">decrease during pregnancy </w:t>
      </w:r>
      <w:r w:rsidR="002F5748">
        <w:rPr>
          <w:rFonts w:ascii="Arial" w:hAnsi="Arial" w:cs="Arial"/>
          <w:lang w:val="en-US"/>
        </w:rPr>
        <w:fldChar w:fldCharType="begin" w:fldLock="1"/>
      </w:r>
      <w:r w:rsidR="000D39D8">
        <w:rPr>
          <w:rFonts w:ascii="Arial" w:hAnsi="Arial" w:cs="Arial"/>
          <w:lang w:val="en-US"/>
        </w:rPr>
        <w:instrText>ADDIN CSL_CITATION {"citationItems":[{"id":"ITEM-1","itemData":{"DOI":"10.1079/bjn2000209","ISSN":"0007-1145","PMID":"11227033","abstract":"Evidence of the impact of maternal nutritional status on pregnancy outcome is increasing. However, reference values for vitamin and homocysteine concentrations in maternal blood during normal pregnancy are scarce, and are lacking for the preconceptional period and early pregnancy. Thus, in a longitudinal study we evaluated vitamin and homocysteine concentrations in 102 nulliparous women with an uneventful singleton pregnancy and normal outcome not using supplements. The physiological changes in vitamin and homocysteine concentrations in blood were determined from the preconceptional period throughout pregnancy until 6 weeks post-partum. The vitamins evaluated comprised retinol, thiamin, riboflavin, pyridoxal 5'-phosphate, folate in serum and erythrocytes, vitamin B12 and alpha-tocopherol. The plasma homocysteine concentration was also measured, considering the essential roles of folate, vitamin B6 and vitamin B12 in homocysteine metabolism. The concentrations of retinol, thiamin, pyridoxal 5'-phosphate serum folate and vitamin B12 decreased during pregnancy. In contrast, the concentrations of riboflavin, alpha-tocopherol, and folate in erythrocytes increased or showed only minor changes. Homocysteine concentrations also remained approximately constant during pregnancy. These observations emphasize the importance of preconceptional and post-partum concentrations of vitamins in the evaluation of pregnancy-induced changes. These data have provided valuable reference values for vitamins and homocysteine before, during and after pregnancy in order to contribute to better diagnosis of maternal deficiencies and to study further the relationship between maternal vitamin status and adverse course and outcome of pregnancy.","author":[{"dropping-particle":"","family":"Cikot","given":"R J","non-dropping-particle":"","parse-names":false,"suffix":""},{"dropping-particle":"","family":"Steegers-Theunissen","given":"R P","non-dropping-particle":"","parse-names":false,"suffix":""},{"dropping-particle":"","family":"Thomas","given":"C M","non-dropping-particle":"","parse-names":false,"suffix":""},{"dropping-particle":"","family":"Boo","given":"T M","non-dropping-particle":"de","parse-names":false,"suffix":""},{"dropping-particle":"","family":"Merkus","given":"H M","non-dropping-particle":"","parse-names":false,"suffix":""},{"dropping-particle":"","family":"Steegers","given":"E A","non-dropping-particle":"","parse-names":false,"suffix":""}],"container-title":"The British journal of nutrition","id":"ITEM-1","issue":"1","issued":{"date-parts":[["2001","1"]]},"page":"49-58","title":"Longitudinal vitamin and homocysteine levels in normal pregnancy.","type":"article-journal","volume":"85"},"uris":["http://www.mendeley.com/documents/?uuid=4236bbc8-f961-3884-94e1-07b30ba63f97"]},{"id":"ITEM-2","itemData":{"DOI":"10.1093/ajcn/76.3.614","ISSN":"0002-9165","PMID":"12198008","abstract":"BACKGROUND Fasting plasma total homocysteine (tHcy) decreases during pregnancy. Previous reports suggested that this is due to folic acid supplementation, hemodilution, or a decrease in albumin. However, these hypotheses have not been tested in a longitudinal study. OBJECTIVE We investigated the relation between pregnancy-related physiologic changes and tHcy in a group of healthy women who were either unsupplemented or supplemented with folic acid. DESIGN In a longitudinal study from preconception throughout pregnancy, we studied 54 unsupplemented women and 39 women who were supplemented with folic acid during the second or third trimester of pregnancy. tHcy, hematocrit, and serum albumin were determined preconceptionally and at 8, 20, and 32 wk of pregnancy. RESULTS For the entire group, geometric mean tHcy concentrations at preconception (8.2 micro mol/L) were significantly greater (P &lt; 0.001) than those at 8 wk of pregnancy (6.4 micro mol/L). When the unsupplemented and supplemented groups were regarded separately, geometric mean tHcy concentrations at preconception were significantly greater than those at 20 (5.22 and 4.18 micro mol/L, respectively) and 32 (5.16 and 4.42 micro mol/L, respectively) wk of pregnancy (P &lt; 0.001 for both). Mean reductions from preconception concentrations at 8, 20, and 32 wk of pregnancy were significantly greater (P &lt; 0.001) for tHcy (-11.5%, -25.5%, and -24.5%, respectively) than for hematocrit (-1.9%, -4.2%, and -4.3%, respectively) or serum albumin (-1.1%, -9.8%, and -13.4%, respectively). There was no correlation between changes in either hematocrit or serum albumin and changes in tHcy. CONCLUSIONS This study refutes the previous explanations for the reduction in plasma tHcy known to occur in pregnancy, namely, folic acid supplementation, hemodilution, and a decrease in serum albumin. We suggest that the changes may be endocrine-based.","author":[{"dropping-particle":"","family":"Murphy","given":"Michelle M","non-dropping-particle":"","parse-names":false,"suffix":""},{"dropping-particle":"","family":"Scott","given":"John M","non-dropping-particle":"","parse-names":false,"suffix":""},{"dropping-particle":"","family":"McPartlin","given":"Joseph M","non-dropping-particle":"","parse-names":false,"suffix":""},{"dropping-particle":"","family":"Fernandez-Ballart","given":"Joan D","non-dropping-particle":"","parse-names":false,"suffix":""}],"container-title":"The American Journal of Clinical Nutrition","id":"ITEM-2","issue":"3","issued":{"date-parts":[["2002","9","1"]]},"page":"614-619","title":"The pregnancy-related decrease in fasting plasma homocysteine is not explained by folic acid supplementation, hemodilution, or a decrease in albumin in a longitudinal study","type":"article-journal","volume":"76"},"uris":["http://www.mendeley.com/documents/?uuid=39f52b9c-a721-3552-a591-7b9faf0b3ec6"]},{"id":"ITEM-3","itemData":{"DOI":"10.1093/ajcn/81.6.1383","ISSN":"0002-9165","PMID":"15941891","abstract":"BACKGROUND Plasma concentrations of total homocysteine (tHcy) decrease during pregnancy. This reduction has been investigated in relation to folate status, but no study has addressed the possible role of betaine and its precursor choline. OBJECTIVE We investigated the courses of plasma choline and betaine during normal human pregnancy and their relations to plasma tHcy. DESIGN Blood samples were obtained monthly; the initial samples were taken at gestational week (GW) 9, and the last samples were taken approximately 3 mo postpartum. The study population comprised 50 women of West African descent. Most of the subjects took folic acid irregularly. RESULTS Plasma choline (geometric x; 95% reference interval) increased continuously during pregnancy, from 6.6 (4.5, 9.7) micromol/L at GW 9 to 10.8 (7.4, 15.6) micromol/L at GW 36. Plasma betaine decreased in the first half of pregnancy, from 16.3 (8.6, 30.8) micromol/L at GW 9 to 10.3 (6.6, 16.2) micromol/L at GW 20 and remained constant thereafter. We confirmed a reduction in plasma tHcy, and the lowest concentration was found in the second trimester. From GW 16 onward, an inverse relation between plasma tHcy and betaine was observed. Multiple regression analysis showed that plasma betaine was a strong predictor of plasma tHcy from GW 20 onward. CONCLUSIONS The steady increase in choline throughout gestation may ensure choline availability for placental transfer with subsequent use by the growing fetus. Betaine becomes a strong predictor of tHcy during the course of pregnancy. Both of these findings emphasize the importance of choline and betaine status during normal human pregnancy.","author":[{"dropping-particle":"V","family":"Velzing-Aarts","given":"Francien","non-dropping-particle":"","parse-names":false,"suffix":""},{"dropping-particle":"","family":"Holm","given":"Pål I","non-dropping-particle":"","parse-names":false,"suffix":""},{"dropping-particle":"","family":"Fokkema","given":"M Rebecca","non-dropping-particle":"","parse-names":false,"suffix":""},{"dropping-particle":"","family":"Dijs","given":"Fey P","non-dropping-particle":"van der","parse-names":false,"suffix":""},{"dropping-particle":"","family":"Ueland","given":"Per M","non-dropping-particle":"","parse-names":false,"suffix":""},{"dropping-particle":"","family":"Muskiet","given":"Frits A","non-dropping-particle":"","parse-names":false,"suffix":""}],"container-title":"The American journal of clinical nutrition","id":"ITEM-3","issue":"6","issued":{"date-parts":[["2005","6","1"]]},"page":"1383-9","title":"Plasma choline and betaine and their relation to plasma homocysteine in normal pregnancy.","type":"article-journal","volume":"81"},"uris":["http://www.mendeley.com/documents/?uuid=e6fed3d7-5910-3346-b04b-bee40ebc94b2"]}],"mendeley":{"formattedCitation":"[17–19]","plainTextFormattedCitation":"[17–19]","previouslyFormattedCitation":"[16–18]"},"properties":{"noteIndex":0},"schema":"https://github.com/citation-style-language/schema/raw/master/csl-citation.json"}</w:instrText>
      </w:r>
      <w:r w:rsidR="002F5748">
        <w:rPr>
          <w:rFonts w:ascii="Arial" w:hAnsi="Arial" w:cs="Arial"/>
          <w:lang w:val="en-US"/>
        </w:rPr>
        <w:fldChar w:fldCharType="separate"/>
      </w:r>
      <w:r w:rsidR="000D39D8" w:rsidRPr="000D39D8">
        <w:rPr>
          <w:rFonts w:ascii="Arial" w:hAnsi="Arial" w:cs="Arial"/>
          <w:noProof/>
          <w:lang w:val="en-US"/>
        </w:rPr>
        <w:t>[17–19]</w:t>
      </w:r>
      <w:r w:rsidR="002F5748">
        <w:rPr>
          <w:rFonts w:ascii="Arial" w:hAnsi="Arial" w:cs="Arial"/>
          <w:lang w:val="en-US"/>
        </w:rPr>
        <w:fldChar w:fldCharType="end"/>
      </w:r>
      <w:r w:rsidR="0005613D" w:rsidRPr="0005613D">
        <w:rPr>
          <w:rFonts w:ascii="Arial" w:hAnsi="Arial" w:cs="Arial"/>
          <w:lang w:val="en-US"/>
        </w:rPr>
        <w:t>.</w:t>
      </w:r>
      <w:r w:rsidR="005C38A9">
        <w:rPr>
          <w:rFonts w:ascii="Arial" w:hAnsi="Arial" w:cs="Arial"/>
          <w:lang w:val="en-US"/>
        </w:rPr>
        <w:t xml:space="preserve"> </w:t>
      </w:r>
      <w:r w:rsidR="00432426" w:rsidRPr="00432426">
        <w:rPr>
          <w:rFonts w:ascii="Arial" w:hAnsi="Arial" w:cs="Arial"/>
          <w:lang w:val="en-US"/>
        </w:rPr>
        <w:t xml:space="preserve">Previous </w:t>
      </w:r>
      <w:r w:rsidR="00432426">
        <w:rPr>
          <w:rFonts w:ascii="Arial" w:hAnsi="Arial" w:cs="Arial"/>
          <w:lang w:val="en-US"/>
        </w:rPr>
        <w:t>reports</w:t>
      </w:r>
      <w:r w:rsidR="00432426" w:rsidRPr="00432426">
        <w:rPr>
          <w:rFonts w:ascii="Arial" w:hAnsi="Arial" w:cs="Arial"/>
          <w:lang w:val="en-US"/>
        </w:rPr>
        <w:t xml:space="preserve"> have </w:t>
      </w:r>
      <w:r w:rsidR="00432426">
        <w:rPr>
          <w:rFonts w:ascii="Arial" w:hAnsi="Arial" w:cs="Arial"/>
          <w:lang w:val="en-US"/>
        </w:rPr>
        <w:t xml:space="preserve">studied the relationship between folic acid and homocysteine with steroids, in particular with estradiol. However, most of the studies were focused on studying these compounds during pregnancy or menopause where there is a substantial alteration in the circulating levels of estrogens. On the contrary, very little is known about the behavior of folic acid and homocysteine during an in vitro fertilization cycle, where </w:t>
      </w:r>
      <w:r w:rsidR="0005613D">
        <w:rPr>
          <w:rFonts w:ascii="Arial" w:hAnsi="Arial" w:cs="Arial"/>
          <w:lang w:val="en-US"/>
        </w:rPr>
        <w:t>superovulation protocols induce a major increased in the levels of estradiol and other hormones.</w:t>
      </w:r>
    </w:p>
    <w:p w14:paraId="18BB3C1D" w14:textId="34C165FC" w:rsidR="008C7251" w:rsidRPr="00432426" w:rsidRDefault="0005613D" w:rsidP="005C38A9">
      <w:pPr>
        <w:spacing w:after="0" w:line="480" w:lineRule="auto"/>
        <w:ind w:firstLine="720"/>
        <w:jc w:val="both"/>
        <w:rPr>
          <w:rFonts w:ascii="Arial" w:hAnsi="Arial" w:cs="Arial"/>
          <w:lang w:val="en-US"/>
        </w:rPr>
      </w:pPr>
      <w:r w:rsidRPr="0065737F">
        <w:rPr>
          <w:rFonts w:ascii="Arial" w:hAnsi="Arial" w:cs="Arial"/>
          <w:highlight w:val="yellow"/>
          <w:lang w:val="en-US"/>
        </w:rPr>
        <w:t>W</w:t>
      </w:r>
      <w:r w:rsidR="00432426" w:rsidRPr="0065737F">
        <w:rPr>
          <w:rFonts w:ascii="Arial" w:hAnsi="Arial" w:cs="Arial"/>
          <w:highlight w:val="yellow"/>
          <w:lang w:val="en-US"/>
        </w:rPr>
        <w:t>e designed the present prospective study aimed at investigating whether levels of serum and red blood cell folate</w:t>
      </w:r>
      <w:r w:rsidR="005C38A9" w:rsidRPr="0065737F">
        <w:rPr>
          <w:rFonts w:ascii="Arial" w:hAnsi="Arial" w:cs="Arial"/>
          <w:highlight w:val="yellow"/>
          <w:lang w:val="en-US"/>
        </w:rPr>
        <w:t xml:space="preserve"> as well as</w:t>
      </w:r>
      <w:r w:rsidR="00432426" w:rsidRPr="0065737F">
        <w:rPr>
          <w:rFonts w:ascii="Arial" w:hAnsi="Arial" w:cs="Arial"/>
          <w:highlight w:val="yellow"/>
          <w:lang w:val="en-US"/>
        </w:rPr>
        <w:t xml:space="preserve"> homocysteine are </w:t>
      </w:r>
      <w:r w:rsidR="007E70BE" w:rsidRPr="0065737F">
        <w:rPr>
          <w:rFonts w:ascii="Arial" w:hAnsi="Arial" w:cs="Arial"/>
          <w:highlight w:val="yellow"/>
          <w:lang w:val="en-US"/>
        </w:rPr>
        <w:t>influenced by the high levels of estradiol produced by super ovulation in</w:t>
      </w:r>
      <w:r w:rsidR="00432426" w:rsidRPr="0065737F">
        <w:rPr>
          <w:rFonts w:ascii="Arial" w:hAnsi="Arial" w:cs="Arial"/>
          <w:highlight w:val="yellow"/>
          <w:lang w:val="en-US"/>
        </w:rPr>
        <w:t xml:space="preserve"> women undergoing </w:t>
      </w:r>
      <w:r w:rsidR="007E70BE" w:rsidRPr="0065737F">
        <w:rPr>
          <w:rFonts w:ascii="Arial" w:hAnsi="Arial" w:cs="Arial"/>
          <w:i/>
          <w:iCs/>
          <w:highlight w:val="yellow"/>
          <w:lang w:val="en-US"/>
        </w:rPr>
        <w:t>in vitro</w:t>
      </w:r>
      <w:r w:rsidR="007E70BE" w:rsidRPr="0065737F">
        <w:rPr>
          <w:rFonts w:ascii="Arial" w:hAnsi="Arial" w:cs="Arial"/>
          <w:highlight w:val="yellow"/>
          <w:lang w:val="en-US"/>
        </w:rPr>
        <w:t xml:space="preserve"> fertilization</w:t>
      </w:r>
      <w:r w:rsidR="00432426" w:rsidRPr="0065737F">
        <w:rPr>
          <w:rFonts w:ascii="Arial" w:hAnsi="Arial" w:cs="Arial"/>
          <w:highlight w:val="yellow"/>
          <w:lang w:val="en-US"/>
        </w:rPr>
        <w:t>.</w:t>
      </w:r>
    </w:p>
    <w:p w14:paraId="0B7B013D" w14:textId="77777777" w:rsidR="005C38A9" w:rsidRPr="00E2291C" w:rsidRDefault="005C38A9" w:rsidP="00BF46C5">
      <w:pPr>
        <w:spacing w:after="0" w:line="480" w:lineRule="auto"/>
        <w:rPr>
          <w:rFonts w:ascii="Arial" w:hAnsi="Arial" w:cs="Arial"/>
          <w:b/>
          <w:lang w:val="en-US"/>
        </w:rPr>
      </w:pPr>
    </w:p>
    <w:p w14:paraId="5B2B9A1E" w14:textId="35751206" w:rsidR="00CC68C7" w:rsidRPr="00E2291C" w:rsidRDefault="00695F80" w:rsidP="00BF46C5">
      <w:pPr>
        <w:spacing w:after="0" w:line="480" w:lineRule="auto"/>
        <w:rPr>
          <w:rFonts w:ascii="Arial" w:hAnsi="Arial" w:cs="Arial"/>
          <w:b/>
          <w:lang w:val="en-US"/>
        </w:rPr>
      </w:pPr>
      <w:r w:rsidRPr="00E2291C">
        <w:rPr>
          <w:rFonts w:ascii="Arial" w:hAnsi="Arial" w:cs="Arial"/>
          <w:b/>
          <w:lang w:val="en-US"/>
        </w:rPr>
        <w:t>Methods</w:t>
      </w:r>
    </w:p>
    <w:p w14:paraId="44540BD0" w14:textId="49F77DB9" w:rsidR="00931D43" w:rsidRPr="00E2291C" w:rsidRDefault="00931D43" w:rsidP="00BF46C5">
      <w:pPr>
        <w:spacing w:after="0" w:line="480" w:lineRule="auto"/>
        <w:rPr>
          <w:rFonts w:ascii="Arial" w:hAnsi="Arial" w:cs="Arial"/>
          <w:b/>
          <w:lang w:val="en-US"/>
        </w:rPr>
      </w:pPr>
      <w:r w:rsidRPr="00E2291C">
        <w:rPr>
          <w:rFonts w:ascii="Arial" w:hAnsi="Arial" w:cs="Arial"/>
          <w:b/>
          <w:iCs/>
          <w:lang w:val="en-US"/>
        </w:rPr>
        <w:t>Subjects</w:t>
      </w:r>
      <w:r w:rsidR="00E54EE0">
        <w:rPr>
          <w:rFonts w:ascii="Arial" w:hAnsi="Arial" w:cs="Arial"/>
          <w:b/>
          <w:iCs/>
          <w:lang w:val="en-US"/>
        </w:rPr>
        <w:t xml:space="preserve"> and samples</w:t>
      </w:r>
    </w:p>
    <w:p w14:paraId="2C70499E" w14:textId="749BD5CD" w:rsidR="008C7251" w:rsidRDefault="00931D43" w:rsidP="005C38A9">
      <w:pPr>
        <w:spacing w:after="0" w:line="480" w:lineRule="auto"/>
        <w:ind w:firstLine="720"/>
        <w:jc w:val="both"/>
        <w:rPr>
          <w:rFonts w:ascii="Arial" w:hAnsi="Arial" w:cs="Arial"/>
          <w:lang w:val="en-US"/>
        </w:rPr>
      </w:pPr>
      <w:r w:rsidRPr="005D0668">
        <w:rPr>
          <w:rFonts w:ascii="Arial" w:hAnsi="Arial" w:cs="Arial"/>
          <w:lang w:val="en-US"/>
        </w:rPr>
        <w:t xml:space="preserve">The study protocol was approved by the Bioethics Committee of the </w:t>
      </w:r>
      <w:r w:rsidRPr="005D0668">
        <w:rPr>
          <w:rFonts w:ascii="Arial" w:hAnsi="Arial" w:cs="Arial"/>
          <w:iCs/>
          <w:lang w:val="en-US"/>
        </w:rPr>
        <w:t xml:space="preserve">Hospital Universitario “Dr. José </w:t>
      </w:r>
      <w:proofErr w:type="spellStart"/>
      <w:r w:rsidRPr="005D0668">
        <w:rPr>
          <w:rFonts w:ascii="Arial" w:hAnsi="Arial" w:cs="Arial"/>
          <w:iCs/>
          <w:lang w:val="en-US"/>
        </w:rPr>
        <w:t>Eleuterio</w:t>
      </w:r>
      <w:proofErr w:type="spellEnd"/>
      <w:r w:rsidRPr="005D0668">
        <w:rPr>
          <w:rFonts w:ascii="Arial" w:hAnsi="Arial" w:cs="Arial"/>
          <w:iCs/>
          <w:lang w:val="en-US"/>
        </w:rPr>
        <w:t xml:space="preserve"> González”.</w:t>
      </w:r>
      <w:r w:rsidRPr="005D0668">
        <w:rPr>
          <w:rFonts w:ascii="Arial" w:hAnsi="Arial" w:cs="Arial"/>
          <w:lang w:val="en-US"/>
        </w:rPr>
        <w:t xml:space="preserve"> These studies are in compliance with the Declaration of Helsinki principles. Patients were provided with written information about the study prior to giving informed consent. </w:t>
      </w:r>
      <w:r w:rsidR="00504B5F" w:rsidRPr="005D0668">
        <w:rPr>
          <w:rFonts w:ascii="Arial" w:hAnsi="Arial" w:cs="Arial"/>
          <w:lang w:val="en-US"/>
        </w:rPr>
        <w:t>A total of 49 p</w:t>
      </w:r>
      <w:r w:rsidRPr="005D0668">
        <w:rPr>
          <w:rFonts w:ascii="Arial" w:hAnsi="Arial" w:cs="Arial"/>
          <w:lang w:val="en-US"/>
        </w:rPr>
        <w:t xml:space="preserve">atients </w:t>
      </w:r>
      <w:r w:rsidR="00C620C2" w:rsidRPr="005D0668">
        <w:rPr>
          <w:rFonts w:ascii="Arial" w:hAnsi="Arial" w:cs="Arial"/>
          <w:lang w:val="en-US"/>
        </w:rPr>
        <w:t xml:space="preserve">(Group A) </w:t>
      </w:r>
      <w:r w:rsidRPr="005D0668">
        <w:rPr>
          <w:rFonts w:ascii="Arial" w:hAnsi="Arial" w:cs="Arial"/>
          <w:lang w:val="en-US"/>
        </w:rPr>
        <w:t xml:space="preserve">consulting for infertility </w:t>
      </w:r>
      <w:r w:rsidR="00504B5F" w:rsidRPr="005D0668">
        <w:rPr>
          <w:rFonts w:ascii="Arial" w:hAnsi="Arial" w:cs="Arial"/>
          <w:lang w:val="en-US"/>
        </w:rPr>
        <w:t xml:space="preserve">were included in this study </w:t>
      </w:r>
      <w:r w:rsidRPr="005D0668">
        <w:rPr>
          <w:rFonts w:ascii="Arial" w:hAnsi="Arial" w:cs="Arial"/>
          <w:lang w:val="en-US"/>
        </w:rPr>
        <w:t xml:space="preserve">(age </w:t>
      </w:r>
      <w:r w:rsidR="00B52E72" w:rsidRPr="005D0668">
        <w:rPr>
          <w:rFonts w:ascii="Arial" w:hAnsi="Arial" w:cs="Arial"/>
          <w:lang w:val="en-US"/>
        </w:rPr>
        <w:t>20-39</w:t>
      </w:r>
      <w:r w:rsidRPr="005D0668">
        <w:rPr>
          <w:rFonts w:ascii="Arial" w:hAnsi="Arial" w:cs="Arial"/>
          <w:lang w:val="en-US"/>
        </w:rPr>
        <w:t>)</w:t>
      </w:r>
      <w:r w:rsidR="00504B5F" w:rsidRPr="005D0668">
        <w:rPr>
          <w:rFonts w:ascii="Arial" w:hAnsi="Arial" w:cs="Arial"/>
          <w:lang w:val="en-US"/>
        </w:rPr>
        <w:t xml:space="preserve">. </w:t>
      </w:r>
      <w:r w:rsidR="00432426" w:rsidRPr="005D0668">
        <w:rPr>
          <w:rFonts w:ascii="Arial" w:hAnsi="Arial" w:cs="Arial"/>
          <w:lang w:val="en-US"/>
        </w:rPr>
        <w:t>This group was further subdivided in two groups: patients who became pregnant after the treatment (group A1); patients that did not achieved pregnancy (group A2)</w:t>
      </w:r>
      <w:r w:rsidR="00CA2CB4">
        <w:rPr>
          <w:rFonts w:ascii="Arial" w:hAnsi="Arial" w:cs="Arial"/>
          <w:lang w:val="en-US"/>
        </w:rPr>
        <w:t>.</w:t>
      </w:r>
      <w:r w:rsidR="00432426" w:rsidRPr="005D0668">
        <w:rPr>
          <w:rFonts w:ascii="Arial" w:hAnsi="Arial" w:cs="Arial"/>
          <w:lang w:val="en-US"/>
        </w:rPr>
        <w:t xml:space="preserve"> </w:t>
      </w:r>
      <w:r w:rsidR="008C7251" w:rsidRPr="005D0668">
        <w:rPr>
          <w:rFonts w:ascii="Arial" w:hAnsi="Arial" w:cs="Arial"/>
          <w:lang w:val="en-US"/>
        </w:rPr>
        <w:t xml:space="preserve">Diagnosis of infertility was based on the patient’s medical history, clinical investigation, including transvaginal ultrasonography, a standard set of tests that included hormone analyses, </w:t>
      </w:r>
      <w:r w:rsidR="00432426" w:rsidRPr="005D0668">
        <w:rPr>
          <w:rFonts w:ascii="Arial" w:hAnsi="Arial" w:cs="Arial"/>
          <w:lang w:val="en-US"/>
        </w:rPr>
        <w:t>hysterosalpingogram</w:t>
      </w:r>
      <w:r w:rsidR="008C7251" w:rsidRPr="005D0668">
        <w:rPr>
          <w:rFonts w:ascii="Arial" w:hAnsi="Arial" w:cs="Arial"/>
          <w:lang w:val="en-US"/>
        </w:rPr>
        <w:t xml:space="preserve"> contrast sonography and semen analyses, as described previously </w:t>
      </w:r>
      <w:r w:rsidR="002F5748">
        <w:rPr>
          <w:rFonts w:ascii="Arial" w:hAnsi="Arial" w:cs="Arial"/>
          <w:lang w:val="en-US"/>
        </w:rPr>
        <w:fldChar w:fldCharType="begin" w:fldLock="1"/>
      </w:r>
      <w:r w:rsidR="000D39D8">
        <w:rPr>
          <w:rFonts w:ascii="Arial" w:hAnsi="Arial" w:cs="Arial"/>
          <w:lang w:val="en-US"/>
        </w:rPr>
        <w:instrText>ADDIN CSL_CITATION {"citationItems":[{"id":"ITEM-1","itemData":{"DOI":"10.1016/j.fertnstert.2009.02.025","ISSN":"00150282","PMID":"19324355","abstract":"OBJECTIVE To investigate associations between folate-metabolizing gene variations, folate status, and unexplained female infertility. DESIGN An association study. SETTING Hospital-based IVF unit and university-affiliated reproductive research laboratories. PATIENT(S) Seventy-one female patients with unexplained infertility. INTERVENTION(S) Blood samples for polymorphism genotyping and homocysteine, vitamin B12, and folate measurements. MAIN OUTCOME MEASURE(S) Allele and genotype frequencies of the following polymorphisms: 5,10-methylenetetrahydrofolate reductase (MTHFR) 677C/T, 1298A/C, and 1793G/A, folate receptor 1 (FOLR1) 1314G/A, 1816delC, 1841G/A, and 1928C/T, transcobalamin II (TCN2) 776C/G, cystathionase (CTH) 1208G/T and solute carrier family 19, member 1 (SLC19A1) 80G/A, and concentrations of plasma homocysteine, vitamin B12, and serum folate. RESULT(S) MTHFR genotypes 677CT and 1793GA, as well as 1793 allele A were significantly more frequent among controls than in patients. The common MTHFR wild-type haplotype (677, 1298, 1793) CAG was less prevalent, whereas the rare haplotype CCA was more frequent in the general population than among infertility patients. The frequency of SLC19A1 80G/A genotypes differed significantly between controls and patients and the A allele was more common in the general population than in infertile women. Plasma homocysteine concentrations were influenced by CTH 1208G/T polymorphism among infertile women. CONCLUSION(S) Polymorphisms in folate pathway genes could be one reason for fertility complications in some women with unexplained infertility.","author":[{"dropping-particle":"","family":"Altmäe","given":"Signe","non-dropping-particle":"","parse-names":false,"suffix":""},{"dropping-particle":"","family":"Stavreus-Evers","given":"Anneli","non-dropping-particle":"","parse-names":false,"suffix":""},{"dropping-particle":"","family":"Ruiz","given":"Jonatan R.","non-dropping-particle":"","parse-names":false,"suffix":""},{"dropping-particle":"","family":"Laanpere","given":"Margit","non-dropping-particle":"","parse-names":false,"suffix":""},{"dropping-particle":"","family":"Syvänen","given":"Tiina","non-dropping-particle":"","parse-names":false,"suffix":""},{"dropping-particle":"","family":"Yngve","given":"Agneta","non-dropping-particle":"","parse-names":false,"suffix":""},{"dropping-particle":"","family":"Salumets","given":"Andres","non-dropping-particle":"","parse-names":false,"suffix":""},{"dropping-particle":"","family":"Nilsson","given":"Torbjörn K.","non-dropping-particle":"","parse-names":false,"suffix":""}],"container-title":"Fertility and Sterility","id":"ITEM-1","issue":"1","issued":{"date-parts":[["2010","6"]]},"page":"130-137","title":"Variations in folate pathway genes are associated with unexplained female infertility","type":"article-journal","volume":"94"},"uris":["http://www.mendeley.com/documents/?uuid=f4e1118f-f153-3d87-ab29-6f0cc6d104fd"]}],"mendeley":{"formattedCitation":"[21]","plainTextFormattedCitation":"[21]","previouslyFormattedCitation":"[20]"},"properties":{"noteIndex":0},"schema":"https://github.com/citation-style-language/schema/raw/master/csl-citation.json"}</w:instrText>
      </w:r>
      <w:r w:rsidR="002F5748">
        <w:rPr>
          <w:rFonts w:ascii="Arial" w:hAnsi="Arial" w:cs="Arial"/>
          <w:lang w:val="en-US"/>
        </w:rPr>
        <w:fldChar w:fldCharType="separate"/>
      </w:r>
      <w:r w:rsidR="000D39D8" w:rsidRPr="000D39D8">
        <w:rPr>
          <w:rFonts w:ascii="Arial" w:hAnsi="Arial" w:cs="Arial"/>
          <w:noProof/>
          <w:lang w:val="en-US"/>
        </w:rPr>
        <w:t>[21]</w:t>
      </w:r>
      <w:r w:rsidR="002F5748">
        <w:rPr>
          <w:rFonts w:ascii="Arial" w:hAnsi="Arial" w:cs="Arial"/>
          <w:lang w:val="en-US"/>
        </w:rPr>
        <w:fldChar w:fldCharType="end"/>
      </w:r>
      <w:r w:rsidR="008C7251" w:rsidRPr="005D0668">
        <w:rPr>
          <w:rFonts w:ascii="Arial" w:hAnsi="Arial" w:cs="Arial"/>
          <w:lang w:val="en-US"/>
        </w:rPr>
        <w:t xml:space="preserve">. A diagnosis of unexplained infertility was chosen when no explanation for infertility was found, women had normal ovarian function and normal tubal passage (demonstrated by </w:t>
      </w:r>
      <w:r w:rsidR="00432426" w:rsidRPr="005D0668">
        <w:rPr>
          <w:rFonts w:ascii="Arial" w:hAnsi="Arial" w:cs="Arial"/>
          <w:lang w:val="en-US"/>
        </w:rPr>
        <w:t>hysterosalpingogram</w:t>
      </w:r>
      <w:r w:rsidR="008C7251" w:rsidRPr="005D0668">
        <w:rPr>
          <w:rFonts w:ascii="Arial" w:hAnsi="Arial" w:cs="Arial"/>
          <w:lang w:val="en-US"/>
        </w:rPr>
        <w:t xml:space="preserve"> contrast sonography) and their partners had normal </w:t>
      </w:r>
      <w:r w:rsidR="006974DB" w:rsidRPr="005D0668">
        <w:rPr>
          <w:rFonts w:ascii="Arial" w:hAnsi="Arial" w:cs="Arial"/>
          <w:lang w:val="en-US"/>
        </w:rPr>
        <w:t xml:space="preserve">semen </w:t>
      </w:r>
      <w:r w:rsidR="008C7251" w:rsidRPr="005D0668">
        <w:rPr>
          <w:rFonts w:ascii="Arial" w:hAnsi="Arial" w:cs="Arial"/>
          <w:lang w:val="en-US"/>
        </w:rPr>
        <w:t xml:space="preserve">samples according to WHO criteria </w:t>
      </w:r>
      <w:r w:rsidR="002F5748">
        <w:rPr>
          <w:rFonts w:ascii="Arial" w:hAnsi="Arial" w:cs="Arial"/>
          <w:lang w:val="en-US"/>
        </w:rPr>
        <w:fldChar w:fldCharType="begin" w:fldLock="1"/>
      </w:r>
      <w:r w:rsidR="000D39D8">
        <w:rPr>
          <w:rFonts w:ascii="Arial" w:hAnsi="Arial" w:cs="Arial"/>
          <w:lang w:val="en-US"/>
        </w:rPr>
        <w:instrText>ADDIN CSL_CITATION {"citationItems":[{"id":"ITEM-1","itemData":{"DOI":"10.1038/aja.2008.57","ISSN":"978 92 4 154778 9","abstract":"This manual is offered as a resource for scientists, technicians and managers undertaking semen analysis in clinical and research laboratories. The fifth edition provides updated, evidence-based, detailed protocols for routine, optional and research assays, with the goal of improving the quality and standardization of semen analysis and enhancing the comparability of results from different laboratories.","author":[{"dropping-particle":"","family":"World Health Organization","given":"World Health","non-dropping-particle":"","parse-names":false,"suffix":""}],"container-title":"WHO Press","edition":"5th ed.","id":"ITEM-1","issue":"10","issued":{"date-parts":[["2010"]]},"note":"From Duplicate 1 (WHO laboratory manual for the examination and processing of human semen - Organization, World Health)\n\n00000","number-of-pages":"286","publisher":"World Health Organization","publisher-place":"Geneva","title":"WHO laboratory manual for the Examination and processing of human semen","type":"book"},"uris":["http://www.mendeley.com/documents/?uuid=05b932b4-4371-409e-b205-b35c60db952b"]}],"mendeley":{"formattedCitation":"[22]","plainTextFormattedCitation":"[22]","previouslyFormattedCitation":"[21]"},"properties":{"noteIndex":0},"schema":"https://github.com/citation-style-language/schema/raw/master/csl-citation.json"}</w:instrText>
      </w:r>
      <w:r w:rsidR="002F5748">
        <w:rPr>
          <w:rFonts w:ascii="Arial" w:hAnsi="Arial" w:cs="Arial"/>
          <w:lang w:val="en-US"/>
        </w:rPr>
        <w:fldChar w:fldCharType="separate"/>
      </w:r>
      <w:r w:rsidR="000D39D8" w:rsidRPr="000D39D8">
        <w:rPr>
          <w:rFonts w:ascii="Arial" w:hAnsi="Arial" w:cs="Arial"/>
          <w:noProof/>
          <w:lang w:val="en-US"/>
        </w:rPr>
        <w:t>[22]</w:t>
      </w:r>
      <w:r w:rsidR="002F5748">
        <w:rPr>
          <w:rFonts w:ascii="Arial" w:hAnsi="Arial" w:cs="Arial"/>
          <w:lang w:val="en-US"/>
        </w:rPr>
        <w:fldChar w:fldCharType="end"/>
      </w:r>
      <w:r w:rsidR="008C7251" w:rsidRPr="005D0668">
        <w:rPr>
          <w:rFonts w:ascii="Arial" w:hAnsi="Arial" w:cs="Arial"/>
          <w:lang w:val="en-US"/>
        </w:rPr>
        <w:t>.</w:t>
      </w:r>
    </w:p>
    <w:p w14:paraId="229AA19C" w14:textId="5CE12A57" w:rsidR="00E2291C" w:rsidRDefault="00504B5F" w:rsidP="005C38A9">
      <w:pPr>
        <w:spacing w:after="0" w:line="480" w:lineRule="auto"/>
        <w:ind w:firstLine="720"/>
        <w:jc w:val="both"/>
        <w:rPr>
          <w:rFonts w:ascii="Arial" w:hAnsi="Arial" w:cs="Arial"/>
          <w:lang w:val="en-US"/>
        </w:rPr>
      </w:pPr>
      <w:r>
        <w:rPr>
          <w:rFonts w:ascii="Arial" w:hAnsi="Arial" w:cs="Arial"/>
          <w:lang w:val="en-US"/>
        </w:rPr>
        <w:lastRenderedPageBreak/>
        <w:t>All of them were programmed for an assisted reproduction procedure (either in vitro fertilization or intra cytoplasmic sperm injection)</w:t>
      </w:r>
      <w:r w:rsidR="00931D43" w:rsidRPr="00E2291C">
        <w:rPr>
          <w:rFonts w:ascii="Arial" w:hAnsi="Arial" w:cs="Arial"/>
          <w:lang w:val="en-US"/>
        </w:rPr>
        <w:t xml:space="preserve">. </w:t>
      </w:r>
      <w:r>
        <w:rPr>
          <w:rFonts w:ascii="Arial" w:hAnsi="Arial" w:cs="Arial"/>
          <w:lang w:val="en-US"/>
        </w:rPr>
        <w:t xml:space="preserve">In addition, 14 healthy women donors </w:t>
      </w:r>
      <w:r w:rsidR="00C620C2">
        <w:rPr>
          <w:rFonts w:ascii="Arial" w:hAnsi="Arial" w:cs="Arial"/>
          <w:lang w:val="en-US"/>
        </w:rPr>
        <w:t xml:space="preserve">(Group B) </w:t>
      </w:r>
      <w:r>
        <w:rPr>
          <w:rFonts w:ascii="Arial" w:hAnsi="Arial" w:cs="Arial"/>
          <w:lang w:val="en-US"/>
        </w:rPr>
        <w:t xml:space="preserve">that were recruited as part of our egg donor program were also included in this study (control group). </w:t>
      </w:r>
    </w:p>
    <w:p w14:paraId="50836BC2" w14:textId="73A91E9E" w:rsidR="00504B5F" w:rsidRDefault="00504B5F" w:rsidP="005C38A9">
      <w:pPr>
        <w:spacing w:after="0" w:line="480" w:lineRule="auto"/>
        <w:ind w:firstLine="720"/>
        <w:jc w:val="both"/>
        <w:rPr>
          <w:rFonts w:ascii="Arial" w:hAnsi="Arial" w:cs="Arial"/>
          <w:lang w:val="en-US"/>
        </w:rPr>
      </w:pPr>
      <w:r>
        <w:rPr>
          <w:rFonts w:ascii="Arial" w:hAnsi="Arial" w:cs="Arial"/>
          <w:lang w:val="en-US"/>
        </w:rPr>
        <w:t xml:space="preserve">The following information was recorded for each patient: Age, concentration of estradiol during stimulation, duration of hormonal stimulation (days), dose of </w:t>
      </w:r>
      <w:r w:rsidRPr="00504B5F">
        <w:rPr>
          <w:rFonts w:ascii="Arial" w:hAnsi="Arial" w:cs="Arial"/>
          <w:lang w:val="en-US"/>
        </w:rPr>
        <w:t xml:space="preserve">gonadotropins </w:t>
      </w:r>
      <w:r>
        <w:rPr>
          <w:rFonts w:ascii="Arial" w:hAnsi="Arial" w:cs="Arial"/>
          <w:lang w:val="en-US"/>
        </w:rPr>
        <w:t xml:space="preserve">used in stimulation, number of follicles (&gt;14 mm), number of eggs retrieved, number of embryos, number of transferred embryos and occurrence of biochemical pregnancy (positive of beta </w:t>
      </w:r>
      <w:proofErr w:type="spellStart"/>
      <w:r>
        <w:rPr>
          <w:rFonts w:ascii="Arial" w:hAnsi="Arial" w:cs="Arial"/>
          <w:lang w:val="en-US"/>
        </w:rPr>
        <w:t>hCG</w:t>
      </w:r>
      <w:proofErr w:type="spellEnd"/>
      <w:r>
        <w:rPr>
          <w:rFonts w:ascii="Arial" w:hAnsi="Arial" w:cs="Arial"/>
          <w:lang w:val="en-US"/>
        </w:rPr>
        <w:t>).</w:t>
      </w:r>
      <w:r w:rsidR="005C38A9">
        <w:rPr>
          <w:rFonts w:ascii="Arial" w:hAnsi="Arial" w:cs="Arial"/>
          <w:lang w:val="en-US"/>
        </w:rPr>
        <w:t xml:space="preserve"> </w:t>
      </w:r>
      <w:r>
        <w:rPr>
          <w:rFonts w:ascii="Arial" w:hAnsi="Arial" w:cs="Arial"/>
          <w:lang w:val="en-US"/>
        </w:rPr>
        <w:t xml:space="preserve">Each participant was subjected to 2 blood draws (10 ml each). The first one at day 3 of the cycle, prior to hormonal stimulation. The second one, the day of </w:t>
      </w:r>
      <w:r w:rsidRPr="00504B5F">
        <w:rPr>
          <w:rFonts w:ascii="Arial" w:hAnsi="Arial" w:cs="Arial"/>
          <w:lang w:val="en-US"/>
        </w:rPr>
        <w:t>egg retrieval</w:t>
      </w:r>
      <w:r>
        <w:rPr>
          <w:rFonts w:ascii="Arial" w:hAnsi="Arial" w:cs="Arial"/>
          <w:lang w:val="en-US"/>
        </w:rPr>
        <w:t xml:space="preserve">. The samples were used to quantify the concentration of estradiol, folic acid, homocysteine and </w:t>
      </w:r>
      <w:r w:rsidRPr="00504B5F">
        <w:rPr>
          <w:rFonts w:ascii="Arial" w:hAnsi="Arial" w:cs="Arial"/>
          <w:lang w:val="en-US"/>
        </w:rPr>
        <w:t>5-MTHFR polymorphism</w:t>
      </w:r>
      <w:r>
        <w:rPr>
          <w:rFonts w:ascii="Arial" w:hAnsi="Arial" w:cs="Arial"/>
          <w:lang w:val="en-US"/>
        </w:rPr>
        <w:t>.</w:t>
      </w:r>
    </w:p>
    <w:p w14:paraId="794D29B7" w14:textId="77777777" w:rsidR="00432426" w:rsidRPr="00432426" w:rsidRDefault="00432426" w:rsidP="00BF46C5">
      <w:pPr>
        <w:spacing w:after="0" w:line="480" w:lineRule="auto"/>
        <w:jc w:val="both"/>
        <w:rPr>
          <w:rFonts w:ascii="Arial" w:hAnsi="Arial" w:cs="Arial"/>
          <w:b/>
          <w:lang w:val="en-US"/>
        </w:rPr>
      </w:pPr>
      <w:r w:rsidRPr="00432426">
        <w:rPr>
          <w:rFonts w:ascii="Arial" w:hAnsi="Arial" w:cs="Arial"/>
          <w:b/>
          <w:lang w:val="en-US"/>
        </w:rPr>
        <w:t>IVF procedure</w:t>
      </w:r>
    </w:p>
    <w:p w14:paraId="0ADA844F" w14:textId="7C12825E" w:rsidR="005C38A9" w:rsidRPr="00432426" w:rsidRDefault="00432426" w:rsidP="005C38A9">
      <w:pPr>
        <w:spacing w:after="0" w:line="480" w:lineRule="auto"/>
        <w:ind w:firstLine="720"/>
        <w:jc w:val="both"/>
        <w:rPr>
          <w:rFonts w:ascii="Arial" w:hAnsi="Arial" w:cs="Arial"/>
          <w:lang w:val="en-US"/>
        </w:rPr>
      </w:pPr>
      <w:r w:rsidRPr="005D0668">
        <w:rPr>
          <w:rFonts w:ascii="Arial" w:hAnsi="Arial" w:cs="Arial"/>
          <w:lang w:val="en-US"/>
        </w:rPr>
        <w:t xml:space="preserve">All women started the ovarian stimulation treatment with daily injections of </w:t>
      </w:r>
      <w:r w:rsidR="003145D4" w:rsidRPr="005D0668">
        <w:rPr>
          <w:rFonts w:ascii="Arial" w:hAnsi="Arial" w:cs="Arial"/>
          <w:lang w:val="en-US"/>
        </w:rPr>
        <w:t>300</w:t>
      </w:r>
      <w:r w:rsidRPr="005D0668">
        <w:rPr>
          <w:rFonts w:ascii="Arial" w:hAnsi="Arial" w:cs="Arial"/>
          <w:lang w:val="en-US"/>
        </w:rPr>
        <w:t xml:space="preserve"> IU recombinant follicle stimulating hormone (</w:t>
      </w:r>
      <w:proofErr w:type="spellStart"/>
      <w:r w:rsidRPr="005D0668">
        <w:rPr>
          <w:rFonts w:ascii="Arial" w:hAnsi="Arial" w:cs="Arial"/>
          <w:lang w:val="en-US"/>
        </w:rPr>
        <w:t>rFSH</w:t>
      </w:r>
      <w:proofErr w:type="spellEnd"/>
      <w:r w:rsidRPr="005D0668">
        <w:rPr>
          <w:rFonts w:ascii="Arial" w:hAnsi="Arial" w:cs="Arial"/>
          <w:lang w:val="en-US"/>
        </w:rPr>
        <w:t xml:space="preserve">) </w:t>
      </w:r>
      <w:proofErr w:type="spellStart"/>
      <w:r w:rsidRPr="005D0668">
        <w:rPr>
          <w:rFonts w:ascii="Arial" w:hAnsi="Arial" w:cs="Arial"/>
          <w:lang w:val="en-US"/>
        </w:rPr>
        <w:t>s.c.</w:t>
      </w:r>
      <w:proofErr w:type="spellEnd"/>
      <w:r w:rsidRPr="005D0668">
        <w:rPr>
          <w:rFonts w:ascii="Arial" w:hAnsi="Arial" w:cs="Arial"/>
          <w:lang w:val="en-US"/>
        </w:rPr>
        <w:t xml:space="preserve"> on cycle day 2 (</w:t>
      </w:r>
      <w:proofErr w:type="spellStart"/>
      <w:r w:rsidRPr="005D0668">
        <w:rPr>
          <w:rFonts w:ascii="Arial" w:hAnsi="Arial" w:cs="Arial"/>
          <w:lang w:val="en-US"/>
        </w:rPr>
        <w:t>Puregon</w:t>
      </w:r>
      <w:proofErr w:type="spellEnd"/>
      <w:r w:rsidRPr="005D0668">
        <w:rPr>
          <w:rFonts w:ascii="Arial" w:hAnsi="Arial" w:cs="Arial"/>
          <w:lang w:val="en-US"/>
        </w:rPr>
        <w:t xml:space="preserve">®, NV Organon, Oss, the Netherlands, or </w:t>
      </w:r>
      <w:proofErr w:type="spellStart"/>
      <w:r w:rsidRPr="005D0668">
        <w:rPr>
          <w:rFonts w:ascii="Arial" w:hAnsi="Arial" w:cs="Arial"/>
          <w:lang w:val="en-US"/>
        </w:rPr>
        <w:t>Gonal</w:t>
      </w:r>
      <w:proofErr w:type="spellEnd"/>
      <w:r w:rsidRPr="005D0668">
        <w:rPr>
          <w:rFonts w:ascii="Arial" w:hAnsi="Arial" w:cs="Arial"/>
          <w:lang w:val="en-US"/>
        </w:rPr>
        <w:t xml:space="preserve">-F®, Serono Benelux BV, The Hague, the Netherlands). Administration of daily </w:t>
      </w:r>
      <w:proofErr w:type="spellStart"/>
      <w:r w:rsidRPr="005D0668">
        <w:rPr>
          <w:rFonts w:ascii="Arial" w:hAnsi="Arial" w:cs="Arial"/>
          <w:lang w:val="en-US"/>
        </w:rPr>
        <w:t>s.c.</w:t>
      </w:r>
      <w:proofErr w:type="spellEnd"/>
      <w:r w:rsidRPr="005D0668">
        <w:rPr>
          <w:rFonts w:ascii="Arial" w:hAnsi="Arial" w:cs="Arial"/>
          <w:lang w:val="en-US"/>
        </w:rPr>
        <w:t xml:space="preserve"> gonadotrophin releasing hormone antagonist (</w:t>
      </w:r>
      <w:proofErr w:type="spellStart"/>
      <w:r w:rsidRPr="005D0668">
        <w:rPr>
          <w:rFonts w:ascii="Arial" w:hAnsi="Arial" w:cs="Arial"/>
          <w:lang w:val="en-US"/>
        </w:rPr>
        <w:t>Orgalutran</w:t>
      </w:r>
      <w:proofErr w:type="spellEnd"/>
      <w:r w:rsidRPr="005D0668">
        <w:rPr>
          <w:rFonts w:ascii="Arial" w:hAnsi="Arial" w:cs="Arial"/>
          <w:lang w:val="en-US"/>
        </w:rPr>
        <w:t xml:space="preserve">®, NV Organon, or </w:t>
      </w:r>
      <w:proofErr w:type="spellStart"/>
      <w:r w:rsidRPr="005D0668">
        <w:rPr>
          <w:rFonts w:ascii="Arial" w:hAnsi="Arial" w:cs="Arial"/>
          <w:lang w:val="en-US"/>
        </w:rPr>
        <w:t>Cetrotide</w:t>
      </w:r>
      <w:proofErr w:type="spellEnd"/>
      <w:r w:rsidRPr="005D0668">
        <w:rPr>
          <w:rFonts w:ascii="Arial" w:hAnsi="Arial" w:cs="Arial"/>
          <w:lang w:val="en-US"/>
        </w:rPr>
        <w:t xml:space="preserve">®, Serono Benelux BV) was started when at least one follicle was ≥14 mm. To induce final oocyte maturation, a single dose of 5000 or 10 000 IU </w:t>
      </w:r>
      <w:proofErr w:type="spellStart"/>
      <w:r w:rsidRPr="005D0668">
        <w:rPr>
          <w:rFonts w:ascii="Arial" w:hAnsi="Arial" w:cs="Arial"/>
          <w:lang w:val="en-US"/>
        </w:rPr>
        <w:t>hCG</w:t>
      </w:r>
      <w:proofErr w:type="spellEnd"/>
      <w:r w:rsidRPr="005D0668">
        <w:rPr>
          <w:rFonts w:ascii="Arial" w:hAnsi="Arial" w:cs="Arial"/>
          <w:lang w:val="en-US"/>
        </w:rPr>
        <w:t xml:space="preserve"> </w:t>
      </w:r>
      <w:proofErr w:type="spellStart"/>
      <w:r w:rsidRPr="005D0668">
        <w:rPr>
          <w:rFonts w:ascii="Arial" w:hAnsi="Arial" w:cs="Arial"/>
          <w:lang w:val="en-US"/>
        </w:rPr>
        <w:t>s.c.</w:t>
      </w:r>
      <w:proofErr w:type="spellEnd"/>
      <w:r w:rsidRPr="005D0668">
        <w:rPr>
          <w:rFonts w:ascii="Arial" w:hAnsi="Arial" w:cs="Arial"/>
          <w:lang w:val="en-US"/>
        </w:rPr>
        <w:t xml:space="preserve"> (</w:t>
      </w:r>
      <w:proofErr w:type="spellStart"/>
      <w:r w:rsidRPr="005D0668">
        <w:rPr>
          <w:rFonts w:ascii="Arial" w:hAnsi="Arial" w:cs="Arial"/>
          <w:lang w:val="en-US"/>
        </w:rPr>
        <w:t>Pregnyl</w:t>
      </w:r>
      <w:proofErr w:type="spellEnd"/>
      <w:r w:rsidRPr="005D0668">
        <w:rPr>
          <w:rFonts w:ascii="Arial" w:hAnsi="Arial" w:cs="Arial"/>
          <w:lang w:val="en-US"/>
        </w:rPr>
        <w:t xml:space="preserve">®, NV Organon) was administered as soon as the largest follicle reached at least 18 mm in diameter and at least one additional follicle of &gt;15 mm was observed. Oocyte retrieval was carried out 35 h after </w:t>
      </w:r>
      <w:proofErr w:type="spellStart"/>
      <w:r w:rsidRPr="005D0668">
        <w:rPr>
          <w:rFonts w:ascii="Arial" w:hAnsi="Arial" w:cs="Arial"/>
          <w:lang w:val="en-US"/>
        </w:rPr>
        <w:t>hCG</w:t>
      </w:r>
      <w:proofErr w:type="spellEnd"/>
      <w:r w:rsidRPr="005D0668">
        <w:rPr>
          <w:rFonts w:ascii="Arial" w:hAnsi="Arial" w:cs="Arial"/>
          <w:lang w:val="en-US"/>
        </w:rPr>
        <w:t xml:space="preserve"> injection by transvaginal ultrasound-guided aspiration of follicles. Luteal phase supplementation of 600 mg/day micronized progesterone intravaginally was started on the evening following oocyte pick-up and continued for 12 days thereafter. On Day 3 after oocyte pick-up, a maximum of two embryos were transferred.</w:t>
      </w:r>
    </w:p>
    <w:p w14:paraId="04B42975" w14:textId="656E3720" w:rsidR="00C620C2" w:rsidRPr="008C7251" w:rsidRDefault="008C7251" w:rsidP="00BF46C5">
      <w:pPr>
        <w:spacing w:after="0" w:line="480" w:lineRule="auto"/>
        <w:jc w:val="both"/>
        <w:rPr>
          <w:rFonts w:ascii="Arial" w:hAnsi="Arial" w:cs="Arial"/>
          <w:b/>
          <w:lang w:val="en-US"/>
        </w:rPr>
      </w:pPr>
      <w:r w:rsidRPr="008C7251">
        <w:rPr>
          <w:rFonts w:ascii="Arial" w:hAnsi="Arial" w:cs="Arial"/>
          <w:b/>
          <w:lang w:val="en-US"/>
        </w:rPr>
        <w:t xml:space="preserve">Determination of </w:t>
      </w:r>
      <w:r w:rsidR="00504B5F" w:rsidRPr="008C7251">
        <w:rPr>
          <w:rFonts w:ascii="Arial" w:hAnsi="Arial" w:cs="Arial"/>
          <w:b/>
          <w:lang w:val="en-US"/>
        </w:rPr>
        <w:t>Folic acid</w:t>
      </w:r>
      <w:r w:rsidR="00C620C2">
        <w:rPr>
          <w:rFonts w:ascii="Arial" w:hAnsi="Arial" w:cs="Arial"/>
          <w:b/>
          <w:lang w:val="en-US"/>
        </w:rPr>
        <w:t xml:space="preserve">, </w:t>
      </w:r>
      <w:r w:rsidR="00C620C2" w:rsidRPr="008C7251">
        <w:rPr>
          <w:rFonts w:ascii="Arial" w:hAnsi="Arial" w:cs="Arial"/>
          <w:b/>
          <w:lang w:val="en-US"/>
        </w:rPr>
        <w:t>homocysteine</w:t>
      </w:r>
      <w:r w:rsidR="00C620C2">
        <w:rPr>
          <w:rFonts w:ascii="Arial" w:hAnsi="Arial" w:cs="Arial"/>
          <w:b/>
          <w:lang w:val="en-US"/>
        </w:rPr>
        <w:t xml:space="preserve"> and Estradiol</w:t>
      </w:r>
    </w:p>
    <w:p w14:paraId="4A2A610E" w14:textId="513B01EC" w:rsidR="00E54EE0" w:rsidRDefault="008C7251" w:rsidP="005C38A9">
      <w:pPr>
        <w:spacing w:after="80" w:line="480" w:lineRule="auto"/>
        <w:ind w:firstLine="720"/>
        <w:jc w:val="both"/>
        <w:rPr>
          <w:rFonts w:ascii="Arial" w:hAnsi="Arial" w:cs="Arial"/>
          <w:lang w:val="en-US"/>
        </w:rPr>
      </w:pPr>
      <w:r w:rsidRPr="008C7251">
        <w:rPr>
          <w:rFonts w:ascii="Arial" w:hAnsi="Arial" w:cs="Arial"/>
          <w:lang w:val="en-US"/>
        </w:rPr>
        <w:t>Blood samples were taken to determine plasma folate</w:t>
      </w:r>
      <w:r>
        <w:rPr>
          <w:rFonts w:ascii="Arial" w:hAnsi="Arial" w:cs="Arial"/>
          <w:lang w:val="en-US"/>
        </w:rPr>
        <w:t xml:space="preserve"> (PF) and</w:t>
      </w:r>
      <w:r w:rsidRPr="008C7251">
        <w:rPr>
          <w:rFonts w:ascii="Arial" w:hAnsi="Arial" w:cs="Arial"/>
          <w:lang w:val="en-US"/>
        </w:rPr>
        <w:t xml:space="preserve"> </w:t>
      </w:r>
      <w:r>
        <w:rPr>
          <w:rFonts w:ascii="Arial" w:hAnsi="Arial" w:cs="Arial"/>
          <w:lang w:val="en-US"/>
        </w:rPr>
        <w:t xml:space="preserve">intracellular folate (ICF). </w:t>
      </w:r>
      <w:r w:rsidRPr="008C7251">
        <w:rPr>
          <w:rFonts w:ascii="Arial" w:hAnsi="Arial" w:cs="Arial"/>
          <w:lang w:val="en-US"/>
        </w:rPr>
        <w:t>Immediately after collection, the blood</w:t>
      </w:r>
      <w:r>
        <w:rPr>
          <w:rFonts w:ascii="Arial" w:hAnsi="Arial" w:cs="Arial"/>
          <w:lang w:val="en-US"/>
        </w:rPr>
        <w:t xml:space="preserve"> samples</w:t>
      </w:r>
      <w:r w:rsidRPr="008C7251">
        <w:rPr>
          <w:rFonts w:ascii="Arial" w:hAnsi="Arial" w:cs="Arial"/>
          <w:lang w:val="en-US"/>
        </w:rPr>
        <w:t xml:space="preserve"> </w:t>
      </w:r>
      <w:r>
        <w:rPr>
          <w:rFonts w:ascii="Arial" w:hAnsi="Arial" w:cs="Arial"/>
          <w:lang w:val="en-US"/>
        </w:rPr>
        <w:t>were</w:t>
      </w:r>
      <w:r w:rsidRPr="008C7251">
        <w:rPr>
          <w:rFonts w:ascii="Arial" w:hAnsi="Arial" w:cs="Arial"/>
          <w:lang w:val="en-US"/>
        </w:rPr>
        <w:t xml:space="preserve"> centrifuged at 3000 g for 10 min </w:t>
      </w:r>
      <w:r w:rsidRPr="008C7251">
        <w:rPr>
          <w:rFonts w:ascii="Arial" w:hAnsi="Arial" w:cs="Arial"/>
          <w:lang w:val="en-US"/>
        </w:rPr>
        <w:lastRenderedPageBreak/>
        <w:t>and the plasma stored at −</w:t>
      </w:r>
      <w:r>
        <w:rPr>
          <w:rFonts w:ascii="Arial" w:hAnsi="Arial" w:cs="Arial"/>
          <w:lang w:val="en-US"/>
        </w:rPr>
        <w:t>2</w:t>
      </w:r>
      <w:r w:rsidRPr="008C7251">
        <w:rPr>
          <w:rFonts w:ascii="Arial" w:hAnsi="Arial" w:cs="Arial"/>
          <w:lang w:val="en-US"/>
        </w:rPr>
        <w:t xml:space="preserve">0°C until analyzed. </w:t>
      </w:r>
      <w:r>
        <w:rPr>
          <w:rFonts w:ascii="Arial" w:hAnsi="Arial" w:cs="Arial"/>
          <w:lang w:val="en-US"/>
        </w:rPr>
        <w:t xml:space="preserve">For ICF determination, 0.1 ml of blood was diluted with 2 ml of ascorbic acid in order to produce the lysis of red blood cells. </w:t>
      </w:r>
      <w:r w:rsidRPr="008C7251">
        <w:rPr>
          <w:rFonts w:ascii="Arial" w:hAnsi="Arial" w:cs="Arial"/>
          <w:lang w:val="en-US"/>
        </w:rPr>
        <w:t xml:space="preserve">Folate was measured </w:t>
      </w:r>
      <w:r>
        <w:rPr>
          <w:rFonts w:ascii="Arial" w:hAnsi="Arial" w:cs="Arial"/>
          <w:lang w:val="en-US"/>
        </w:rPr>
        <w:t>radioimmunoassay</w:t>
      </w:r>
      <w:r w:rsidRPr="008C7251">
        <w:rPr>
          <w:rFonts w:ascii="Arial" w:hAnsi="Arial" w:cs="Arial"/>
          <w:lang w:val="en-US"/>
        </w:rPr>
        <w:t xml:space="preserve"> </w:t>
      </w:r>
      <w:proofErr w:type="spellStart"/>
      <w:r>
        <w:rPr>
          <w:rFonts w:ascii="Arial" w:hAnsi="Arial" w:cs="Arial"/>
          <w:lang w:val="en-US"/>
        </w:rPr>
        <w:t>Dualcont</w:t>
      </w:r>
      <w:proofErr w:type="spellEnd"/>
      <w:r>
        <w:rPr>
          <w:rFonts w:ascii="Arial" w:hAnsi="Arial" w:cs="Arial"/>
          <w:lang w:val="en-US"/>
        </w:rPr>
        <w:t xml:space="preserve"> AF (Diagnostic Product Co, Los Angeles, CA, USA) according to the manufacturer’s instructions. </w:t>
      </w:r>
      <w:r w:rsidRPr="008C7251">
        <w:rPr>
          <w:rFonts w:ascii="Arial" w:hAnsi="Arial" w:cs="Arial"/>
          <w:lang w:val="en-US"/>
        </w:rPr>
        <w:t xml:space="preserve">Blood samples showing </w:t>
      </w:r>
      <w:r w:rsidR="0063301A" w:rsidRPr="008C7251">
        <w:rPr>
          <w:rFonts w:ascii="Arial" w:hAnsi="Arial" w:cs="Arial"/>
          <w:lang w:val="en-US"/>
        </w:rPr>
        <w:t>hemolysis</w:t>
      </w:r>
      <w:r w:rsidRPr="008C7251">
        <w:rPr>
          <w:rFonts w:ascii="Arial" w:hAnsi="Arial" w:cs="Arial"/>
          <w:lang w:val="en-US"/>
        </w:rPr>
        <w:t xml:space="preserve"> were excluded from the statistical analyses because of the risk of misleading values.</w:t>
      </w:r>
      <w:r w:rsidR="00E963B7">
        <w:rPr>
          <w:rFonts w:ascii="Arial" w:hAnsi="Arial" w:cs="Arial"/>
          <w:lang w:val="en-US"/>
        </w:rPr>
        <w:t xml:space="preserve"> </w:t>
      </w:r>
      <w:r w:rsidR="00F73703" w:rsidRPr="0065737F">
        <w:rPr>
          <w:rFonts w:ascii="Arial" w:hAnsi="Arial" w:cs="Arial"/>
          <w:highlight w:val="yellow"/>
          <w:lang w:val="en-US"/>
        </w:rPr>
        <w:t>Measuring range:</w:t>
      </w:r>
      <w:r w:rsidR="00E963B7" w:rsidRPr="0065737F">
        <w:rPr>
          <w:rFonts w:ascii="Arial" w:hAnsi="Arial" w:cs="Arial"/>
          <w:highlight w:val="yellow"/>
          <w:lang w:val="en-US"/>
        </w:rPr>
        <w:t xml:space="preserve"> IFC 1</w:t>
      </w:r>
      <w:r w:rsidR="00122E43" w:rsidRPr="0065737F">
        <w:rPr>
          <w:rFonts w:ascii="Arial" w:hAnsi="Arial" w:cs="Arial"/>
          <w:highlight w:val="yellow"/>
          <w:lang w:val="en-US"/>
        </w:rPr>
        <w:t>75</w:t>
      </w:r>
      <w:r w:rsidR="00E963B7" w:rsidRPr="0065737F">
        <w:rPr>
          <w:rFonts w:ascii="Arial" w:hAnsi="Arial" w:cs="Arial"/>
          <w:highlight w:val="yellow"/>
          <w:lang w:val="en-US"/>
        </w:rPr>
        <w:t>-700 ng / mL</w:t>
      </w:r>
      <w:r w:rsidR="00F73703" w:rsidRPr="0065737F">
        <w:rPr>
          <w:rFonts w:ascii="Arial" w:hAnsi="Arial" w:cs="Arial"/>
          <w:highlight w:val="yellow"/>
          <w:lang w:val="en-US"/>
        </w:rPr>
        <w:t>,</w:t>
      </w:r>
      <w:r w:rsidR="00E963B7" w:rsidRPr="0065737F">
        <w:rPr>
          <w:rFonts w:ascii="Arial" w:hAnsi="Arial" w:cs="Arial"/>
          <w:highlight w:val="yellow"/>
          <w:lang w:val="en-US"/>
        </w:rPr>
        <w:t xml:space="preserve"> PF</w:t>
      </w:r>
      <w:r w:rsidR="00122E43" w:rsidRPr="0065737F">
        <w:rPr>
          <w:rFonts w:ascii="Arial" w:hAnsi="Arial" w:cs="Arial"/>
          <w:highlight w:val="yellow"/>
          <w:lang w:val="en-US"/>
        </w:rPr>
        <w:t xml:space="preserve"> 3</w:t>
      </w:r>
      <w:r w:rsidR="00E963B7" w:rsidRPr="0065737F">
        <w:rPr>
          <w:rFonts w:ascii="Arial" w:hAnsi="Arial" w:cs="Arial"/>
          <w:highlight w:val="yellow"/>
          <w:lang w:val="en-US"/>
        </w:rPr>
        <w:t xml:space="preserve">-17 ng / </w:t>
      </w:r>
      <w:proofErr w:type="spellStart"/>
      <w:r w:rsidR="00E963B7" w:rsidRPr="0065737F">
        <w:rPr>
          <w:rFonts w:ascii="Arial" w:hAnsi="Arial" w:cs="Arial"/>
          <w:highlight w:val="yellow"/>
          <w:lang w:val="en-US"/>
        </w:rPr>
        <w:t>mL.</w:t>
      </w:r>
      <w:proofErr w:type="spellEnd"/>
      <w:r w:rsidR="00007010" w:rsidRPr="0065737F">
        <w:rPr>
          <w:rFonts w:ascii="Arial" w:hAnsi="Arial" w:cs="Arial"/>
          <w:highlight w:val="yellow"/>
          <w:lang w:val="en-US"/>
        </w:rPr>
        <w:t xml:space="preserve"> The intra and inter assay coefficient of variation were 5.2% and 9.2%, respectively.</w:t>
      </w:r>
    </w:p>
    <w:p w14:paraId="62AF0164" w14:textId="3A087D46" w:rsidR="00007010" w:rsidRDefault="00C620C2" w:rsidP="005C38A9">
      <w:pPr>
        <w:spacing w:after="80" w:line="480" w:lineRule="auto"/>
        <w:ind w:firstLine="720"/>
        <w:rPr>
          <w:rFonts w:ascii="Arial" w:hAnsi="Arial" w:cs="Arial"/>
          <w:lang w:val="en-US"/>
        </w:rPr>
      </w:pPr>
      <w:r>
        <w:rPr>
          <w:rFonts w:ascii="Arial" w:hAnsi="Arial" w:cs="Arial"/>
          <w:lang w:val="en-US"/>
        </w:rPr>
        <w:t>For homocysteine determination, i</w:t>
      </w:r>
      <w:r w:rsidR="008C7251" w:rsidRPr="008C7251">
        <w:rPr>
          <w:rFonts w:ascii="Arial" w:hAnsi="Arial" w:cs="Arial"/>
          <w:lang w:val="en-US"/>
        </w:rPr>
        <w:t>mmediately after collection, the blood</w:t>
      </w:r>
      <w:r w:rsidR="008C7251">
        <w:rPr>
          <w:rFonts w:ascii="Arial" w:hAnsi="Arial" w:cs="Arial"/>
          <w:lang w:val="en-US"/>
        </w:rPr>
        <w:t xml:space="preserve"> samples</w:t>
      </w:r>
      <w:r w:rsidR="008C7251" w:rsidRPr="008C7251">
        <w:rPr>
          <w:rFonts w:ascii="Arial" w:hAnsi="Arial" w:cs="Arial"/>
          <w:lang w:val="en-US"/>
        </w:rPr>
        <w:t xml:space="preserve"> </w:t>
      </w:r>
      <w:r w:rsidR="008C7251">
        <w:rPr>
          <w:rFonts w:ascii="Arial" w:hAnsi="Arial" w:cs="Arial"/>
          <w:lang w:val="en-US"/>
        </w:rPr>
        <w:t>were</w:t>
      </w:r>
      <w:r w:rsidR="008C7251" w:rsidRPr="008C7251">
        <w:rPr>
          <w:rFonts w:ascii="Arial" w:hAnsi="Arial" w:cs="Arial"/>
          <w:lang w:val="en-US"/>
        </w:rPr>
        <w:t xml:space="preserve"> centrifuged at 3000 g for 10 min and the plasma stored at −</w:t>
      </w:r>
      <w:r w:rsidR="008C7251">
        <w:rPr>
          <w:rFonts w:ascii="Arial" w:hAnsi="Arial" w:cs="Arial"/>
          <w:lang w:val="en-US"/>
        </w:rPr>
        <w:t>2</w:t>
      </w:r>
      <w:r w:rsidR="008C7251" w:rsidRPr="008C7251">
        <w:rPr>
          <w:rFonts w:ascii="Arial" w:hAnsi="Arial" w:cs="Arial"/>
          <w:lang w:val="en-US"/>
        </w:rPr>
        <w:t>0°C until analyzed.</w:t>
      </w:r>
      <w:r w:rsidR="008C7251">
        <w:rPr>
          <w:rFonts w:ascii="Arial" w:hAnsi="Arial" w:cs="Arial"/>
          <w:lang w:val="en-US"/>
        </w:rPr>
        <w:t xml:space="preserve"> </w:t>
      </w:r>
      <w:r w:rsidR="008C7251" w:rsidRPr="008C7251">
        <w:rPr>
          <w:rFonts w:ascii="Arial" w:hAnsi="Arial" w:cs="Arial"/>
          <w:lang w:val="en-US"/>
        </w:rPr>
        <w:t xml:space="preserve">Blood samples showing </w:t>
      </w:r>
      <w:r w:rsidR="0063301A" w:rsidRPr="008C7251">
        <w:rPr>
          <w:rFonts w:ascii="Arial" w:hAnsi="Arial" w:cs="Arial"/>
          <w:lang w:val="en-US"/>
        </w:rPr>
        <w:t>hemolysis</w:t>
      </w:r>
      <w:r w:rsidR="008C7251" w:rsidRPr="008C7251">
        <w:rPr>
          <w:rFonts w:ascii="Arial" w:hAnsi="Arial" w:cs="Arial"/>
          <w:lang w:val="en-US"/>
        </w:rPr>
        <w:t xml:space="preserve"> were excluded from the statistical analyses because of the risk of misleading values.</w:t>
      </w:r>
      <w:r>
        <w:rPr>
          <w:rFonts w:ascii="Arial" w:hAnsi="Arial" w:cs="Arial"/>
          <w:lang w:val="en-US"/>
        </w:rPr>
        <w:t xml:space="preserve"> </w:t>
      </w:r>
      <w:r w:rsidR="008C7251">
        <w:rPr>
          <w:rFonts w:ascii="Arial" w:hAnsi="Arial" w:cs="Arial"/>
          <w:lang w:val="en-US"/>
        </w:rPr>
        <w:t xml:space="preserve">Homocysteine was assessed by </w:t>
      </w:r>
      <w:r w:rsidR="008C7251" w:rsidRPr="008C7251">
        <w:rPr>
          <w:rFonts w:ascii="Arial" w:hAnsi="Arial" w:cs="Arial"/>
          <w:lang w:val="en-US"/>
        </w:rPr>
        <w:t xml:space="preserve">fluorescence polarization immunoassay (FPIA) adapted to the </w:t>
      </w:r>
      <w:proofErr w:type="spellStart"/>
      <w:r w:rsidR="008C7251" w:rsidRPr="008C7251">
        <w:rPr>
          <w:rFonts w:ascii="Arial" w:hAnsi="Arial" w:cs="Arial"/>
          <w:lang w:val="en-US"/>
        </w:rPr>
        <w:t>IMx</w:t>
      </w:r>
      <w:proofErr w:type="spellEnd"/>
      <w:r w:rsidR="008C7251" w:rsidRPr="008C7251">
        <w:rPr>
          <w:rFonts w:ascii="Arial" w:hAnsi="Arial" w:cs="Arial"/>
          <w:lang w:val="en-US"/>
        </w:rPr>
        <w:t xml:space="preserve"> analyzer (Abbott Laboratories), with the high-performance liquid chromatography (HPLC) method with fluorescent detection</w:t>
      </w:r>
      <w:r w:rsidR="008C7251">
        <w:rPr>
          <w:rFonts w:ascii="Arial" w:hAnsi="Arial" w:cs="Arial"/>
          <w:lang w:val="en-US"/>
        </w:rPr>
        <w:t>.</w:t>
      </w:r>
      <w:r w:rsidR="00E963B7">
        <w:rPr>
          <w:rFonts w:ascii="Arial" w:hAnsi="Arial" w:cs="Arial"/>
          <w:lang w:val="en-US"/>
        </w:rPr>
        <w:t xml:space="preserve"> </w:t>
      </w:r>
      <w:r w:rsidR="00E963B7" w:rsidRPr="0065737F">
        <w:rPr>
          <w:rFonts w:ascii="Arial" w:hAnsi="Arial" w:cs="Arial"/>
          <w:highlight w:val="yellow"/>
          <w:lang w:val="en-US"/>
        </w:rPr>
        <w:t xml:space="preserve">Measuring range: </w:t>
      </w:r>
      <w:r w:rsidR="00122E43" w:rsidRPr="0065737F">
        <w:rPr>
          <w:rFonts w:ascii="Arial" w:hAnsi="Arial" w:cs="Arial"/>
          <w:highlight w:val="yellow"/>
          <w:lang w:val="en-US"/>
        </w:rPr>
        <w:t>4.</w:t>
      </w:r>
      <w:r w:rsidR="00E963B7" w:rsidRPr="0065737F">
        <w:rPr>
          <w:rFonts w:ascii="Arial" w:hAnsi="Arial" w:cs="Arial"/>
          <w:highlight w:val="yellow"/>
          <w:lang w:val="en-US"/>
        </w:rPr>
        <w:t>5-15</w:t>
      </w:r>
      <w:r w:rsidR="00122E43" w:rsidRPr="0065737F">
        <w:rPr>
          <w:rFonts w:ascii="Arial" w:hAnsi="Arial" w:cs="Arial"/>
          <w:highlight w:val="yellow"/>
          <w:lang w:val="en-US"/>
        </w:rPr>
        <w:t>.0</w:t>
      </w:r>
      <w:r w:rsidR="00E963B7" w:rsidRPr="0065737F">
        <w:rPr>
          <w:rFonts w:ascii="Arial" w:hAnsi="Arial" w:cs="Arial"/>
          <w:highlight w:val="yellow"/>
          <w:lang w:val="en-US"/>
        </w:rPr>
        <w:t xml:space="preserve"> </w:t>
      </w:r>
      <w:r w:rsidR="00122E43" w:rsidRPr="0065737F">
        <w:rPr>
          <w:rFonts w:ascii="Arial" w:hAnsi="Arial" w:cs="Arial"/>
          <w:highlight w:val="yellow"/>
          <w:lang w:val="en-US"/>
        </w:rPr>
        <w:t>µ</w:t>
      </w:r>
      <w:r w:rsidR="00E963B7" w:rsidRPr="0065737F">
        <w:rPr>
          <w:rFonts w:ascii="Arial" w:hAnsi="Arial" w:cs="Arial"/>
          <w:highlight w:val="yellow"/>
          <w:lang w:val="en-US"/>
        </w:rPr>
        <w:t>mol/L</w:t>
      </w:r>
      <w:r w:rsidR="00007010" w:rsidRPr="0065737F">
        <w:rPr>
          <w:rFonts w:ascii="Arial" w:hAnsi="Arial" w:cs="Arial"/>
          <w:highlight w:val="yellow"/>
          <w:lang w:val="en-US"/>
        </w:rPr>
        <w:t>. The intra and inter assay coefficient of variation were 2.7% and 3.4%, respectively.</w:t>
      </w:r>
    </w:p>
    <w:p w14:paraId="20D8F062" w14:textId="591161BF" w:rsidR="00FA5601" w:rsidRPr="00FA5601" w:rsidRDefault="00FA5601" w:rsidP="005C38A9">
      <w:pPr>
        <w:spacing w:after="80" w:line="480" w:lineRule="auto"/>
        <w:ind w:firstLine="720"/>
        <w:rPr>
          <w:rFonts w:ascii="Arial" w:hAnsi="Arial" w:cs="Arial"/>
          <w:lang w:val="en-US"/>
        </w:rPr>
      </w:pPr>
      <w:r w:rsidRPr="00FA5601">
        <w:rPr>
          <w:rFonts w:ascii="Arial" w:hAnsi="Arial" w:cs="Arial"/>
          <w:lang w:val="en-US"/>
        </w:rPr>
        <w:t xml:space="preserve">Electrochemiluminescence immunoassay </w:t>
      </w:r>
      <w:proofErr w:type="spellStart"/>
      <w:r w:rsidRPr="00FA5601">
        <w:rPr>
          <w:rFonts w:ascii="Arial" w:hAnsi="Arial" w:cs="Arial"/>
          <w:lang w:val="en-US"/>
        </w:rPr>
        <w:t>Elecsys</w:t>
      </w:r>
      <w:proofErr w:type="spellEnd"/>
      <w:r w:rsidRPr="00FA5601">
        <w:rPr>
          <w:rFonts w:ascii="Arial" w:hAnsi="Arial" w:cs="Arial"/>
          <w:lang w:val="en-US"/>
        </w:rPr>
        <w:t xml:space="preserve"> Estradiol III Assay (ECLIA) was used for the in vitro quantitative determination of estradiol in human serum and plasma</w:t>
      </w:r>
      <w:r>
        <w:rPr>
          <w:rFonts w:ascii="Arial" w:hAnsi="Arial" w:cs="Arial"/>
          <w:lang w:val="en-US"/>
        </w:rPr>
        <w:t xml:space="preserve">. </w:t>
      </w:r>
      <w:r w:rsidRPr="0065737F">
        <w:rPr>
          <w:rFonts w:ascii="Arial" w:hAnsi="Arial" w:cs="Arial"/>
          <w:highlight w:val="yellow"/>
          <w:lang w:val="en-US"/>
        </w:rPr>
        <w:t>Measuring range (</w:t>
      </w:r>
      <w:r w:rsidR="00122E43" w:rsidRPr="0065737F">
        <w:rPr>
          <w:rFonts w:ascii="Arial" w:hAnsi="Arial" w:cs="Arial"/>
          <w:highlight w:val="yellow"/>
          <w:lang w:val="en-US"/>
        </w:rPr>
        <w:t>2</w:t>
      </w:r>
      <w:r w:rsidRPr="0065737F">
        <w:rPr>
          <w:rFonts w:ascii="Arial" w:hAnsi="Arial" w:cs="Arial"/>
          <w:highlight w:val="yellow"/>
          <w:lang w:val="en-US"/>
        </w:rPr>
        <w:t>5-3</w:t>
      </w:r>
      <w:r w:rsidR="00C620C2" w:rsidRPr="0065737F">
        <w:rPr>
          <w:rFonts w:ascii="Arial" w:hAnsi="Arial" w:cs="Arial"/>
          <w:highlight w:val="yellow"/>
          <w:lang w:val="en-US"/>
        </w:rPr>
        <w:t>,</w:t>
      </w:r>
      <w:r w:rsidRPr="0065737F">
        <w:rPr>
          <w:rFonts w:ascii="Arial" w:hAnsi="Arial" w:cs="Arial"/>
          <w:highlight w:val="yellow"/>
          <w:lang w:val="en-US"/>
        </w:rPr>
        <w:t xml:space="preserve">000 </w:t>
      </w:r>
      <w:proofErr w:type="spellStart"/>
      <w:r w:rsidRPr="0065737F">
        <w:rPr>
          <w:rFonts w:ascii="Arial" w:hAnsi="Arial" w:cs="Arial"/>
          <w:highlight w:val="yellow"/>
          <w:lang w:val="en-US"/>
        </w:rPr>
        <w:t>pg</w:t>
      </w:r>
      <w:proofErr w:type="spellEnd"/>
      <w:r w:rsidRPr="0065737F">
        <w:rPr>
          <w:rFonts w:ascii="Arial" w:hAnsi="Arial" w:cs="Arial"/>
          <w:highlight w:val="yellow"/>
          <w:lang w:val="en-US"/>
        </w:rPr>
        <w:t>/mL); Intermediate imprecision was 4.5%.</w:t>
      </w:r>
    </w:p>
    <w:p w14:paraId="120667A6" w14:textId="77777777" w:rsidR="008C7251" w:rsidRPr="008C7251" w:rsidRDefault="008C7251" w:rsidP="00BF46C5">
      <w:pPr>
        <w:spacing w:after="0" w:line="480" w:lineRule="auto"/>
        <w:jc w:val="both"/>
        <w:rPr>
          <w:rFonts w:ascii="Arial" w:hAnsi="Arial" w:cs="Arial"/>
          <w:b/>
          <w:lang w:val="en-US"/>
        </w:rPr>
      </w:pPr>
      <w:r w:rsidRPr="008C7251">
        <w:rPr>
          <w:rFonts w:ascii="Arial" w:hAnsi="Arial" w:cs="Arial"/>
          <w:b/>
          <w:lang w:val="en-US"/>
        </w:rPr>
        <w:t>Determination of MTHFR polymorphisms</w:t>
      </w:r>
    </w:p>
    <w:p w14:paraId="07DE6BC9" w14:textId="1BDE0E13" w:rsidR="0062305F" w:rsidRDefault="008C7251" w:rsidP="005C38A9">
      <w:pPr>
        <w:spacing w:after="80" w:line="480" w:lineRule="auto"/>
        <w:ind w:firstLine="720"/>
        <w:jc w:val="both"/>
        <w:rPr>
          <w:rFonts w:ascii="Arial" w:hAnsi="Arial" w:cs="Arial"/>
          <w:lang w:val="en-US"/>
        </w:rPr>
      </w:pPr>
      <w:r w:rsidRPr="008C7251">
        <w:rPr>
          <w:rFonts w:ascii="Arial" w:hAnsi="Arial" w:cs="Arial"/>
          <w:lang w:val="en-US"/>
        </w:rPr>
        <w:t>Peripheral blood was collected for genomic DNA analysis</w:t>
      </w:r>
      <w:r>
        <w:rPr>
          <w:rFonts w:ascii="Arial" w:hAnsi="Arial" w:cs="Arial"/>
          <w:lang w:val="en-US"/>
        </w:rPr>
        <w:t xml:space="preserve"> to determine the substitution of cysteine by thymine (C677T).</w:t>
      </w:r>
      <w:r w:rsidRPr="008C7251">
        <w:rPr>
          <w:rFonts w:ascii="Arial" w:hAnsi="Arial" w:cs="Arial"/>
          <w:lang w:val="en-US"/>
        </w:rPr>
        <w:t xml:space="preserve"> Genomic DNA was isolated from whole blood using the </w:t>
      </w:r>
      <w:proofErr w:type="spellStart"/>
      <w:r w:rsidRPr="008C7251">
        <w:rPr>
          <w:rFonts w:ascii="Arial" w:hAnsi="Arial" w:cs="Arial"/>
          <w:lang w:val="en-US"/>
        </w:rPr>
        <w:t>QIAamp</w:t>
      </w:r>
      <w:proofErr w:type="spellEnd"/>
      <w:r w:rsidRPr="008C7251">
        <w:rPr>
          <w:rFonts w:ascii="Arial" w:hAnsi="Arial" w:cs="Arial"/>
          <w:lang w:val="en-US"/>
        </w:rPr>
        <w:t xml:space="preserve"> DNA Blood Mini Kit (Berlin, Qiagen, Germany). DNA quality and quantity were assessed by a UV spectrophotometer at 260 and 280 nm</w:t>
      </w:r>
      <w:r>
        <w:rPr>
          <w:rFonts w:ascii="Arial" w:hAnsi="Arial" w:cs="Arial"/>
          <w:lang w:val="en-US"/>
        </w:rPr>
        <w:t xml:space="preserve">. The following primers were used </w:t>
      </w:r>
      <w:r w:rsidRPr="008C7251">
        <w:rPr>
          <w:rFonts w:ascii="Arial" w:hAnsi="Arial" w:cs="Arial"/>
          <w:lang w:val="en-US"/>
        </w:rPr>
        <w:t>(5´-TGA</w:t>
      </w:r>
      <w:r>
        <w:rPr>
          <w:rFonts w:ascii="Arial" w:hAnsi="Arial" w:cs="Arial"/>
          <w:lang w:val="en-US"/>
        </w:rPr>
        <w:t xml:space="preserve"> </w:t>
      </w:r>
      <w:r w:rsidRPr="008C7251">
        <w:rPr>
          <w:rFonts w:ascii="Arial" w:hAnsi="Arial" w:cs="Arial"/>
          <w:lang w:val="en-US"/>
        </w:rPr>
        <w:t>AGG</w:t>
      </w:r>
      <w:r>
        <w:rPr>
          <w:rFonts w:ascii="Arial" w:hAnsi="Arial" w:cs="Arial"/>
          <w:lang w:val="en-US"/>
        </w:rPr>
        <w:t xml:space="preserve"> </w:t>
      </w:r>
      <w:r w:rsidRPr="008C7251">
        <w:rPr>
          <w:rFonts w:ascii="Arial" w:hAnsi="Arial" w:cs="Arial"/>
          <w:lang w:val="en-US"/>
        </w:rPr>
        <w:t>AGA</w:t>
      </w:r>
      <w:r>
        <w:rPr>
          <w:rFonts w:ascii="Arial" w:hAnsi="Arial" w:cs="Arial"/>
          <w:lang w:val="en-US"/>
        </w:rPr>
        <w:t xml:space="preserve"> </w:t>
      </w:r>
      <w:r w:rsidRPr="008C7251">
        <w:rPr>
          <w:rFonts w:ascii="Arial" w:hAnsi="Arial" w:cs="Arial"/>
          <w:lang w:val="en-US"/>
        </w:rPr>
        <w:t>AGG</w:t>
      </w:r>
      <w:r>
        <w:rPr>
          <w:rFonts w:ascii="Arial" w:hAnsi="Arial" w:cs="Arial"/>
          <w:lang w:val="en-US"/>
        </w:rPr>
        <w:t xml:space="preserve"> </w:t>
      </w:r>
      <w:r w:rsidRPr="008C7251">
        <w:rPr>
          <w:rFonts w:ascii="Arial" w:hAnsi="Arial" w:cs="Arial"/>
          <w:lang w:val="en-US"/>
        </w:rPr>
        <w:t>TGT</w:t>
      </w:r>
      <w:r>
        <w:rPr>
          <w:rFonts w:ascii="Arial" w:hAnsi="Arial" w:cs="Arial"/>
          <w:lang w:val="en-US"/>
        </w:rPr>
        <w:t xml:space="preserve"> </w:t>
      </w:r>
      <w:r w:rsidRPr="008C7251">
        <w:rPr>
          <w:rFonts w:ascii="Arial" w:hAnsi="Arial" w:cs="Arial"/>
          <w:lang w:val="en-US"/>
        </w:rPr>
        <w:t>CTG</w:t>
      </w:r>
      <w:r>
        <w:rPr>
          <w:rFonts w:ascii="Arial" w:hAnsi="Arial" w:cs="Arial"/>
          <w:lang w:val="en-US"/>
        </w:rPr>
        <w:t xml:space="preserve"> </w:t>
      </w:r>
      <w:r w:rsidRPr="008C7251">
        <w:rPr>
          <w:rFonts w:ascii="Arial" w:hAnsi="Arial" w:cs="Arial"/>
          <w:lang w:val="en-US"/>
        </w:rPr>
        <w:t>CGG</w:t>
      </w:r>
      <w:r>
        <w:rPr>
          <w:rFonts w:ascii="Arial" w:hAnsi="Arial" w:cs="Arial"/>
          <w:lang w:val="en-US"/>
        </w:rPr>
        <w:t xml:space="preserve"> </w:t>
      </w:r>
      <w:r w:rsidRPr="008C7251">
        <w:rPr>
          <w:rFonts w:ascii="Arial" w:hAnsi="Arial" w:cs="Arial"/>
          <w:lang w:val="en-US"/>
        </w:rPr>
        <w:t>GA-3´) and MTHFR-2 (5´-AGG ACG</w:t>
      </w:r>
      <w:r>
        <w:rPr>
          <w:rFonts w:ascii="Arial" w:hAnsi="Arial" w:cs="Arial"/>
          <w:lang w:val="en-US"/>
        </w:rPr>
        <w:t xml:space="preserve"> </w:t>
      </w:r>
      <w:r w:rsidRPr="008C7251">
        <w:rPr>
          <w:rFonts w:ascii="Arial" w:hAnsi="Arial" w:cs="Arial"/>
          <w:lang w:val="en-US"/>
        </w:rPr>
        <w:t>GTG</w:t>
      </w:r>
      <w:r>
        <w:rPr>
          <w:rFonts w:ascii="Arial" w:hAnsi="Arial" w:cs="Arial"/>
          <w:lang w:val="en-US"/>
        </w:rPr>
        <w:t xml:space="preserve"> </w:t>
      </w:r>
      <w:r w:rsidRPr="008C7251">
        <w:rPr>
          <w:rFonts w:ascii="Arial" w:hAnsi="Arial" w:cs="Arial"/>
          <w:lang w:val="en-US"/>
        </w:rPr>
        <w:t>CGG</w:t>
      </w:r>
      <w:r>
        <w:rPr>
          <w:rFonts w:ascii="Arial" w:hAnsi="Arial" w:cs="Arial"/>
          <w:lang w:val="en-US"/>
        </w:rPr>
        <w:t xml:space="preserve"> </w:t>
      </w:r>
      <w:r w:rsidRPr="008C7251">
        <w:rPr>
          <w:rFonts w:ascii="Arial" w:hAnsi="Arial" w:cs="Arial"/>
          <w:lang w:val="en-US"/>
        </w:rPr>
        <w:t>TGA</w:t>
      </w:r>
      <w:r>
        <w:rPr>
          <w:rFonts w:ascii="Arial" w:hAnsi="Arial" w:cs="Arial"/>
          <w:lang w:val="en-US"/>
        </w:rPr>
        <w:t xml:space="preserve"> </w:t>
      </w:r>
      <w:r w:rsidRPr="008C7251">
        <w:rPr>
          <w:rFonts w:ascii="Arial" w:hAnsi="Arial" w:cs="Arial"/>
          <w:lang w:val="en-US"/>
        </w:rPr>
        <w:t>GAG</w:t>
      </w:r>
      <w:r>
        <w:rPr>
          <w:rFonts w:ascii="Arial" w:hAnsi="Arial" w:cs="Arial"/>
          <w:lang w:val="en-US"/>
        </w:rPr>
        <w:t xml:space="preserve"> </w:t>
      </w:r>
      <w:r w:rsidRPr="008C7251">
        <w:rPr>
          <w:rFonts w:ascii="Arial" w:hAnsi="Arial" w:cs="Arial"/>
          <w:lang w:val="en-US"/>
        </w:rPr>
        <w:t>TG-3´).</w:t>
      </w:r>
      <w:r>
        <w:rPr>
          <w:rFonts w:ascii="Arial" w:hAnsi="Arial" w:cs="Arial"/>
          <w:lang w:val="en-US"/>
        </w:rPr>
        <w:t xml:space="preserve"> </w:t>
      </w:r>
      <w:r w:rsidRPr="008C7251">
        <w:rPr>
          <w:rFonts w:ascii="Arial" w:hAnsi="Arial" w:cs="Arial"/>
          <w:lang w:val="en-US"/>
        </w:rPr>
        <w:t xml:space="preserve">The assays were performed using TaqMan Genotyping Master Mix with 50 ng DNA. The PCR conditions were </w:t>
      </w:r>
      <w:r>
        <w:rPr>
          <w:rFonts w:ascii="Arial" w:hAnsi="Arial" w:cs="Arial"/>
          <w:lang w:val="en-US"/>
        </w:rPr>
        <w:t>35</w:t>
      </w:r>
      <w:r w:rsidRPr="008C7251">
        <w:rPr>
          <w:rFonts w:ascii="Arial" w:hAnsi="Arial" w:cs="Arial"/>
          <w:lang w:val="en-US"/>
        </w:rPr>
        <w:t xml:space="preserve"> cycles of denaturation at 9</w:t>
      </w:r>
      <w:r>
        <w:rPr>
          <w:rFonts w:ascii="Arial" w:hAnsi="Arial" w:cs="Arial"/>
          <w:lang w:val="en-US"/>
        </w:rPr>
        <w:t>4</w:t>
      </w:r>
      <w:r w:rsidRPr="008C7251">
        <w:rPr>
          <w:rFonts w:ascii="Arial" w:hAnsi="Arial" w:cs="Arial"/>
          <w:lang w:val="en-US"/>
        </w:rPr>
        <w:t xml:space="preserve">°C for </w:t>
      </w:r>
      <w:r>
        <w:rPr>
          <w:rFonts w:ascii="Arial" w:hAnsi="Arial" w:cs="Arial"/>
          <w:lang w:val="en-US"/>
        </w:rPr>
        <w:t>5</w:t>
      </w:r>
      <w:r w:rsidRPr="008C7251">
        <w:rPr>
          <w:rFonts w:ascii="Arial" w:hAnsi="Arial" w:cs="Arial"/>
          <w:lang w:val="en-US"/>
        </w:rPr>
        <w:t xml:space="preserve"> </w:t>
      </w:r>
      <w:r>
        <w:rPr>
          <w:rFonts w:ascii="Arial" w:hAnsi="Arial" w:cs="Arial"/>
          <w:lang w:val="en-US"/>
        </w:rPr>
        <w:t>min</w:t>
      </w:r>
      <w:r w:rsidRPr="008C7251">
        <w:rPr>
          <w:rFonts w:ascii="Arial" w:hAnsi="Arial" w:cs="Arial"/>
          <w:lang w:val="en-US"/>
        </w:rPr>
        <w:t xml:space="preserve"> and annealing/extension at 6</w:t>
      </w:r>
      <w:r>
        <w:rPr>
          <w:rFonts w:ascii="Arial" w:hAnsi="Arial" w:cs="Arial"/>
          <w:lang w:val="en-US"/>
        </w:rPr>
        <w:t>2</w:t>
      </w:r>
      <w:r w:rsidRPr="008C7251">
        <w:rPr>
          <w:rFonts w:ascii="Arial" w:hAnsi="Arial" w:cs="Arial"/>
          <w:lang w:val="en-US"/>
        </w:rPr>
        <w:t>°C for 1 min, as recommended by the manufacturer.</w:t>
      </w:r>
      <w:r>
        <w:rPr>
          <w:rFonts w:ascii="Arial" w:hAnsi="Arial" w:cs="Arial"/>
          <w:lang w:val="en-US"/>
        </w:rPr>
        <w:t xml:space="preserve"> The amplified products were digested with </w:t>
      </w:r>
      <w:proofErr w:type="spellStart"/>
      <w:r w:rsidRPr="008C7251">
        <w:rPr>
          <w:rFonts w:ascii="Arial" w:hAnsi="Arial" w:cs="Arial"/>
          <w:i/>
          <w:lang w:val="en-US"/>
        </w:rPr>
        <w:t>HinfI</w:t>
      </w:r>
      <w:proofErr w:type="spellEnd"/>
      <w:r>
        <w:rPr>
          <w:rFonts w:ascii="Arial" w:hAnsi="Arial" w:cs="Arial"/>
          <w:i/>
          <w:lang w:val="en-US"/>
        </w:rPr>
        <w:t xml:space="preserve"> </w:t>
      </w:r>
      <w:r w:rsidRPr="008C7251">
        <w:rPr>
          <w:rFonts w:ascii="Arial" w:hAnsi="Arial" w:cs="Arial"/>
          <w:lang w:val="en-US"/>
        </w:rPr>
        <w:t xml:space="preserve">since the C667T mutation creates a restriction site for this </w:t>
      </w:r>
      <w:r w:rsidRPr="008C7251">
        <w:rPr>
          <w:rFonts w:ascii="Arial" w:hAnsi="Arial" w:cs="Arial"/>
          <w:lang w:val="en-US"/>
        </w:rPr>
        <w:lastRenderedPageBreak/>
        <w:t>enzyme</w:t>
      </w:r>
      <w:r>
        <w:rPr>
          <w:rFonts w:ascii="Arial" w:hAnsi="Arial" w:cs="Arial"/>
          <w:lang w:val="en-US"/>
        </w:rPr>
        <w:t xml:space="preserve"> (converting the 198 bp product in two fragments of 175 and 23 bp</w:t>
      </w:r>
      <w:r w:rsidR="00C3013B">
        <w:rPr>
          <w:rFonts w:ascii="Arial" w:hAnsi="Arial" w:cs="Arial"/>
          <w:lang w:val="en-US"/>
        </w:rPr>
        <w:t>)</w:t>
      </w:r>
      <w:r>
        <w:rPr>
          <w:rFonts w:ascii="Arial" w:hAnsi="Arial" w:cs="Arial"/>
          <w:lang w:val="en-US"/>
        </w:rPr>
        <w:t>. Homozygous individuals were detected when a single product of 198 bp (C/C) or 175 (T/T) was detected. Heterozygous displayed the two fragments (C/T).</w:t>
      </w:r>
    </w:p>
    <w:p w14:paraId="11CE6E06" w14:textId="12209AC6" w:rsidR="00A90CBF" w:rsidRPr="00E2291C" w:rsidRDefault="00A90CBF" w:rsidP="00BF46C5">
      <w:pPr>
        <w:spacing w:after="0" w:line="480" w:lineRule="auto"/>
        <w:jc w:val="both"/>
        <w:rPr>
          <w:rFonts w:ascii="Arial" w:hAnsi="Arial" w:cs="Arial"/>
          <w:b/>
          <w:lang w:val="en-US"/>
        </w:rPr>
      </w:pPr>
      <w:r w:rsidRPr="00E2291C">
        <w:rPr>
          <w:rFonts w:ascii="Arial" w:hAnsi="Arial" w:cs="Arial"/>
          <w:b/>
          <w:lang w:val="en-US"/>
        </w:rPr>
        <w:t>Calculations and statistical analysis</w:t>
      </w:r>
    </w:p>
    <w:p w14:paraId="2842EFBC" w14:textId="340F8A08" w:rsidR="008C7251" w:rsidRDefault="00A90CBF" w:rsidP="005C38A9">
      <w:pPr>
        <w:spacing w:after="0" w:line="480" w:lineRule="auto"/>
        <w:ind w:firstLine="720"/>
        <w:jc w:val="both"/>
        <w:rPr>
          <w:rFonts w:ascii="Arial" w:hAnsi="Arial" w:cs="Arial"/>
          <w:lang w:val="en-US"/>
        </w:rPr>
      </w:pPr>
      <w:r w:rsidRPr="00E2291C">
        <w:rPr>
          <w:rFonts w:ascii="Arial" w:hAnsi="Arial" w:cs="Arial"/>
          <w:lang w:val="en-US"/>
        </w:rPr>
        <w:t xml:space="preserve">Data are expressed as </w:t>
      </w:r>
      <w:r w:rsidRPr="0065737F">
        <w:rPr>
          <w:rFonts w:ascii="Arial" w:hAnsi="Arial" w:cs="Arial"/>
          <w:highlight w:val="yellow"/>
          <w:lang w:val="en-US"/>
        </w:rPr>
        <w:t xml:space="preserve">mean ± standard </w:t>
      </w:r>
      <w:r w:rsidR="00EC30AE" w:rsidRPr="0065737F">
        <w:rPr>
          <w:rFonts w:ascii="Arial" w:hAnsi="Arial" w:cs="Arial"/>
          <w:highlight w:val="yellow"/>
          <w:lang w:val="en-US"/>
        </w:rPr>
        <w:t>deviation</w:t>
      </w:r>
      <w:r w:rsidRPr="0065737F">
        <w:rPr>
          <w:rFonts w:ascii="Arial" w:hAnsi="Arial" w:cs="Arial"/>
          <w:highlight w:val="yellow"/>
          <w:lang w:val="en-US"/>
        </w:rPr>
        <w:t xml:space="preserve"> of the mean (</w:t>
      </w:r>
      <w:r w:rsidR="00EC30AE" w:rsidRPr="0065737F">
        <w:rPr>
          <w:rFonts w:ascii="Arial" w:hAnsi="Arial" w:cs="Arial"/>
          <w:highlight w:val="yellow"/>
          <w:lang w:val="en-US"/>
        </w:rPr>
        <w:t>SD</w:t>
      </w:r>
      <w:r w:rsidRPr="0065737F">
        <w:rPr>
          <w:rFonts w:ascii="Arial" w:hAnsi="Arial" w:cs="Arial"/>
          <w:highlight w:val="yellow"/>
          <w:lang w:val="en-US"/>
        </w:rPr>
        <w:t>)</w:t>
      </w:r>
      <w:r w:rsidRPr="00E2291C">
        <w:rPr>
          <w:rFonts w:ascii="Arial" w:hAnsi="Arial" w:cs="Arial"/>
          <w:lang w:val="en-US"/>
        </w:rPr>
        <w:t xml:space="preserve">. </w:t>
      </w:r>
      <w:r w:rsidR="00EE652D" w:rsidRPr="0065737F">
        <w:rPr>
          <w:rFonts w:ascii="Arial" w:hAnsi="Arial" w:cs="Arial"/>
          <w:highlight w:val="yellow"/>
          <w:lang w:val="en-US"/>
        </w:rPr>
        <w:t>D</w:t>
      </w:r>
      <w:r w:rsidR="00EE652D" w:rsidRPr="0065737F">
        <w:rPr>
          <w:rFonts w:ascii="Arial" w:eastAsia="Times New Roman" w:hAnsi="Arial" w:cs="Arial"/>
          <w:color w:val="222222"/>
          <w:highlight w:val="yellow"/>
          <w:lang w:val="en-US"/>
        </w:rPr>
        <w:t>ata were normally distributed</w:t>
      </w:r>
      <w:r w:rsidR="00EE652D" w:rsidRPr="00EE652D">
        <w:rPr>
          <w:rFonts w:ascii="Arial" w:eastAsia="Times New Roman" w:hAnsi="Arial" w:cs="Arial"/>
          <w:color w:val="222222"/>
          <w:lang w:val="en-US"/>
        </w:rPr>
        <w:t xml:space="preserve">. </w:t>
      </w:r>
      <w:r w:rsidRPr="00E2291C">
        <w:rPr>
          <w:rFonts w:ascii="Arial" w:hAnsi="Arial" w:cs="Arial"/>
          <w:lang w:val="en-US"/>
        </w:rPr>
        <w:t xml:space="preserve">Statistical comparisons were performed </w:t>
      </w:r>
      <w:r w:rsidRPr="00110B80">
        <w:rPr>
          <w:rFonts w:ascii="Arial" w:hAnsi="Arial" w:cs="Arial"/>
          <w:lang w:val="en-US"/>
        </w:rPr>
        <w:t xml:space="preserve">by </w:t>
      </w:r>
      <w:r w:rsidR="0079749B" w:rsidRPr="0065737F">
        <w:rPr>
          <w:rFonts w:ascii="Arial" w:hAnsi="Arial" w:cs="Arial"/>
          <w:highlight w:val="yellow"/>
          <w:lang w:val="en-US"/>
        </w:rPr>
        <w:t xml:space="preserve">paired </w:t>
      </w:r>
      <w:r w:rsidRPr="0065737F">
        <w:rPr>
          <w:rFonts w:ascii="Arial" w:hAnsi="Arial" w:cs="Arial"/>
          <w:highlight w:val="yellow"/>
          <w:lang w:val="en-US"/>
        </w:rPr>
        <w:t>Student t-test</w:t>
      </w:r>
      <w:r w:rsidR="008C7251" w:rsidRPr="00110B80">
        <w:rPr>
          <w:rFonts w:ascii="Arial" w:hAnsi="Arial" w:cs="Arial"/>
          <w:lang w:val="en-US"/>
        </w:rPr>
        <w:t xml:space="preserve"> or Pearson correlation coefficient</w:t>
      </w:r>
      <w:r w:rsidRPr="00110B80">
        <w:rPr>
          <w:rFonts w:ascii="Arial" w:hAnsi="Arial" w:cs="Arial"/>
          <w:lang w:val="en-US"/>
        </w:rPr>
        <w:t xml:space="preserve">. </w:t>
      </w:r>
      <w:r w:rsidR="00C0013A" w:rsidRPr="0065737F">
        <w:rPr>
          <w:rFonts w:ascii="Arial" w:hAnsi="Arial" w:cs="Arial"/>
          <w:highlight w:val="yellow"/>
          <w:lang w:val="en-US"/>
        </w:rPr>
        <w:t>A power study was conducted to calculate the number of samples for plasma folate, intracellular folate and homocysteine levels. (α=0.05 and the desired power = 0.80)</w:t>
      </w:r>
      <w:r w:rsidR="00C0013A" w:rsidRPr="00110B80">
        <w:rPr>
          <w:rFonts w:ascii="Arial" w:hAnsi="Arial" w:cs="Arial"/>
          <w:lang w:val="en-US"/>
        </w:rPr>
        <w:t xml:space="preserve">. </w:t>
      </w:r>
      <w:r w:rsidRPr="00110B80">
        <w:rPr>
          <w:rFonts w:ascii="Arial" w:hAnsi="Arial" w:cs="Arial"/>
          <w:lang w:val="en-US"/>
        </w:rPr>
        <w:t>Calculations we</w:t>
      </w:r>
      <w:r w:rsidRPr="00E2291C">
        <w:rPr>
          <w:rFonts w:ascii="Arial" w:hAnsi="Arial" w:cs="Arial"/>
          <w:lang w:val="en-US"/>
        </w:rPr>
        <w:t xml:space="preserve">re performed with Libre Office 4.3.2.2 spreadsheet and statistical analysis with GraphPad Prism version 4.00 for Windows, GraphPad Software (San Diego, CA, USA). A probability (p) value p&lt;0.05 was considered statistically significant. </w:t>
      </w:r>
    </w:p>
    <w:p w14:paraId="31F5B286" w14:textId="77777777" w:rsidR="00E2291C" w:rsidRPr="00504B5F" w:rsidRDefault="00E2291C" w:rsidP="00BF46C5">
      <w:pPr>
        <w:spacing w:after="0" w:line="480" w:lineRule="auto"/>
        <w:rPr>
          <w:rFonts w:ascii="Arial" w:hAnsi="Arial" w:cs="Arial"/>
          <w:lang w:val="en-US"/>
        </w:rPr>
      </w:pPr>
    </w:p>
    <w:p w14:paraId="2FBC9A50" w14:textId="16161D26" w:rsidR="00552A1A" w:rsidRPr="00E2291C" w:rsidRDefault="0055565B" w:rsidP="00BF46C5">
      <w:pPr>
        <w:spacing w:after="0" w:line="480" w:lineRule="auto"/>
        <w:rPr>
          <w:rFonts w:ascii="Arial" w:hAnsi="Arial" w:cs="Arial"/>
          <w:b/>
          <w:lang w:val="en-US"/>
        </w:rPr>
      </w:pPr>
      <w:r w:rsidRPr="00E2291C">
        <w:rPr>
          <w:rFonts w:ascii="Arial" w:hAnsi="Arial" w:cs="Arial"/>
          <w:b/>
          <w:lang w:val="en-US"/>
        </w:rPr>
        <w:t>Results</w:t>
      </w:r>
    </w:p>
    <w:p w14:paraId="45F3965F" w14:textId="5C6B3A69" w:rsidR="00552A1A" w:rsidRPr="00552A1A" w:rsidRDefault="00552A1A" w:rsidP="00BF46C5">
      <w:pPr>
        <w:spacing w:after="0" w:line="480" w:lineRule="auto"/>
        <w:jc w:val="both"/>
        <w:rPr>
          <w:rFonts w:ascii="Arial" w:hAnsi="Arial" w:cs="Arial"/>
          <w:b/>
          <w:lang w:val="en-US"/>
        </w:rPr>
      </w:pPr>
      <w:r w:rsidRPr="00552A1A">
        <w:rPr>
          <w:rFonts w:ascii="Arial" w:hAnsi="Arial" w:cs="Arial"/>
          <w:b/>
          <w:lang w:val="en-US"/>
        </w:rPr>
        <w:t>General features of the individuals included in this study</w:t>
      </w:r>
    </w:p>
    <w:p w14:paraId="0EA1F3D9" w14:textId="50C0DE17" w:rsidR="00E2291C" w:rsidRDefault="0055565B" w:rsidP="005C38A9">
      <w:pPr>
        <w:spacing w:after="0" w:line="480" w:lineRule="auto"/>
        <w:ind w:firstLine="720"/>
        <w:jc w:val="both"/>
        <w:rPr>
          <w:rFonts w:ascii="Arial" w:hAnsi="Arial" w:cs="Arial"/>
          <w:lang w:val="en-US"/>
        </w:rPr>
      </w:pPr>
      <w:r w:rsidRPr="00E2291C">
        <w:rPr>
          <w:rFonts w:ascii="Arial" w:hAnsi="Arial" w:cs="Arial"/>
          <w:lang w:val="en-US"/>
        </w:rPr>
        <w:t xml:space="preserve">A total of </w:t>
      </w:r>
      <w:r w:rsidR="00552A1A">
        <w:rPr>
          <w:rFonts w:ascii="Arial" w:hAnsi="Arial" w:cs="Arial"/>
          <w:lang w:val="en-US"/>
        </w:rPr>
        <w:t>49 patients (group</w:t>
      </w:r>
      <w:r w:rsidR="009C703A">
        <w:rPr>
          <w:rFonts w:ascii="Arial" w:hAnsi="Arial" w:cs="Arial"/>
          <w:lang w:val="en-US"/>
        </w:rPr>
        <w:t>s</w:t>
      </w:r>
      <w:r w:rsidR="00552A1A">
        <w:rPr>
          <w:rFonts w:ascii="Arial" w:hAnsi="Arial" w:cs="Arial"/>
          <w:lang w:val="en-US"/>
        </w:rPr>
        <w:t xml:space="preserve"> A</w:t>
      </w:r>
      <w:r w:rsidR="009C703A">
        <w:rPr>
          <w:rFonts w:ascii="Arial" w:hAnsi="Arial" w:cs="Arial"/>
          <w:lang w:val="en-US"/>
        </w:rPr>
        <w:t>1 and A2</w:t>
      </w:r>
      <w:r w:rsidR="00552A1A">
        <w:rPr>
          <w:rFonts w:ascii="Arial" w:hAnsi="Arial" w:cs="Arial"/>
          <w:lang w:val="en-US"/>
        </w:rPr>
        <w:t xml:space="preserve">) and 14 egg donor women (Group B; control group) were included in this study. The general features of these groups are listed in </w:t>
      </w:r>
      <w:r w:rsidR="00552A1A" w:rsidRPr="00552A1A">
        <w:rPr>
          <w:rFonts w:ascii="Arial" w:hAnsi="Arial" w:cs="Arial"/>
          <w:b/>
          <w:lang w:val="en-US"/>
        </w:rPr>
        <w:t>Table</w:t>
      </w:r>
      <w:r w:rsidR="00552A1A">
        <w:rPr>
          <w:rFonts w:ascii="Arial" w:hAnsi="Arial" w:cs="Arial"/>
          <w:lang w:val="en-US"/>
        </w:rPr>
        <w:t xml:space="preserve"> </w:t>
      </w:r>
      <w:r w:rsidR="00552A1A" w:rsidRPr="00552A1A">
        <w:rPr>
          <w:rFonts w:ascii="Arial" w:hAnsi="Arial" w:cs="Arial"/>
          <w:b/>
          <w:lang w:val="en-US"/>
        </w:rPr>
        <w:t>1</w:t>
      </w:r>
      <w:r w:rsidR="00552A1A">
        <w:rPr>
          <w:rFonts w:ascii="Arial" w:hAnsi="Arial" w:cs="Arial"/>
          <w:lang w:val="en-US"/>
        </w:rPr>
        <w:t xml:space="preserve">. These include the age, </w:t>
      </w:r>
      <w:r w:rsidR="001B6C29" w:rsidRPr="0065737F">
        <w:rPr>
          <w:rFonts w:ascii="Arial" w:hAnsi="Arial" w:cs="Arial"/>
          <w:highlight w:val="yellow"/>
          <w:lang w:val="en-US"/>
        </w:rPr>
        <w:t>the body mass index, the smoking habits,</w:t>
      </w:r>
      <w:r w:rsidR="001B6C29">
        <w:rPr>
          <w:rFonts w:ascii="Arial" w:hAnsi="Arial" w:cs="Arial"/>
          <w:lang w:val="en-US"/>
        </w:rPr>
        <w:t xml:space="preserve"> </w:t>
      </w:r>
      <w:r w:rsidR="00552A1A">
        <w:rPr>
          <w:rFonts w:ascii="Arial" w:hAnsi="Arial" w:cs="Arial"/>
          <w:lang w:val="en-US"/>
        </w:rPr>
        <w:t xml:space="preserve">the number of days with hormonal stimulation, the total dose of FSH, the number of follicles of 14 mm or more, the number of retrieved oocytes and embryos produced, the fertilization rate, the number of embryos transferred and the pregnancy rate. </w:t>
      </w:r>
      <w:r w:rsidR="00BF46C5">
        <w:rPr>
          <w:rFonts w:ascii="Arial" w:hAnsi="Arial" w:cs="Arial"/>
          <w:lang w:val="en-US"/>
        </w:rPr>
        <w:t>As expected, i</w:t>
      </w:r>
      <w:r w:rsidR="00552A1A">
        <w:rPr>
          <w:rFonts w:ascii="Arial" w:hAnsi="Arial" w:cs="Arial"/>
          <w:lang w:val="en-US"/>
        </w:rPr>
        <w:t xml:space="preserve">ndividuals in group B displayed higher </w:t>
      </w:r>
      <w:r w:rsidR="00BF46C5">
        <w:rPr>
          <w:rFonts w:ascii="Arial" w:hAnsi="Arial" w:cs="Arial"/>
          <w:lang w:val="en-US"/>
        </w:rPr>
        <w:t>number of follicles (&gt;14 mm) and number of oocytes</w:t>
      </w:r>
      <w:r w:rsidR="00552A1A">
        <w:rPr>
          <w:rFonts w:ascii="Arial" w:hAnsi="Arial" w:cs="Arial"/>
          <w:lang w:val="en-US"/>
        </w:rPr>
        <w:t>, which is strictly related to the fact that these women are younger and do not present fertility problems.</w:t>
      </w:r>
    </w:p>
    <w:p w14:paraId="3C52FC35" w14:textId="0A31B350" w:rsidR="00552A1A" w:rsidRDefault="00552A1A" w:rsidP="005C38A9">
      <w:pPr>
        <w:spacing w:after="0" w:line="480" w:lineRule="auto"/>
        <w:ind w:firstLine="720"/>
        <w:jc w:val="both"/>
        <w:rPr>
          <w:rFonts w:ascii="Arial" w:hAnsi="Arial" w:cs="Arial"/>
          <w:lang w:val="en-US"/>
        </w:rPr>
      </w:pPr>
      <w:r>
        <w:rPr>
          <w:rFonts w:ascii="Arial" w:hAnsi="Arial" w:cs="Arial"/>
          <w:lang w:val="en-US"/>
        </w:rPr>
        <w:t xml:space="preserve">In group A, 11 out of 49 patients become pregnant (positive beta </w:t>
      </w:r>
      <w:proofErr w:type="spellStart"/>
      <w:r>
        <w:rPr>
          <w:rFonts w:ascii="Arial" w:hAnsi="Arial" w:cs="Arial"/>
          <w:lang w:val="en-US"/>
        </w:rPr>
        <w:t>hCG</w:t>
      </w:r>
      <w:proofErr w:type="spellEnd"/>
      <w:r w:rsidR="009C703A">
        <w:rPr>
          <w:rFonts w:ascii="Arial" w:hAnsi="Arial" w:cs="Arial"/>
          <w:lang w:val="en-US"/>
        </w:rPr>
        <w:t>; group A1</w:t>
      </w:r>
      <w:r>
        <w:rPr>
          <w:rFonts w:ascii="Arial" w:hAnsi="Arial" w:cs="Arial"/>
          <w:lang w:val="en-US"/>
        </w:rPr>
        <w:t xml:space="preserve">). Of those, </w:t>
      </w:r>
      <w:r w:rsidR="00724BF7">
        <w:rPr>
          <w:rFonts w:ascii="Arial" w:hAnsi="Arial" w:cs="Arial"/>
          <w:lang w:val="en-US"/>
        </w:rPr>
        <w:t>two interrupted</w:t>
      </w:r>
      <w:r>
        <w:rPr>
          <w:rFonts w:ascii="Arial" w:hAnsi="Arial" w:cs="Arial"/>
          <w:lang w:val="en-US"/>
        </w:rPr>
        <w:t xml:space="preserve"> the </w:t>
      </w:r>
      <w:r w:rsidR="00724BF7">
        <w:rPr>
          <w:rFonts w:ascii="Arial" w:hAnsi="Arial" w:cs="Arial"/>
          <w:lang w:val="en-US"/>
        </w:rPr>
        <w:t>pregnancy</w:t>
      </w:r>
      <w:r>
        <w:rPr>
          <w:rFonts w:ascii="Arial" w:hAnsi="Arial" w:cs="Arial"/>
          <w:lang w:val="en-US"/>
        </w:rPr>
        <w:t xml:space="preserve"> (one presented an ectopic pregnancy and the second one, a miscarriage). The embryos produced from oocytes of group B produced 5 biochemical </w:t>
      </w:r>
      <w:r w:rsidR="00724BF7">
        <w:rPr>
          <w:rFonts w:ascii="Arial" w:hAnsi="Arial" w:cs="Arial"/>
          <w:lang w:val="en-US"/>
        </w:rPr>
        <w:t>pregnancy’s</w:t>
      </w:r>
      <w:r>
        <w:rPr>
          <w:rFonts w:ascii="Arial" w:hAnsi="Arial" w:cs="Arial"/>
          <w:lang w:val="en-US"/>
        </w:rPr>
        <w:t xml:space="preserve"> and all of them resulted in childbirths.</w:t>
      </w:r>
    </w:p>
    <w:p w14:paraId="60EA38E1" w14:textId="1494F113" w:rsidR="00724BF7" w:rsidRDefault="00724BF7" w:rsidP="00BF46C5">
      <w:pPr>
        <w:spacing w:after="0" w:line="480" w:lineRule="auto"/>
        <w:jc w:val="both"/>
        <w:rPr>
          <w:rFonts w:ascii="Arial" w:hAnsi="Arial" w:cs="Arial"/>
          <w:lang w:val="en-US"/>
        </w:rPr>
      </w:pPr>
    </w:p>
    <w:p w14:paraId="30F11782" w14:textId="083C1418" w:rsidR="00724BF7" w:rsidRPr="00724BF7" w:rsidRDefault="00724BF7" w:rsidP="00BF46C5">
      <w:pPr>
        <w:spacing w:after="0" w:line="480" w:lineRule="auto"/>
        <w:jc w:val="both"/>
        <w:rPr>
          <w:rFonts w:ascii="Arial" w:hAnsi="Arial" w:cs="Arial"/>
          <w:b/>
          <w:lang w:val="en-US"/>
        </w:rPr>
      </w:pPr>
      <w:r w:rsidRPr="00724BF7">
        <w:rPr>
          <w:rFonts w:ascii="Arial" w:hAnsi="Arial" w:cs="Arial"/>
          <w:b/>
          <w:lang w:val="en-US"/>
        </w:rPr>
        <w:lastRenderedPageBreak/>
        <w:t xml:space="preserve">Concentration of folic acid </w:t>
      </w:r>
      <w:r>
        <w:rPr>
          <w:rFonts w:ascii="Arial" w:hAnsi="Arial" w:cs="Arial"/>
          <w:b/>
          <w:lang w:val="en-US"/>
        </w:rPr>
        <w:t>and homocysteine did not significantly change during hormonal stimulation</w:t>
      </w:r>
    </w:p>
    <w:p w14:paraId="74E64FF2" w14:textId="29FCFF9A" w:rsidR="00724BF7" w:rsidRDefault="00724BF7" w:rsidP="005C38A9">
      <w:pPr>
        <w:spacing w:after="0" w:line="480" w:lineRule="auto"/>
        <w:ind w:firstLine="720"/>
        <w:jc w:val="both"/>
        <w:rPr>
          <w:rFonts w:ascii="Arial" w:hAnsi="Arial" w:cs="Arial"/>
          <w:lang w:val="en-US"/>
        </w:rPr>
      </w:pPr>
      <w:r>
        <w:rPr>
          <w:rFonts w:ascii="Arial" w:hAnsi="Arial" w:cs="Arial"/>
          <w:lang w:val="en-US"/>
        </w:rPr>
        <w:t xml:space="preserve">The blood levels of folic acid, homocysteine and estradiol were measured </w:t>
      </w:r>
      <w:r w:rsidR="009C703A">
        <w:rPr>
          <w:rFonts w:ascii="Arial" w:hAnsi="Arial" w:cs="Arial"/>
          <w:lang w:val="en-US"/>
        </w:rPr>
        <w:t xml:space="preserve">in groups A1, A2 and B </w:t>
      </w:r>
      <w:r>
        <w:rPr>
          <w:rFonts w:ascii="Arial" w:hAnsi="Arial" w:cs="Arial"/>
          <w:lang w:val="en-US"/>
        </w:rPr>
        <w:t>a</w:t>
      </w:r>
      <w:r w:rsidR="009C703A">
        <w:rPr>
          <w:rFonts w:ascii="Arial" w:hAnsi="Arial" w:cs="Arial"/>
          <w:lang w:val="en-US"/>
        </w:rPr>
        <w:t>t</w:t>
      </w:r>
      <w:r>
        <w:rPr>
          <w:rFonts w:ascii="Arial" w:hAnsi="Arial" w:cs="Arial"/>
          <w:lang w:val="en-US"/>
        </w:rPr>
        <w:t xml:space="preserve"> two different times: before and after initiating the hormonal stimulation. The second one coincided with the day of oocyte retrieval.</w:t>
      </w:r>
    </w:p>
    <w:p w14:paraId="65079EE9" w14:textId="6D952564" w:rsidR="00724BF7" w:rsidRDefault="00724BF7" w:rsidP="005C38A9">
      <w:pPr>
        <w:spacing w:after="0" w:line="480" w:lineRule="auto"/>
        <w:ind w:firstLine="720"/>
        <w:jc w:val="both"/>
        <w:rPr>
          <w:rFonts w:ascii="Arial" w:hAnsi="Arial" w:cs="Arial"/>
          <w:lang w:val="en-US"/>
        </w:rPr>
      </w:pPr>
      <w:r>
        <w:rPr>
          <w:rFonts w:ascii="Arial" w:hAnsi="Arial" w:cs="Arial"/>
          <w:lang w:val="en-US"/>
        </w:rPr>
        <w:t xml:space="preserve">The levels of folic acid were measured in two different ways: in plasma, which represent the </w:t>
      </w:r>
      <w:r w:rsidRPr="00724BF7">
        <w:rPr>
          <w:rFonts w:ascii="Arial" w:hAnsi="Arial" w:cs="Arial"/>
          <w:lang w:val="en-US"/>
        </w:rPr>
        <w:t>dietary folate intake</w:t>
      </w:r>
      <w:r>
        <w:rPr>
          <w:rFonts w:ascii="Arial" w:hAnsi="Arial" w:cs="Arial"/>
          <w:lang w:val="en-US"/>
        </w:rPr>
        <w:t xml:space="preserve"> of the last 24 hours</w:t>
      </w:r>
      <w:r w:rsidR="009C703A">
        <w:rPr>
          <w:rFonts w:ascii="Arial" w:hAnsi="Arial" w:cs="Arial"/>
          <w:lang w:val="en-US"/>
        </w:rPr>
        <w:t xml:space="preserve"> and</w:t>
      </w:r>
      <w:r>
        <w:rPr>
          <w:rFonts w:ascii="Arial" w:hAnsi="Arial" w:cs="Arial"/>
          <w:lang w:val="en-US"/>
        </w:rPr>
        <w:t xml:space="preserve"> in red blood cells, which represents the </w:t>
      </w:r>
      <w:r w:rsidRPr="00724BF7">
        <w:rPr>
          <w:rFonts w:ascii="Arial" w:hAnsi="Arial" w:cs="Arial"/>
          <w:lang w:val="en-US"/>
        </w:rPr>
        <w:t>dietary folate intake</w:t>
      </w:r>
      <w:r>
        <w:rPr>
          <w:rFonts w:ascii="Arial" w:hAnsi="Arial" w:cs="Arial"/>
          <w:lang w:val="en-US"/>
        </w:rPr>
        <w:t xml:space="preserve"> of the last 3 month. In </w:t>
      </w:r>
      <w:r w:rsidR="00016407">
        <w:rPr>
          <w:rFonts w:ascii="Arial" w:hAnsi="Arial" w:cs="Arial"/>
          <w:b/>
          <w:lang w:val="en-US"/>
        </w:rPr>
        <w:t>T</w:t>
      </w:r>
      <w:r w:rsidRPr="00724BF7">
        <w:rPr>
          <w:rFonts w:ascii="Arial" w:hAnsi="Arial" w:cs="Arial"/>
          <w:b/>
          <w:lang w:val="en-US"/>
        </w:rPr>
        <w:t>able 2</w:t>
      </w:r>
      <w:r>
        <w:rPr>
          <w:rFonts w:ascii="Arial" w:hAnsi="Arial" w:cs="Arial"/>
          <w:lang w:val="en-US"/>
        </w:rPr>
        <w:t xml:space="preserve">, it is shown the levels of these compounds in the groups studied. Overall, despite that positive correlations were noted in all groups, there were no significant differences in the levels of folic acid before and after the hormonal stimulation. </w:t>
      </w:r>
    </w:p>
    <w:p w14:paraId="31CD39B3" w14:textId="399120B2" w:rsidR="00724BF7" w:rsidRDefault="00724BF7" w:rsidP="0065737F">
      <w:pPr>
        <w:spacing w:after="0" w:line="480" w:lineRule="auto"/>
        <w:ind w:firstLine="720"/>
        <w:jc w:val="both"/>
        <w:rPr>
          <w:rFonts w:ascii="Arial" w:hAnsi="Arial" w:cs="Arial"/>
          <w:lang w:val="en-US"/>
        </w:rPr>
      </w:pPr>
      <w:r>
        <w:rPr>
          <w:rFonts w:ascii="Arial" w:hAnsi="Arial" w:cs="Arial"/>
          <w:lang w:val="en-US"/>
        </w:rPr>
        <w:t>The levels of plasmatic homocysteine in all groups before and after hormonal stimulation are</w:t>
      </w:r>
      <w:r w:rsidR="002A019E">
        <w:rPr>
          <w:rFonts w:ascii="Arial" w:hAnsi="Arial" w:cs="Arial"/>
          <w:lang w:val="en-US"/>
        </w:rPr>
        <w:t xml:space="preserve"> also</w:t>
      </w:r>
      <w:r>
        <w:rPr>
          <w:rFonts w:ascii="Arial" w:hAnsi="Arial" w:cs="Arial"/>
          <w:lang w:val="en-US"/>
        </w:rPr>
        <w:t xml:space="preserve"> presented in </w:t>
      </w:r>
      <w:r w:rsidRPr="00724BF7">
        <w:rPr>
          <w:rFonts w:ascii="Arial" w:hAnsi="Arial" w:cs="Arial"/>
          <w:b/>
          <w:lang w:val="en-US"/>
        </w:rPr>
        <w:t>Table</w:t>
      </w:r>
      <w:r>
        <w:rPr>
          <w:rFonts w:ascii="Arial" w:hAnsi="Arial" w:cs="Arial"/>
          <w:lang w:val="en-US"/>
        </w:rPr>
        <w:t xml:space="preserve"> </w:t>
      </w:r>
      <w:r w:rsidR="002A019E">
        <w:rPr>
          <w:rFonts w:ascii="Arial" w:hAnsi="Arial" w:cs="Arial"/>
          <w:b/>
          <w:lang w:val="en-US"/>
        </w:rPr>
        <w:t>2</w:t>
      </w:r>
      <w:r>
        <w:rPr>
          <w:rFonts w:ascii="Arial" w:hAnsi="Arial" w:cs="Arial"/>
          <w:lang w:val="en-US"/>
        </w:rPr>
        <w:t>. It is observed that the values measured after stimulation were slightly lower compared to those obtained in before hormonal treatments. All groups presented positive correlations but only in group B</w:t>
      </w:r>
      <w:r w:rsidR="002A019E">
        <w:rPr>
          <w:rFonts w:ascii="Arial" w:hAnsi="Arial" w:cs="Arial"/>
          <w:lang w:val="en-US"/>
        </w:rPr>
        <w:t xml:space="preserve"> the difference</w:t>
      </w:r>
      <w:r>
        <w:rPr>
          <w:rFonts w:ascii="Arial" w:hAnsi="Arial" w:cs="Arial"/>
          <w:lang w:val="en-US"/>
        </w:rPr>
        <w:t xml:space="preserve"> was statistically significant.</w:t>
      </w:r>
      <w:r w:rsidR="0065737F">
        <w:rPr>
          <w:rFonts w:ascii="Arial" w:hAnsi="Arial" w:cs="Arial"/>
          <w:lang w:val="en-US"/>
        </w:rPr>
        <w:t xml:space="preserve"> </w:t>
      </w:r>
      <w:r>
        <w:rPr>
          <w:rFonts w:ascii="Arial" w:hAnsi="Arial" w:cs="Arial"/>
          <w:lang w:val="en-US"/>
        </w:rPr>
        <w:t xml:space="preserve">As a control, the levels of estradiol were also measured in these groups and are shown in </w:t>
      </w:r>
      <w:r w:rsidRPr="00724BF7">
        <w:rPr>
          <w:rFonts w:ascii="Arial" w:hAnsi="Arial" w:cs="Arial"/>
          <w:b/>
          <w:lang w:val="en-US"/>
        </w:rPr>
        <w:t xml:space="preserve">Table </w:t>
      </w:r>
      <w:r w:rsidR="00A437E6">
        <w:rPr>
          <w:rFonts w:ascii="Arial" w:hAnsi="Arial" w:cs="Arial"/>
          <w:b/>
          <w:lang w:val="en-US"/>
        </w:rPr>
        <w:t>2</w:t>
      </w:r>
      <w:r>
        <w:rPr>
          <w:rFonts w:ascii="Arial" w:hAnsi="Arial" w:cs="Arial"/>
          <w:lang w:val="en-US"/>
        </w:rPr>
        <w:t>. As expected, the levels of this hormone increased after the stimulation in all groups studied.</w:t>
      </w:r>
    </w:p>
    <w:p w14:paraId="714ED961" w14:textId="036EF94E" w:rsidR="00724BF7" w:rsidRDefault="00724BF7" w:rsidP="005C38A9">
      <w:pPr>
        <w:spacing w:after="0" w:line="480" w:lineRule="auto"/>
        <w:ind w:firstLine="720"/>
        <w:jc w:val="both"/>
        <w:rPr>
          <w:rFonts w:ascii="Arial" w:hAnsi="Arial" w:cs="Arial"/>
          <w:lang w:val="en-US"/>
        </w:rPr>
      </w:pPr>
      <w:r>
        <w:rPr>
          <w:rFonts w:ascii="Arial" w:hAnsi="Arial" w:cs="Arial"/>
          <w:lang w:val="en-US"/>
        </w:rPr>
        <w:t xml:space="preserve">In order to evaluate the association between the levels of homocysteine with the levels of folic acid and estradiol in the groups studied, a </w:t>
      </w:r>
      <w:r w:rsidRPr="00724BF7">
        <w:rPr>
          <w:rFonts w:ascii="Arial" w:hAnsi="Arial" w:cs="Arial"/>
          <w:lang w:val="en-US"/>
        </w:rPr>
        <w:t>Pearson correlation coefficient</w:t>
      </w:r>
      <w:r>
        <w:rPr>
          <w:rFonts w:ascii="Arial" w:hAnsi="Arial" w:cs="Arial"/>
          <w:lang w:val="en-US"/>
        </w:rPr>
        <w:t xml:space="preserve"> was used. The results are presented in </w:t>
      </w:r>
      <w:r w:rsidRPr="00724BF7">
        <w:rPr>
          <w:rFonts w:ascii="Arial" w:hAnsi="Arial" w:cs="Arial"/>
          <w:b/>
          <w:lang w:val="en-US"/>
        </w:rPr>
        <w:t xml:space="preserve">Table </w:t>
      </w:r>
      <w:r w:rsidR="002A019E">
        <w:rPr>
          <w:rFonts w:ascii="Arial" w:hAnsi="Arial" w:cs="Arial"/>
          <w:b/>
          <w:lang w:val="en-US"/>
        </w:rPr>
        <w:t>3</w:t>
      </w:r>
      <w:r>
        <w:rPr>
          <w:rFonts w:ascii="Arial" w:hAnsi="Arial" w:cs="Arial"/>
          <w:lang w:val="en-US"/>
        </w:rPr>
        <w:t>. Overall, it is observed that there are not significant correlations between these parameters.</w:t>
      </w:r>
    </w:p>
    <w:p w14:paraId="2E996BA7" w14:textId="1106D613" w:rsidR="00724BF7" w:rsidRDefault="00724BF7" w:rsidP="00BF46C5">
      <w:pPr>
        <w:spacing w:after="0" w:line="480" w:lineRule="auto"/>
        <w:jc w:val="both"/>
        <w:rPr>
          <w:rFonts w:ascii="Arial" w:hAnsi="Arial" w:cs="Arial"/>
          <w:lang w:val="en-US"/>
        </w:rPr>
      </w:pPr>
    </w:p>
    <w:p w14:paraId="4E4F492E" w14:textId="282BC58D" w:rsidR="005F4E14" w:rsidRPr="00FA547F" w:rsidRDefault="00FA547F" w:rsidP="00BF46C5">
      <w:pPr>
        <w:spacing w:after="0" w:line="480" w:lineRule="auto"/>
        <w:jc w:val="both"/>
        <w:rPr>
          <w:rFonts w:ascii="Arial" w:hAnsi="Arial" w:cs="Arial"/>
          <w:b/>
          <w:lang w:val="en-US"/>
        </w:rPr>
      </w:pPr>
      <w:r w:rsidRPr="00FA547F">
        <w:rPr>
          <w:rFonts w:ascii="Arial" w:hAnsi="Arial" w:cs="Arial"/>
          <w:b/>
          <w:lang w:val="en-US"/>
        </w:rPr>
        <w:t>Patients who achieved pregnancy possessed higher frequency of 677T MTHFR allele.</w:t>
      </w:r>
    </w:p>
    <w:p w14:paraId="20748139" w14:textId="6A931287" w:rsidR="005021E9" w:rsidRDefault="005F4E14" w:rsidP="005C38A9">
      <w:pPr>
        <w:spacing w:after="0" w:line="480" w:lineRule="auto"/>
        <w:ind w:firstLine="720"/>
        <w:jc w:val="both"/>
        <w:rPr>
          <w:rFonts w:ascii="Arial" w:hAnsi="Arial" w:cs="Arial"/>
          <w:lang w:val="en-US"/>
        </w:rPr>
      </w:pPr>
      <w:r w:rsidRPr="005F4E14">
        <w:rPr>
          <w:rFonts w:ascii="Arial" w:hAnsi="Arial" w:cs="Arial"/>
          <w:lang w:val="en-US"/>
        </w:rPr>
        <w:t xml:space="preserve">Methylene tetrahydrofolate reductase (MTHFR) is the rate-limiting enzyme in the methyl cycle, and it is encoded by the </w:t>
      </w:r>
      <w:proofErr w:type="spellStart"/>
      <w:r w:rsidR="00B67313" w:rsidRPr="00B67313">
        <w:rPr>
          <w:rFonts w:ascii="Arial" w:hAnsi="Arial" w:cs="Arial"/>
          <w:i/>
          <w:iCs/>
          <w:lang w:val="en-US"/>
        </w:rPr>
        <w:t>mthrf</w:t>
      </w:r>
      <w:proofErr w:type="spellEnd"/>
      <w:r w:rsidRPr="005F4E14">
        <w:rPr>
          <w:rFonts w:ascii="Arial" w:hAnsi="Arial" w:cs="Arial"/>
          <w:lang w:val="en-US"/>
        </w:rPr>
        <w:t xml:space="preserve"> gene</w:t>
      </w:r>
      <w:r w:rsidR="008B5463">
        <w:rPr>
          <w:rFonts w:ascii="Arial" w:hAnsi="Arial" w:cs="Arial"/>
          <w:lang w:val="en-US"/>
        </w:rPr>
        <w:t xml:space="preserve">. </w:t>
      </w:r>
      <w:r w:rsidRPr="005F4E14">
        <w:rPr>
          <w:rFonts w:ascii="Arial" w:hAnsi="Arial" w:cs="Arial"/>
          <w:lang w:val="en-US"/>
        </w:rPr>
        <w:t xml:space="preserve">There are DNA sequence variants (genetic polymorphisms) associated with this gene. </w:t>
      </w:r>
      <w:r>
        <w:rPr>
          <w:rFonts w:ascii="Arial" w:hAnsi="Arial" w:cs="Arial"/>
          <w:lang w:val="en-US"/>
        </w:rPr>
        <w:t xml:space="preserve">One </w:t>
      </w:r>
      <w:r w:rsidRPr="005F4E14">
        <w:rPr>
          <w:rFonts w:ascii="Arial" w:hAnsi="Arial" w:cs="Arial"/>
          <w:lang w:val="en-US"/>
        </w:rPr>
        <w:t xml:space="preserve">of the most investigated </w:t>
      </w:r>
      <w:r>
        <w:rPr>
          <w:rFonts w:ascii="Arial" w:hAnsi="Arial" w:cs="Arial"/>
          <w:lang w:val="en-US"/>
        </w:rPr>
        <w:t>is</w:t>
      </w:r>
      <w:r w:rsidRPr="005F4E14">
        <w:rPr>
          <w:rFonts w:ascii="Arial" w:hAnsi="Arial" w:cs="Arial"/>
          <w:lang w:val="en-US"/>
        </w:rPr>
        <w:t xml:space="preserve"> C677T</w:t>
      </w:r>
      <w:r>
        <w:rPr>
          <w:rFonts w:ascii="Arial" w:hAnsi="Arial" w:cs="Arial"/>
          <w:lang w:val="en-US"/>
        </w:rPr>
        <w:t xml:space="preserve">. </w:t>
      </w:r>
      <w:r w:rsidRPr="005F4E14">
        <w:rPr>
          <w:rFonts w:ascii="Arial" w:hAnsi="Arial" w:cs="Arial"/>
          <w:lang w:val="en-US"/>
        </w:rPr>
        <w:t>The MTHFR nucleotide at position 677 in the gene has two possibilities: cytosine</w:t>
      </w:r>
      <w:r w:rsidR="008B5463">
        <w:rPr>
          <w:rFonts w:ascii="Arial" w:hAnsi="Arial" w:cs="Arial"/>
          <w:lang w:val="en-US"/>
        </w:rPr>
        <w:t xml:space="preserve"> (C</w:t>
      </w:r>
      <w:r w:rsidRPr="005F4E14">
        <w:rPr>
          <w:rFonts w:ascii="Arial" w:hAnsi="Arial" w:cs="Arial"/>
          <w:lang w:val="en-US"/>
        </w:rPr>
        <w:t>) or thymine</w:t>
      </w:r>
      <w:r w:rsidR="008B5463">
        <w:rPr>
          <w:rFonts w:ascii="Arial" w:hAnsi="Arial" w:cs="Arial"/>
          <w:lang w:val="en-US"/>
        </w:rPr>
        <w:t xml:space="preserve"> </w:t>
      </w:r>
      <w:r w:rsidR="008B5463">
        <w:rPr>
          <w:rFonts w:ascii="Arial" w:hAnsi="Arial" w:cs="Arial"/>
          <w:lang w:val="en-US"/>
        </w:rPr>
        <w:lastRenderedPageBreak/>
        <w:t>(T</w:t>
      </w:r>
      <w:r w:rsidRPr="005F4E14">
        <w:rPr>
          <w:rFonts w:ascii="Arial" w:hAnsi="Arial" w:cs="Arial"/>
          <w:lang w:val="en-US"/>
        </w:rPr>
        <w:t>). C at position 677 (</w:t>
      </w:r>
      <w:r w:rsidR="008B5463">
        <w:rPr>
          <w:rFonts w:ascii="Arial" w:hAnsi="Arial" w:cs="Arial"/>
          <w:lang w:val="en-US"/>
        </w:rPr>
        <w:t>resulting in</w:t>
      </w:r>
      <w:r w:rsidRPr="005F4E14">
        <w:rPr>
          <w:rFonts w:ascii="Arial" w:hAnsi="Arial" w:cs="Arial"/>
          <w:lang w:val="en-US"/>
        </w:rPr>
        <w:t xml:space="preserve"> an alanine at amino acid 222) is the normal allele. The 677T allele (</w:t>
      </w:r>
      <w:r w:rsidR="008B5463">
        <w:rPr>
          <w:rFonts w:ascii="Arial" w:hAnsi="Arial" w:cs="Arial"/>
          <w:lang w:val="en-US"/>
        </w:rPr>
        <w:t>resulting in</w:t>
      </w:r>
      <w:r w:rsidRPr="005F4E14">
        <w:rPr>
          <w:rFonts w:ascii="Arial" w:hAnsi="Arial" w:cs="Arial"/>
          <w:lang w:val="en-US"/>
        </w:rPr>
        <w:t xml:space="preserve"> a valine substitution at amino acid 222) encodes a</w:t>
      </w:r>
      <w:r w:rsidR="008B5463">
        <w:rPr>
          <w:rFonts w:ascii="Arial" w:hAnsi="Arial" w:cs="Arial"/>
          <w:lang w:val="en-US"/>
        </w:rPr>
        <w:t xml:space="preserve">n </w:t>
      </w:r>
      <w:r w:rsidRPr="005F4E14">
        <w:rPr>
          <w:rFonts w:ascii="Arial" w:hAnsi="Arial" w:cs="Arial"/>
          <w:lang w:val="en-US"/>
        </w:rPr>
        <w:t>enzyme with reduced activity.</w:t>
      </w:r>
      <w:r w:rsidR="008B5463">
        <w:rPr>
          <w:rFonts w:ascii="Arial" w:hAnsi="Arial" w:cs="Arial"/>
          <w:lang w:val="en-US"/>
        </w:rPr>
        <w:t xml:space="preserve"> T</w:t>
      </w:r>
      <w:r w:rsidR="008B5463" w:rsidRPr="005F4E14">
        <w:rPr>
          <w:rFonts w:ascii="Arial" w:hAnsi="Arial" w:cs="Arial"/>
          <w:lang w:val="en-US"/>
        </w:rPr>
        <w:t>he most common genotype</w:t>
      </w:r>
      <w:r w:rsidR="008B5463">
        <w:rPr>
          <w:rFonts w:ascii="Arial" w:hAnsi="Arial" w:cs="Arial"/>
          <w:lang w:val="en-US"/>
        </w:rPr>
        <w:t xml:space="preserve"> is the one</w:t>
      </w:r>
      <w:r w:rsidRPr="005F4E14">
        <w:rPr>
          <w:rFonts w:ascii="Arial" w:hAnsi="Arial" w:cs="Arial"/>
          <w:lang w:val="en-US"/>
        </w:rPr>
        <w:t xml:space="preserve"> with two copies of 677C (C</w:t>
      </w:r>
      <w:r w:rsidR="008B5463">
        <w:rPr>
          <w:rFonts w:ascii="Arial" w:hAnsi="Arial" w:cs="Arial"/>
          <w:lang w:val="en-US"/>
        </w:rPr>
        <w:t>/</w:t>
      </w:r>
      <w:r w:rsidRPr="005F4E14">
        <w:rPr>
          <w:rFonts w:ascii="Arial" w:hAnsi="Arial" w:cs="Arial"/>
          <w:lang w:val="en-US"/>
        </w:rPr>
        <w:t xml:space="preserve">C). </w:t>
      </w:r>
      <w:r w:rsidR="008B5463">
        <w:rPr>
          <w:rFonts w:ascii="Arial" w:hAnsi="Arial" w:cs="Arial"/>
          <w:lang w:val="en-US"/>
        </w:rPr>
        <w:t xml:space="preserve">In contrast, those with </w:t>
      </w:r>
      <w:r w:rsidRPr="005F4E14">
        <w:rPr>
          <w:rFonts w:ascii="Arial" w:hAnsi="Arial" w:cs="Arial"/>
          <w:lang w:val="en-US"/>
        </w:rPr>
        <w:t>677TT (</w:t>
      </w:r>
      <w:r w:rsidR="008B5463">
        <w:rPr>
          <w:rFonts w:ascii="Arial" w:hAnsi="Arial" w:cs="Arial"/>
          <w:lang w:val="en-US"/>
        </w:rPr>
        <w:t>T/T)</w:t>
      </w:r>
      <w:r w:rsidRPr="005F4E14">
        <w:rPr>
          <w:rFonts w:ascii="Arial" w:hAnsi="Arial" w:cs="Arial"/>
          <w:lang w:val="en-US"/>
        </w:rPr>
        <w:t xml:space="preserve"> have lower MTHFR activity than CC or CT (heterozygous)</w:t>
      </w:r>
      <w:r w:rsidR="008B5463">
        <w:rPr>
          <w:rFonts w:ascii="Arial" w:hAnsi="Arial" w:cs="Arial"/>
          <w:lang w:val="en-US"/>
        </w:rPr>
        <w:t>.</w:t>
      </w:r>
      <w:r w:rsidR="008B5463" w:rsidRPr="008012CB">
        <w:rPr>
          <w:lang w:val="en-US"/>
        </w:rPr>
        <w:t xml:space="preserve"> </w:t>
      </w:r>
      <w:r w:rsidR="008B5463" w:rsidRPr="008B5463">
        <w:rPr>
          <w:rFonts w:ascii="Arial" w:hAnsi="Arial" w:cs="Arial"/>
          <w:lang w:val="en-US"/>
        </w:rPr>
        <w:t>There is ethnic variability in the frequency of the T allele</w:t>
      </w:r>
      <w:r w:rsidR="008B5463">
        <w:rPr>
          <w:rFonts w:ascii="Arial" w:hAnsi="Arial" w:cs="Arial"/>
          <w:lang w:val="en-US"/>
        </w:rPr>
        <w:t>.</w:t>
      </w:r>
      <w:r w:rsidR="008B5463" w:rsidRPr="008B5463">
        <w:rPr>
          <w:rFonts w:ascii="Arial" w:hAnsi="Arial" w:cs="Arial"/>
          <w:lang w:val="en-US"/>
        </w:rPr>
        <w:t xml:space="preserve"> Hispanics </w:t>
      </w:r>
      <w:r w:rsidR="008B5463">
        <w:rPr>
          <w:rFonts w:ascii="Arial" w:hAnsi="Arial" w:cs="Arial"/>
          <w:lang w:val="en-US"/>
        </w:rPr>
        <w:t>tend to have higher</w:t>
      </w:r>
      <w:r w:rsidR="008B5463" w:rsidRPr="008B5463">
        <w:rPr>
          <w:rFonts w:ascii="Arial" w:hAnsi="Arial" w:cs="Arial"/>
          <w:lang w:val="en-US"/>
        </w:rPr>
        <w:t xml:space="preserve"> frequency </w:t>
      </w:r>
      <w:r w:rsidR="008B5463">
        <w:rPr>
          <w:rFonts w:ascii="Arial" w:hAnsi="Arial" w:cs="Arial"/>
          <w:lang w:val="en-US"/>
        </w:rPr>
        <w:t xml:space="preserve">than </w:t>
      </w:r>
      <w:r w:rsidR="0063301A">
        <w:rPr>
          <w:rFonts w:ascii="Arial" w:hAnsi="Arial" w:cs="Arial"/>
          <w:lang w:val="en-US"/>
        </w:rPr>
        <w:t>C</w:t>
      </w:r>
      <w:r w:rsidR="0063301A" w:rsidRPr="008B5463">
        <w:rPr>
          <w:rFonts w:ascii="Arial" w:hAnsi="Arial" w:cs="Arial"/>
          <w:lang w:val="en-US"/>
        </w:rPr>
        <w:t>aucasians</w:t>
      </w:r>
      <w:r w:rsidR="008B5463" w:rsidRPr="008B5463">
        <w:rPr>
          <w:rFonts w:ascii="Arial" w:hAnsi="Arial" w:cs="Arial"/>
          <w:lang w:val="en-US"/>
        </w:rPr>
        <w:t xml:space="preserve"> </w:t>
      </w:r>
      <w:r w:rsidR="008B5463">
        <w:rPr>
          <w:rFonts w:ascii="Arial" w:hAnsi="Arial" w:cs="Arial"/>
          <w:lang w:val="en-US"/>
        </w:rPr>
        <w:t>or</w:t>
      </w:r>
      <w:r w:rsidR="008B5463" w:rsidRPr="008B5463">
        <w:rPr>
          <w:rFonts w:ascii="Arial" w:hAnsi="Arial" w:cs="Arial"/>
          <w:lang w:val="en-US"/>
        </w:rPr>
        <w:t xml:space="preserve"> </w:t>
      </w:r>
      <w:r w:rsidR="0063301A">
        <w:rPr>
          <w:rFonts w:ascii="Arial" w:hAnsi="Arial" w:cs="Arial"/>
          <w:lang w:val="en-US"/>
        </w:rPr>
        <w:t>A</w:t>
      </w:r>
      <w:r w:rsidR="0063301A" w:rsidRPr="008B5463">
        <w:rPr>
          <w:rFonts w:ascii="Arial" w:hAnsi="Arial" w:cs="Arial"/>
          <w:lang w:val="en-US"/>
        </w:rPr>
        <w:t>fricans</w:t>
      </w:r>
      <w:r w:rsidR="00E05245">
        <w:rPr>
          <w:rFonts w:ascii="Arial" w:hAnsi="Arial" w:cs="Arial"/>
          <w:lang w:val="en-US"/>
        </w:rPr>
        <w:t xml:space="preserve"> and</w:t>
      </w:r>
      <w:r w:rsidR="005021E9">
        <w:rPr>
          <w:rFonts w:ascii="Arial" w:hAnsi="Arial" w:cs="Arial"/>
          <w:lang w:val="en-US"/>
        </w:rPr>
        <w:t xml:space="preserve"> </w:t>
      </w:r>
      <w:r w:rsidR="00E05245">
        <w:rPr>
          <w:rFonts w:ascii="Arial" w:hAnsi="Arial" w:cs="Arial"/>
          <w:lang w:val="en-US"/>
        </w:rPr>
        <w:t>i</w:t>
      </w:r>
      <w:r w:rsidR="00DF5C7C">
        <w:rPr>
          <w:rFonts w:ascii="Arial" w:hAnsi="Arial" w:cs="Arial"/>
          <w:lang w:val="en-US"/>
        </w:rPr>
        <w:t>ndividuals</w:t>
      </w:r>
      <w:r w:rsidR="00DF5C7C" w:rsidRPr="00DF5C7C">
        <w:rPr>
          <w:rFonts w:ascii="Arial" w:hAnsi="Arial" w:cs="Arial"/>
          <w:lang w:val="en-US"/>
        </w:rPr>
        <w:t xml:space="preserve"> </w:t>
      </w:r>
      <w:r w:rsidR="00DF5C7C">
        <w:rPr>
          <w:rFonts w:ascii="Arial" w:hAnsi="Arial" w:cs="Arial"/>
          <w:lang w:val="en-US"/>
        </w:rPr>
        <w:t>with</w:t>
      </w:r>
      <w:r w:rsidR="00DF5C7C" w:rsidRPr="00DF5C7C">
        <w:rPr>
          <w:rFonts w:ascii="Arial" w:hAnsi="Arial" w:cs="Arial"/>
          <w:lang w:val="en-US"/>
        </w:rPr>
        <w:t xml:space="preserve"> 677TT </w:t>
      </w:r>
      <w:r w:rsidR="00DF5C7C">
        <w:rPr>
          <w:rFonts w:ascii="Arial" w:hAnsi="Arial" w:cs="Arial"/>
          <w:lang w:val="en-US"/>
        </w:rPr>
        <w:t>tend to display a</w:t>
      </w:r>
      <w:r w:rsidR="00DF5C7C" w:rsidRPr="00DF5C7C">
        <w:rPr>
          <w:rFonts w:ascii="Arial" w:hAnsi="Arial" w:cs="Arial"/>
          <w:lang w:val="en-US"/>
        </w:rPr>
        <w:t xml:space="preserve"> mild </w:t>
      </w:r>
      <w:proofErr w:type="spellStart"/>
      <w:r w:rsidR="00DF5C7C" w:rsidRPr="00DF5C7C">
        <w:rPr>
          <w:rFonts w:ascii="Arial" w:hAnsi="Arial" w:cs="Arial"/>
          <w:lang w:val="en-US"/>
        </w:rPr>
        <w:t>hyperhomocysteinemia</w:t>
      </w:r>
      <w:proofErr w:type="spellEnd"/>
      <w:r w:rsidR="00DF5C7C" w:rsidRPr="00DF5C7C">
        <w:rPr>
          <w:rFonts w:ascii="Arial" w:hAnsi="Arial" w:cs="Arial"/>
          <w:lang w:val="en-US"/>
        </w:rPr>
        <w:t xml:space="preserve"> </w:t>
      </w:r>
      <w:r w:rsidR="00DF5C7C">
        <w:rPr>
          <w:rFonts w:ascii="Arial" w:hAnsi="Arial" w:cs="Arial"/>
          <w:lang w:val="en-US"/>
        </w:rPr>
        <w:t>due to</w:t>
      </w:r>
      <w:r w:rsidR="00DF5C7C" w:rsidRPr="00DF5C7C">
        <w:rPr>
          <w:rFonts w:ascii="Arial" w:hAnsi="Arial" w:cs="Arial"/>
          <w:lang w:val="en-US"/>
        </w:rPr>
        <w:t xml:space="preserve"> less active MTHFR available to produce 5-methyltetrahydrofolate.</w:t>
      </w:r>
      <w:r w:rsidR="00DF5C7C">
        <w:rPr>
          <w:rFonts w:ascii="Arial" w:hAnsi="Arial" w:cs="Arial"/>
          <w:lang w:val="en-US"/>
        </w:rPr>
        <w:t xml:space="preserve"> </w:t>
      </w:r>
    </w:p>
    <w:p w14:paraId="3B00E500" w14:textId="5758540D" w:rsidR="008B5463" w:rsidRPr="005F4E14" w:rsidRDefault="008B5463" w:rsidP="005C38A9">
      <w:pPr>
        <w:spacing w:after="0" w:line="480" w:lineRule="auto"/>
        <w:ind w:firstLine="720"/>
        <w:jc w:val="both"/>
        <w:rPr>
          <w:rFonts w:ascii="Arial" w:hAnsi="Arial" w:cs="Arial"/>
          <w:lang w:val="en-US"/>
        </w:rPr>
      </w:pPr>
      <w:r>
        <w:rPr>
          <w:rFonts w:ascii="Arial" w:hAnsi="Arial" w:cs="Arial"/>
          <w:lang w:val="en-US"/>
        </w:rPr>
        <w:t xml:space="preserve">To evaluate the frequency of these polymorphisms in our studied group, we have determined the genotype of the individuals enrolled in this study. The results are shown in </w:t>
      </w:r>
      <w:r w:rsidRPr="008B5463">
        <w:rPr>
          <w:rFonts w:ascii="Arial" w:hAnsi="Arial" w:cs="Arial"/>
          <w:b/>
          <w:lang w:val="en-US"/>
        </w:rPr>
        <w:t xml:space="preserve">Table </w:t>
      </w:r>
      <w:r w:rsidR="002A019E">
        <w:rPr>
          <w:rFonts w:ascii="Arial" w:hAnsi="Arial" w:cs="Arial"/>
          <w:b/>
          <w:lang w:val="en-US"/>
        </w:rPr>
        <w:t>4</w:t>
      </w:r>
      <w:r>
        <w:rPr>
          <w:rFonts w:ascii="Arial" w:hAnsi="Arial" w:cs="Arial"/>
          <w:lang w:val="en-US"/>
        </w:rPr>
        <w:t>. The frequency of the T allele (T/T and C/T) in group A1</w:t>
      </w:r>
      <w:r w:rsidR="00B67313">
        <w:rPr>
          <w:rFonts w:ascii="Arial" w:hAnsi="Arial" w:cs="Arial"/>
          <w:lang w:val="en-US"/>
        </w:rPr>
        <w:t xml:space="preserve">, </w:t>
      </w:r>
      <w:r>
        <w:rPr>
          <w:rFonts w:ascii="Arial" w:hAnsi="Arial" w:cs="Arial"/>
          <w:lang w:val="en-US"/>
        </w:rPr>
        <w:t>A2</w:t>
      </w:r>
      <w:r w:rsidR="00B67313">
        <w:rPr>
          <w:rFonts w:ascii="Arial" w:hAnsi="Arial" w:cs="Arial"/>
          <w:lang w:val="en-US"/>
        </w:rPr>
        <w:t xml:space="preserve"> and B</w:t>
      </w:r>
      <w:r>
        <w:rPr>
          <w:rFonts w:ascii="Arial" w:hAnsi="Arial" w:cs="Arial"/>
          <w:lang w:val="en-US"/>
        </w:rPr>
        <w:t xml:space="preserve"> was similar (62%, 63.7 and 69.5, respectively). </w:t>
      </w:r>
      <w:r w:rsidR="00DF5C7C" w:rsidRPr="0065737F">
        <w:rPr>
          <w:rFonts w:ascii="Arial" w:hAnsi="Arial" w:cs="Arial"/>
          <w:highlight w:val="yellow"/>
          <w:lang w:val="en-US"/>
        </w:rPr>
        <w:t xml:space="preserve">However, none of the studied patients presented </w:t>
      </w:r>
      <w:r w:rsidR="005C38A9" w:rsidRPr="0065737F">
        <w:rPr>
          <w:rFonts w:ascii="Arial" w:hAnsi="Arial" w:cs="Arial"/>
          <w:highlight w:val="yellow"/>
          <w:lang w:val="en-US"/>
        </w:rPr>
        <w:t xml:space="preserve">either </w:t>
      </w:r>
      <w:r w:rsidR="005021E9" w:rsidRPr="0065737F">
        <w:rPr>
          <w:rFonts w:ascii="Arial" w:hAnsi="Arial" w:cs="Arial"/>
          <w:highlight w:val="yellow"/>
          <w:lang w:val="en-US"/>
        </w:rPr>
        <w:t xml:space="preserve">severe or mild </w:t>
      </w:r>
      <w:proofErr w:type="spellStart"/>
      <w:r w:rsidR="00DF5C7C" w:rsidRPr="0065737F">
        <w:rPr>
          <w:rFonts w:ascii="Arial" w:hAnsi="Arial" w:cs="Arial"/>
          <w:highlight w:val="yellow"/>
          <w:lang w:val="en-US"/>
        </w:rPr>
        <w:t>hyperhomocysteinemia</w:t>
      </w:r>
      <w:proofErr w:type="spellEnd"/>
      <w:r w:rsidR="00DF5C7C" w:rsidRPr="0065737F">
        <w:rPr>
          <w:rFonts w:ascii="Arial" w:hAnsi="Arial" w:cs="Arial"/>
          <w:highlight w:val="yellow"/>
          <w:lang w:val="en-US"/>
        </w:rPr>
        <w:t>.</w:t>
      </w:r>
      <w:r w:rsidR="00DF5C7C">
        <w:rPr>
          <w:rFonts w:ascii="Arial" w:hAnsi="Arial" w:cs="Arial"/>
          <w:lang w:val="en-US"/>
        </w:rPr>
        <w:t xml:space="preserve"> Interestingly, </w:t>
      </w:r>
      <w:r>
        <w:rPr>
          <w:rFonts w:ascii="Arial" w:hAnsi="Arial" w:cs="Arial"/>
          <w:lang w:val="en-US"/>
        </w:rPr>
        <w:t>when we analyzed the frequency for homozygous T/T, group A1 displayed a much higher frequency (27.4%) compared to the other groups.</w:t>
      </w:r>
    </w:p>
    <w:p w14:paraId="395907F4" w14:textId="1C4C71EB" w:rsidR="00342B01" w:rsidRDefault="00342B01" w:rsidP="00BF46C5">
      <w:pPr>
        <w:pStyle w:val="BlockText"/>
        <w:spacing w:line="480" w:lineRule="auto"/>
        <w:ind w:left="0" w:right="0"/>
        <w:jc w:val="both"/>
        <w:rPr>
          <w:b w:val="0"/>
          <w:bCs w:val="0"/>
          <w:sz w:val="22"/>
          <w:szCs w:val="22"/>
          <w:lang w:val="en-US"/>
        </w:rPr>
      </w:pPr>
    </w:p>
    <w:p w14:paraId="13FE97AA" w14:textId="3C5CE145" w:rsidR="00E40F96" w:rsidRDefault="00E40F96" w:rsidP="00BF46C5">
      <w:pPr>
        <w:pStyle w:val="BlockText"/>
        <w:spacing w:line="480" w:lineRule="auto"/>
        <w:ind w:left="0" w:right="0"/>
        <w:jc w:val="both"/>
        <w:rPr>
          <w:bCs w:val="0"/>
          <w:sz w:val="22"/>
          <w:szCs w:val="22"/>
          <w:lang w:val="en-US"/>
        </w:rPr>
      </w:pPr>
      <w:r w:rsidRPr="00E2291C">
        <w:rPr>
          <w:bCs w:val="0"/>
          <w:sz w:val="22"/>
          <w:szCs w:val="22"/>
          <w:lang w:val="en-US"/>
        </w:rPr>
        <w:t>Discussion</w:t>
      </w:r>
    </w:p>
    <w:p w14:paraId="71E70B73" w14:textId="121B56CC" w:rsidR="005D0668" w:rsidRPr="008012CB" w:rsidRDefault="005D0668" w:rsidP="005C38A9">
      <w:pPr>
        <w:pStyle w:val="BodyText"/>
        <w:spacing w:line="480" w:lineRule="auto"/>
        <w:ind w:firstLine="720"/>
        <w:jc w:val="both"/>
        <w:rPr>
          <w:rFonts w:ascii="Arial" w:hAnsi="Arial"/>
          <w:sz w:val="22"/>
          <w:szCs w:val="22"/>
          <w:lang w:val="en-US"/>
        </w:rPr>
      </w:pPr>
      <w:r w:rsidRPr="008012CB">
        <w:rPr>
          <w:rFonts w:ascii="Arial" w:hAnsi="Arial"/>
          <w:sz w:val="22"/>
          <w:szCs w:val="22"/>
          <w:lang w:val="en-US"/>
        </w:rPr>
        <w:t xml:space="preserve">Previous evidence demonstrated a high correlation between the levels of </w:t>
      </w:r>
      <w:r w:rsidR="0063301A" w:rsidRPr="008012CB">
        <w:rPr>
          <w:rFonts w:ascii="Arial" w:hAnsi="Arial"/>
          <w:sz w:val="22"/>
          <w:szCs w:val="22"/>
          <w:lang w:val="en-US"/>
        </w:rPr>
        <w:t>homocysteine</w:t>
      </w:r>
      <w:r w:rsidRPr="008012CB">
        <w:rPr>
          <w:rFonts w:ascii="Arial" w:hAnsi="Arial"/>
          <w:sz w:val="22"/>
          <w:szCs w:val="22"/>
          <w:lang w:val="en-US"/>
        </w:rPr>
        <w:t xml:space="preserve"> and folates in follicular fluid and serum </w:t>
      </w:r>
      <w:r w:rsidR="0063301A" w:rsidRPr="008012CB">
        <w:rPr>
          <w:rFonts w:ascii="Arial" w:hAnsi="Arial"/>
          <w:sz w:val="22"/>
          <w:szCs w:val="22"/>
          <w:lang w:val="en-US"/>
        </w:rPr>
        <w:t>indicating</w:t>
      </w:r>
      <w:r w:rsidRPr="008012CB">
        <w:rPr>
          <w:rFonts w:ascii="Arial" w:hAnsi="Arial"/>
          <w:sz w:val="22"/>
          <w:szCs w:val="22"/>
          <w:lang w:val="en-US"/>
        </w:rPr>
        <w:t xml:space="preserve"> that the growing oocyte and the embryos are exposed to changes in these </w:t>
      </w:r>
      <w:r w:rsidR="0034756A" w:rsidRPr="008012CB">
        <w:rPr>
          <w:rFonts w:ascii="Arial" w:hAnsi="Arial"/>
          <w:sz w:val="22"/>
          <w:szCs w:val="22"/>
          <w:lang w:val="en-US"/>
        </w:rPr>
        <w:t>metabolites</w:t>
      </w:r>
      <w:r w:rsidR="005C38A9">
        <w:rPr>
          <w:rFonts w:ascii="Arial" w:hAnsi="Arial"/>
          <w:sz w:val="22"/>
          <w:szCs w:val="22"/>
          <w:lang w:val="en-US"/>
        </w:rPr>
        <w:t xml:space="preserve"> </w:t>
      </w:r>
      <w:r w:rsidR="005C38A9">
        <w:rPr>
          <w:rFonts w:ascii="Arial" w:hAnsi="Arial"/>
          <w:sz w:val="22"/>
          <w:szCs w:val="22"/>
          <w:lang w:val="en-US"/>
        </w:rPr>
        <w:fldChar w:fldCharType="begin" w:fldLock="1"/>
      </w:r>
      <w:r w:rsidR="005C38A9">
        <w:rPr>
          <w:rFonts w:ascii="Arial" w:hAnsi="Arial"/>
          <w:sz w:val="22"/>
          <w:szCs w:val="22"/>
          <w:lang w:val="en-US"/>
        </w:rPr>
        <w:instrText>ADDIN CSL_CITATION {"citationItems":[{"id":"ITEM-1","itemData":{"DOI":"10.1016/s0015-0282(16)56401-2","ISSN":"0015-0282","PMID":"8243678","abstract":"OBJECTIVE To study the presence of homocysteine, methionine and the vitamins folate, B12, and B6 in human ovarian follicular fluid (FF). DESIGN Measurement of homocysteine, methionine, folate, and vitamins B12 and B6 in ovarian FF and blood. SETTING Academic Department of Obstetrics and Gynecology at St. Radboud Hospital, Nijmegen, The Netherlands. PARTICIPANTS Fourteen healthy women undergoing an IVF program. RESULTS Detectable amounts of homocysteine and methionine were found in FF. Homocysteine concentrations were similar to those in serum. Methionine concentrations proved to be slightly but significantly lower than in corresponding serum samples. Concentrations of vitamins B12 and B6 were significantly lower in FF than in serum, whereas folate concentrations were not significantly different. A statistically significant correlation between corresponding serum and FF concentrations of homocysteine, folate, and vitamin B12 could be established. CONCLUSIONS These data support the hypothesis that the ovum might be exposed to high homocysteine or low methionine concentrations, or both, and a lack of vitamins, which might be important in fertilization and early embryogenesis.","author":[{"dropping-particle":"","family":"Steegers-Theunissen","given":"R P","non-dropping-particle":"","parse-names":false,"suffix":""},{"dropping-particle":"","family":"Steegers","given":"E A","non-dropping-particle":"","parse-names":false,"suffix":""},{"dropping-particle":"","family":"Thomas","given":"C M","non-dropping-particle":"","parse-names":false,"suffix":""},{"dropping-particle":"","family":"Hollanders","given":"H M","non-dropping-particle":"","parse-names":false,"suffix":""},{"dropping-particle":"","family":"Peereboom-Stegeman","given":"J H","non-dropping-particle":"","parse-names":false,"suffix":""},{"dropping-particle":"","family":"Trijbels","given":"F J","non-dropping-particle":"","parse-names":false,"suffix":""},{"dropping-particle":"","family":"Eskes","given":"T K","non-dropping-particle":"","parse-names":false,"suffix":""}],"container-title":"Fertility and sterility","id":"ITEM-1","issue":"6","issued":{"date-parts":[["1993","12"]]},"page":"1006-10","title":"Study on the presence of homocysteine in ovarian follicular fluid.","type":"article-journal","volume":"60"},"uris":["http://www.mendeley.com/documents/?uuid=01075a72-21a9-3498-9336-2137d8635c41"]}],"mendeley":{"formattedCitation":"[23]","plainTextFormattedCitation":"[23]","previouslyFormattedCitation":"[22]"},"properties":{"noteIndex":0},"schema":"https://github.com/citation-style-language/schema/raw/master/csl-citation.json"}</w:instrText>
      </w:r>
      <w:r w:rsidR="005C38A9">
        <w:rPr>
          <w:rFonts w:ascii="Arial" w:hAnsi="Arial"/>
          <w:sz w:val="22"/>
          <w:szCs w:val="22"/>
          <w:lang w:val="en-US"/>
        </w:rPr>
        <w:fldChar w:fldCharType="separate"/>
      </w:r>
      <w:r w:rsidR="005C38A9" w:rsidRPr="000D39D8">
        <w:rPr>
          <w:rFonts w:ascii="Arial" w:hAnsi="Arial"/>
          <w:noProof/>
          <w:sz w:val="22"/>
          <w:szCs w:val="22"/>
          <w:lang w:val="en-US"/>
        </w:rPr>
        <w:t>[23]</w:t>
      </w:r>
      <w:r w:rsidR="005C38A9">
        <w:rPr>
          <w:rFonts w:ascii="Arial" w:hAnsi="Arial"/>
          <w:sz w:val="22"/>
          <w:szCs w:val="22"/>
          <w:lang w:val="en-US"/>
        </w:rPr>
        <w:fldChar w:fldCharType="end"/>
      </w:r>
      <w:r w:rsidRPr="008012CB">
        <w:rPr>
          <w:rFonts w:ascii="Arial" w:hAnsi="Arial"/>
          <w:sz w:val="22"/>
          <w:szCs w:val="22"/>
          <w:lang w:val="en-US"/>
        </w:rPr>
        <w:t>. The goal of this paper was to study the level of these metabolites and the prevalence of different polymorphism of MTHFR in patients undergoing IVF cycles. In particular, because women undergoing assisted reproduction treatments are subjected to different protocols for hormonal stimulation that may cause changes in the concentration of these metabolites.</w:t>
      </w:r>
    </w:p>
    <w:p w14:paraId="47AF2F37" w14:textId="4C221ACE" w:rsidR="005D0668" w:rsidRPr="008012CB" w:rsidRDefault="005D0668" w:rsidP="005C38A9">
      <w:pPr>
        <w:spacing w:after="0" w:line="480" w:lineRule="auto"/>
        <w:ind w:firstLine="720"/>
        <w:jc w:val="both"/>
        <w:rPr>
          <w:rFonts w:ascii="Arial" w:hAnsi="Arial"/>
          <w:lang w:val="en-US"/>
        </w:rPr>
      </w:pPr>
      <w:r w:rsidRPr="008012CB">
        <w:rPr>
          <w:rFonts w:ascii="Arial" w:hAnsi="Arial"/>
          <w:lang w:val="en-US"/>
        </w:rPr>
        <w:t xml:space="preserve">Previous studies have shown that homocysteine levels higher that 18 µmoles/L were associated with </w:t>
      </w:r>
      <w:r w:rsidR="0063301A" w:rsidRPr="008012CB">
        <w:rPr>
          <w:rFonts w:ascii="Arial" w:hAnsi="Arial"/>
          <w:lang w:val="en-US"/>
        </w:rPr>
        <w:t>increased</w:t>
      </w:r>
      <w:r w:rsidRPr="008012CB">
        <w:rPr>
          <w:rFonts w:ascii="Arial" w:hAnsi="Arial"/>
          <w:lang w:val="en-US"/>
        </w:rPr>
        <w:t xml:space="preserve"> frequency of recurrent miscarriage </w:t>
      </w:r>
      <w:r w:rsidR="002F5748">
        <w:rPr>
          <w:rFonts w:ascii="Arial" w:hAnsi="Arial"/>
          <w:lang w:val="en-US"/>
        </w:rPr>
        <w:fldChar w:fldCharType="begin" w:fldLock="1"/>
      </w:r>
      <w:r w:rsidR="000D39D8">
        <w:rPr>
          <w:rFonts w:ascii="Arial" w:hAnsi="Arial"/>
          <w:lang w:val="en-US"/>
        </w:rPr>
        <w:instrText>ADDIN CSL_CITATION {"citationItems":[{"id":"ITEM-1","itemData":{"ISSN":"0017-0011","PMID":"14674150","abstract":"OBJECTIVES There are some data concerning homocysteine influence on fertilization and early embryogenesis, especially in women experiencing recurrent pregnancy loss (RSA). However, limited data support hypothesis that the ovum might be exposed to high homocysteine concentration what may be important in egg-sperm interactions, for example during in vitro-fertilization (IVF) cycle. DESIGN Therefore, the aim of our study was to determine fasting total homocysteine concentration in follicular fluid or serum of women experiencing reproductive failure after spontaneous or in-vitro fertilization. MATERIALS AND METHODS Eight nonpregnant RSA women, 8 normal healthy women with previous successful pregnancy outcome and 15 women undergoing IVF (6 with unexplained infertility-UI, 6 with male factor-MF, 3 with tubal obstruction-TO). Total fasting homocysteine level concentrations were established by ELISA method (Axis Homocysteine EIA, Axis-Shield AS) in serum of RSA and normal healthy women or ovarian follicular fluid of women undergoing IVF. RESULTS Mean fasting total homocysteine concentration in study group were as follows: RSA-18.63 mumol/L +/- 6.67, Normal-13.98 mumol/L +/- 6.62, UI-20.62 mumol/L +/- 8.19, MF-22.60 mumol/L +/- 7.87, TO-36.75 mumol/L +/- 13.26. We found that RSA women have had significantly higher serum homocysteine concentration when compared to normal healthy women (P &lt; 0.05). Among women undergoing IVF, those with following IVF success had not significantly lower homocysteine level when compared to those with IVF failure (22.81 mumol/L +/- 11.27 vs. 24.54 mumol/L +/- 9.50, P &gt; 0.05). CONCLUSIONS Our preliminary data suggest that high homocysteine level may negatively influence pregnancy outcome following natural or in-vitro fertilization. It cannot be excluded that elevated homocysteine concentrations contribute to defective chorionic villous vascularization during early stages of gestation.","author":[{"dropping-particle":"","family":"Jerzak","given":"Małgorzata","non-dropping-particle":"","parse-names":false,"suffix":""},{"dropping-particle":"","family":"Putowski","given":"Lechosław","non-dropping-particle":"","parse-names":false,"suffix":""},{"dropping-particle":"","family":"Baranowski","given":"Włodzimierz","non-dropping-particle":"","parse-names":false,"suffix":""}],"container-title":"Ginekologia polska","id":"ITEM-1","issue":"9","issued":{"date-parts":[["2003","9"]]},"page":"949-52","title":"[Homocysteine level in ovarian follicular fluid or serum as a predictor of successful fertilization].","type":"article-journal","volume":"74"},"uris":["http://www.mendeley.com/documents/?uuid=8d4d922d-7275-3726-82fa-87c1cf49062c"]}],"mendeley":{"formattedCitation":"[24]","plainTextFormattedCitation":"[24]","previouslyFormattedCitation":"[23]"},"properties":{"noteIndex":0},"schema":"https://github.com/citation-style-language/schema/raw/master/csl-citation.json"}</w:instrText>
      </w:r>
      <w:r w:rsidR="002F5748">
        <w:rPr>
          <w:rFonts w:ascii="Arial" w:hAnsi="Arial"/>
          <w:lang w:val="en-US"/>
        </w:rPr>
        <w:fldChar w:fldCharType="separate"/>
      </w:r>
      <w:r w:rsidR="000D39D8" w:rsidRPr="000D39D8">
        <w:rPr>
          <w:rFonts w:ascii="Arial" w:hAnsi="Arial"/>
          <w:noProof/>
          <w:lang w:val="en-US"/>
        </w:rPr>
        <w:t>[24]</w:t>
      </w:r>
      <w:r w:rsidR="002F5748">
        <w:rPr>
          <w:rFonts w:ascii="Arial" w:hAnsi="Arial"/>
          <w:lang w:val="en-US"/>
        </w:rPr>
        <w:fldChar w:fldCharType="end"/>
      </w:r>
      <w:r w:rsidRPr="008012CB">
        <w:rPr>
          <w:rFonts w:ascii="Arial" w:hAnsi="Arial"/>
          <w:lang w:val="en-US"/>
        </w:rPr>
        <w:t xml:space="preserve">. </w:t>
      </w:r>
      <w:r w:rsidR="005C38A9">
        <w:rPr>
          <w:rFonts w:ascii="Arial" w:hAnsi="Arial"/>
          <w:lang w:val="en-US"/>
        </w:rPr>
        <w:t>S</w:t>
      </w:r>
      <w:r w:rsidR="005C38A9" w:rsidRPr="008012CB">
        <w:rPr>
          <w:rFonts w:ascii="Arial" w:hAnsi="Arial"/>
          <w:lang w:val="en-US"/>
        </w:rPr>
        <w:t>upporting these observations</w:t>
      </w:r>
      <w:r w:rsidR="005C38A9">
        <w:rPr>
          <w:rFonts w:ascii="Arial" w:hAnsi="Arial"/>
          <w:lang w:val="en-US"/>
        </w:rPr>
        <w:t>,</w:t>
      </w:r>
      <w:r w:rsidR="005C38A9" w:rsidRPr="008012CB">
        <w:rPr>
          <w:rFonts w:ascii="Arial" w:hAnsi="Arial"/>
          <w:lang w:val="en-US"/>
        </w:rPr>
        <w:t xml:space="preserve"> </w:t>
      </w:r>
      <w:r w:rsidR="005C38A9">
        <w:rPr>
          <w:rFonts w:ascii="Arial" w:hAnsi="Arial"/>
          <w:lang w:val="en-US"/>
        </w:rPr>
        <w:t>i</w:t>
      </w:r>
      <w:r w:rsidRPr="008012CB">
        <w:rPr>
          <w:rFonts w:ascii="Arial" w:hAnsi="Arial"/>
          <w:lang w:val="en-US"/>
        </w:rPr>
        <w:t xml:space="preserve">n our study none of our patients possessed homocysteine levels higher </w:t>
      </w:r>
      <w:r w:rsidR="0063301A" w:rsidRPr="008012CB">
        <w:rPr>
          <w:rFonts w:ascii="Arial" w:hAnsi="Arial"/>
          <w:lang w:val="en-US"/>
        </w:rPr>
        <w:t>than</w:t>
      </w:r>
      <w:r w:rsidRPr="008012CB">
        <w:rPr>
          <w:rFonts w:ascii="Arial" w:hAnsi="Arial"/>
          <w:lang w:val="en-US"/>
        </w:rPr>
        <w:t xml:space="preserve"> 10.3 µmoles/L and did not present recurrent miscarriages. In addition, our results also found </w:t>
      </w:r>
      <w:r w:rsidRPr="008012CB">
        <w:rPr>
          <w:rFonts w:ascii="Arial" w:hAnsi="Arial"/>
          <w:lang w:val="en-US"/>
        </w:rPr>
        <w:lastRenderedPageBreak/>
        <w:t xml:space="preserve">no differences between patients that achieved </w:t>
      </w:r>
      <w:r w:rsidR="0063301A" w:rsidRPr="008012CB">
        <w:rPr>
          <w:rFonts w:ascii="Arial" w:hAnsi="Arial"/>
          <w:lang w:val="en-US"/>
        </w:rPr>
        <w:t>pregnancy</w:t>
      </w:r>
      <w:r w:rsidRPr="008012CB">
        <w:rPr>
          <w:rFonts w:ascii="Arial" w:hAnsi="Arial"/>
          <w:lang w:val="en-US"/>
        </w:rPr>
        <w:t xml:space="preserve"> compare to those who did not. The overall levels of homocysteine reported by </w:t>
      </w:r>
      <w:proofErr w:type="spellStart"/>
      <w:r w:rsidRPr="002F5748">
        <w:rPr>
          <w:rFonts w:ascii="Arial" w:hAnsi="Arial"/>
          <w:lang w:val="en-US"/>
        </w:rPr>
        <w:t>Jerzak</w:t>
      </w:r>
      <w:proofErr w:type="spellEnd"/>
      <w:r w:rsidRPr="008012CB">
        <w:rPr>
          <w:rFonts w:ascii="Arial" w:hAnsi="Arial"/>
          <w:lang w:val="en-US"/>
        </w:rPr>
        <w:t xml:space="preserve"> </w:t>
      </w:r>
      <w:r w:rsidR="002F5748">
        <w:rPr>
          <w:rFonts w:ascii="Arial" w:hAnsi="Arial"/>
          <w:lang w:val="en-US"/>
        </w:rPr>
        <w:t xml:space="preserve">and coworkers </w:t>
      </w:r>
      <w:r w:rsidR="002F5748">
        <w:rPr>
          <w:rFonts w:ascii="Arial" w:hAnsi="Arial"/>
          <w:lang w:val="en-US"/>
        </w:rPr>
        <w:fldChar w:fldCharType="begin" w:fldLock="1"/>
      </w:r>
      <w:r w:rsidR="000D39D8">
        <w:rPr>
          <w:rFonts w:ascii="Arial" w:hAnsi="Arial"/>
          <w:lang w:val="en-US"/>
        </w:rPr>
        <w:instrText>ADDIN CSL_CITATION {"citationItems":[{"id":"ITEM-1","itemData":{"ISSN":"0017-0011","PMID":"14674150","abstract":"OBJECTIVES There are some data concerning homocysteine influence on fertilization and early embryogenesis, especially in women experiencing recurrent pregnancy loss (RSA). However, limited data support hypothesis that the ovum might be exposed to high homocysteine concentration what may be important in egg-sperm interactions, for example during in vitro-fertilization (IVF) cycle. DESIGN Therefore, the aim of our study was to determine fasting total homocysteine concentration in follicular fluid or serum of women experiencing reproductive failure after spontaneous or in-vitro fertilization. MATERIALS AND METHODS Eight nonpregnant RSA women, 8 normal healthy women with previous successful pregnancy outcome and 15 women undergoing IVF (6 with unexplained infertility-UI, 6 with male factor-MF, 3 with tubal obstruction-TO). Total fasting homocysteine level concentrations were established by ELISA method (Axis Homocysteine EIA, Axis-Shield AS) in serum of RSA and normal healthy women or ovarian follicular fluid of women undergoing IVF. RESULTS Mean fasting total homocysteine concentration in study group were as follows: RSA-18.63 mumol/L +/- 6.67, Normal-13.98 mumol/L +/- 6.62, UI-20.62 mumol/L +/- 8.19, MF-22.60 mumol/L +/- 7.87, TO-36.75 mumol/L +/- 13.26. We found that RSA women have had significantly higher serum homocysteine concentration when compared to normal healthy women (P &lt; 0.05). Among women undergoing IVF, those with following IVF success had not significantly lower homocysteine level when compared to those with IVF failure (22.81 mumol/L +/- 11.27 vs. 24.54 mumol/L +/- 9.50, P &gt; 0.05). CONCLUSIONS Our preliminary data suggest that high homocysteine level may negatively influence pregnancy outcome following natural or in-vitro fertilization. It cannot be excluded that elevated homocysteine concentrations contribute to defective chorionic villous vascularization during early stages of gestation.","author":[{"dropping-particle":"","family":"Jerzak","given":"Małgorzata","non-dropping-particle":"","parse-names":false,"suffix":""},{"dropping-particle":"","family":"Putowski","given":"Lechosław","non-dropping-particle":"","parse-names":false,"suffix":""},{"dropping-particle":"","family":"Baranowski","given":"Włodzimierz","non-dropping-particle":"","parse-names":false,"suffix":""}],"container-title":"Ginekologia polska","id":"ITEM-1","issue":"9","issued":{"date-parts":[["2003","9"]]},"page":"949-52","title":"[Homocysteine level in ovarian follicular fluid or serum as a predictor of successful fertilization].","type":"article-journal","volume":"74"},"uris":["http://www.mendeley.com/documents/?uuid=8d4d922d-7275-3726-82fa-87c1cf49062c"]}],"mendeley":{"formattedCitation":"[24]","plainTextFormattedCitation":"[24]","previouslyFormattedCitation":"[23]"},"properties":{"noteIndex":0},"schema":"https://github.com/citation-style-language/schema/raw/master/csl-citation.json"}</w:instrText>
      </w:r>
      <w:r w:rsidR="002F5748">
        <w:rPr>
          <w:rFonts w:ascii="Arial" w:hAnsi="Arial"/>
          <w:lang w:val="en-US"/>
        </w:rPr>
        <w:fldChar w:fldCharType="separate"/>
      </w:r>
      <w:r w:rsidR="000D39D8" w:rsidRPr="000D39D8">
        <w:rPr>
          <w:rFonts w:ascii="Arial" w:hAnsi="Arial"/>
          <w:noProof/>
          <w:lang w:val="en-US"/>
        </w:rPr>
        <w:t>[24]</w:t>
      </w:r>
      <w:r w:rsidR="002F5748">
        <w:rPr>
          <w:rFonts w:ascii="Arial" w:hAnsi="Arial"/>
          <w:lang w:val="en-US"/>
        </w:rPr>
        <w:fldChar w:fldCharType="end"/>
      </w:r>
      <w:r w:rsidR="002F5748">
        <w:rPr>
          <w:rFonts w:ascii="Arial" w:hAnsi="Arial"/>
          <w:lang w:val="en-US"/>
        </w:rPr>
        <w:t xml:space="preserve"> </w:t>
      </w:r>
      <w:r w:rsidRPr="008012CB">
        <w:rPr>
          <w:rFonts w:ascii="Arial" w:hAnsi="Arial"/>
          <w:lang w:val="en-US"/>
        </w:rPr>
        <w:t xml:space="preserve">were significantly higher </w:t>
      </w:r>
      <w:r w:rsidR="0063301A" w:rsidRPr="008012CB">
        <w:rPr>
          <w:rFonts w:ascii="Arial" w:hAnsi="Arial"/>
          <w:lang w:val="en-US"/>
        </w:rPr>
        <w:t>than</w:t>
      </w:r>
      <w:r w:rsidRPr="008012CB">
        <w:rPr>
          <w:rFonts w:ascii="Arial" w:hAnsi="Arial"/>
          <w:lang w:val="en-US"/>
        </w:rPr>
        <w:t xml:space="preserve"> those that we observed in the </w:t>
      </w:r>
      <w:r w:rsidR="0063301A" w:rsidRPr="008012CB">
        <w:rPr>
          <w:rFonts w:ascii="Arial" w:hAnsi="Arial"/>
          <w:lang w:val="en-US"/>
        </w:rPr>
        <w:t>Mexican</w:t>
      </w:r>
      <w:r w:rsidRPr="008012CB">
        <w:rPr>
          <w:rFonts w:ascii="Arial" w:hAnsi="Arial"/>
          <w:lang w:val="en-US"/>
        </w:rPr>
        <w:t xml:space="preserve"> population. This may be cause by the ethnic differences and the diet in the population studie</w:t>
      </w:r>
      <w:r w:rsidR="0063301A">
        <w:rPr>
          <w:rFonts w:ascii="Arial" w:hAnsi="Arial"/>
          <w:lang w:val="en-US"/>
        </w:rPr>
        <w:t>d</w:t>
      </w:r>
      <w:r w:rsidRPr="008012CB">
        <w:rPr>
          <w:rFonts w:ascii="Arial" w:hAnsi="Arial"/>
          <w:lang w:val="en-US"/>
        </w:rPr>
        <w:t xml:space="preserve">. </w:t>
      </w:r>
    </w:p>
    <w:p w14:paraId="26B33550" w14:textId="0438E36A" w:rsidR="005D0668" w:rsidRPr="008012CB" w:rsidRDefault="005D0668" w:rsidP="005C38A9">
      <w:pPr>
        <w:spacing w:after="0" w:line="480" w:lineRule="auto"/>
        <w:ind w:firstLine="720"/>
        <w:jc w:val="both"/>
        <w:rPr>
          <w:rFonts w:ascii="Arial" w:hAnsi="Arial"/>
          <w:lang w:val="en-US"/>
        </w:rPr>
      </w:pPr>
      <w:r w:rsidRPr="008012CB">
        <w:rPr>
          <w:rFonts w:ascii="Arial" w:hAnsi="Arial"/>
          <w:lang w:val="en-US"/>
        </w:rPr>
        <w:t xml:space="preserve">The levels of homocysteine </w:t>
      </w:r>
      <w:r w:rsidR="0063301A" w:rsidRPr="008012CB">
        <w:rPr>
          <w:rFonts w:ascii="Arial" w:hAnsi="Arial"/>
          <w:lang w:val="en-US"/>
        </w:rPr>
        <w:t>displayed</w:t>
      </w:r>
      <w:r w:rsidRPr="008012CB">
        <w:rPr>
          <w:rFonts w:ascii="Arial" w:hAnsi="Arial"/>
          <w:lang w:val="en-US"/>
        </w:rPr>
        <w:t xml:space="preserve"> a decrease after hormonal stimulation where the levels of estradiol are significantly higher. This is in agreement with findings reported by </w:t>
      </w:r>
      <w:proofErr w:type="spellStart"/>
      <w:r w:rsidRPr="008012CB">
        <w:rPr>
          <w:rFonts w:ascii="Arial" w:hAnsi="Arial"/>
          <w:lang w:val="en-US"/>
        </w:rPr>
        <w:t>Wouters</w:t>
      </w:r>
      <w:proofErr w:type="spellEnd"/>
      <w:r w:rsidRPr="008012CB">
        <w:rPr>
          <w:rFonts w:ascii="Arial" w:hAnsi="Arial"/>
          <w:lang w:val="en-US"/>
        </w:rPr>
        <w:t xml:space="preserve"> and </w:t>
      </w:r>
      <w:r w:rsidRPr="002F5748">
        <w:rPr>
          <w:rFonts w:ascii="Arial" w:hAnsi="Arial"/>
          <w:lang w:val="en-US"/>
        </w:rPr>
        <w:t>coworke</w:t>
      </w:r>
      <w:r w:rsidR="00B467F3" w:rsidRPr="002F5748">
        <w:rPr>
          <w:rFonts w:ascii="Arial" w:hAnsi="Arial"/>
          <w:lang w:val="en-US"/>
        </w:rPr>
        <w:t>rs</w:t>
      </w:r>
      <w:r w:rsidR="002F5748">
        <w:rPr>
          <w:rFonts w:ascii="Arial" w:hAnsi="Arial"/>
          <w:lang w:val="en-US"/>
        </w:rPr>
        <w:t xml:space="preserve"> </w:t>
      </w:r>
      <w:r w:rsidR="002F5748">
        <w:rPr>
          <w:rFonts w:ascii="Arial" w:hAnsi="Arial"/>
          <w:lang w:val="en-US"/>
        </w:rPr>
        <w:fldChar w:fldCharType="begin" w:fldLock="1"/>
      </w:r>
      <w:r w:rsidR="000D39D8">
        <w:rPr>
          <w:rFonts w:ascii="Arial" w:hAnsi="Arial"/>
          <w:lang w:val="en-US"/>
        </w:rPr>
        <w:instrText>ADDIN CSL_CITATION {"citationItems":[{"id":"ITEM-1","itemData":{"ISSN":"0014-2972","PMID":"8582443","abstract":"The aim of the study was to measure the concentrations of plasma homocysteine in premenopausal and postmenopausal women, and to examine a possible relationship between plasma homocysteine and oestrogen status. Homocysteine metabolism was studied by a standardized oral methionine loading test, and oestrogen status was assessed by the measurement of serum 17 beta-oestradiol. Forty-six premenopausal and 26 postmenopausal healthy women without a history of vascular disease or adverse pregnancy outcome were recruited by public advertisement. The main outcome measures were the concentrations of fasting and postmethionine plasma homocysteine, and serum 17 beta-oestradiol. Fasting plasma homocysteine concentrations (mean +/- SD) were significantly higher in postmenopausal women as compared to premenopausal women (12 +/- 4 mumol L-1 and 10 +/- 3 mumol L-1, respectively) as well as postmethionine plasma homocysteine concentrations (46 +/- 16 mumol L-1 and 32 +/- 9 mumol L-1, respectively). In premenopausal women, postmethionine plasma homocysteine was negatively and significantly correlated to serum 17 beta-oestradiol (r = -0.34). It is concluded that plasma homocysteine concentrations, both fasting and after methionine loading, are significantly higher in postmenopausal women than in premenopausal women. In premenopausal women, the higher concentrations of serum 17 beta-oestradiol may account in part for the lower concentrations of postmethionine plasma homocysteine.","author":[{"dropping-particle":"","family":"Wouters","given":"M G","non-dropping-particle":"","parse-names":false,"suffix":""},{"dropping-particle":"","family":"Moorrees","given":"M T","non-dropping-particle":"","parse-names":false,"suffix":""},{"dropping-particle":"","family":"Mooren","given":"M J","non-dropping-particle":"van der","parse-names":false,"suffix":""},{"dropping-particle":"","family":"Blom","given":"H J","non-dropping-particle":"","parse-names":false,"suffix":""},{"dropping-particle":"","family":"Boers","given":"G H","non-dropping-particle":"","parse-names":false,"suffix":""},{"dropping-particle":"","family":"Schellekens","given":"L A","non-dropping-particle":"","parse-names":false,"suffix":""},{"dropping-particle":"","family":"Thomas","given":"C M","non-dropping-particle":"","parse-names":false,"suffix":""},{"dropping-particle":"","family":"Eskes","given":"T K","non-dropping-particle":"","parse-names":false,"suffix":""}],"container-title":"European journal of clinical investigation","id":"ITEM-1","issue":"11","issued":{"date-parts":[["1995","11"]]},"page":"801-5","title":"Plasma homocysteine and menopausal status.","type":"article-journal","volume":"25"},"uris":["http://www.mendeley.com/documents/?uuid=fc5ee380-70e7-3aa4-8daa-6c8b98548d9e"]}],"mendeley":{"formattedCitation":"[25]","plainTextFormattedCitation":"[25]","previouslyFormattedCitation":"[24]"},"properties":{"noteIndex":0},"schema":"https://github.com/citation-style-language/schema/raw/master/csl-citation.json"}</w:instrText>
      </w:r>
      <w:r w:rsidR="002F5748">
        <w:rPr>
          <w:rFonts w:ascii="Arial" w:hAnsi="Arial"/>
          <w:lang w:val="en-US"/>
        </w:rPr>
        <w:fldChar w:fldCharType="separate"/>
      </w:r>
      <w:r w:rsidR="000D39D8" w:rsidRPr="000D39D8">
        <w:rPr>
          <w:rFonts w:ascii="Arial" w:hAnsi="Arial"/>
          <w:noProof/>
          <w:lang w:val="en-US"/>
        </w:rPr>
        <w:t>[25]</w:t>
      </w:r>
      <w:r w:rsidR="002F5748">
        <w:rPr>
          <w:rFonts w:ascii="Arial" w:hAnsi="Arial"/>
          <w:lang w:val="en-US"/>
        </w:rPr>
        <w:fldChar w:fldCharType="end"/>
      </w:r>
      <w:r w:rsidRPr="008012CB">
        <w:rPr>
          <w:rFonts w:ascii="Arial" w:hAnsi="Arial"/>
          <w:lang w:val="en-US"/>
        </w:rPr>
        <w:t xml:space="preserve">, who observed a </w:t>
      </w:r>
      <w:r w:rsidR="0063301A" w:rsidRPr="008012CB">
        <w:rPr>
          <w:rFonts w:ascii="Arial" w:hAnsi="Arial"/>
          <w:lang w:val="en-US"/>
        </w:rPr>
        <w:t>significant</w:t>
      </w:r>
      <w:r w:rsidRPr="008012CB">
        <w:rPr>
          <w:rFonts w:ascii="Arial" w:hAnsi="Arial"/>
          <w:lang w:val="en-US"/>
        </w:rPr>
        <w:t xml:space="preserve"> decrease in the levels of homocysteine in a group of women undergoing menopause that used hormone replacement therapy. Other reports did not find significant relations between the levels of homocysteine and estradiol </w:t>
      </w:r>
      <w:r w:rsidR="002F5748">
        <w:rPr>
          <w:rFonts w:ascii="Arial" w:hAnsi="Arial"/>
          <w:lang w:val="en-US"/>
        </w:rPr>
        <w:fldChar w:fldCharType="begin" w:fldLock="1"/>
      </w:r>
      <w:r w:rsidR="000D39D8">
        <w:rPr>
          <w:rFonts w:ascii="Arial" w:hAnsi="Arial"/>
          <w:lang w:val="en-US"/>
        </w:rPr>
        <w:instrText>ADDIN CSL_CITATION {"citationItems":[{"id":"ITEM-1","itemData":{"ISSN":"1297-9589","PMID":"11910880","abstract":"OBJECTIVE To determine the homocysteine evolution during ovarian stimulation in IVF or ICSI protocols and in, a second time, to evaluate the role of hyperhomocysteine as thrombotic risk factor for the treated patients. MATERIAL AND METHODS Plasma homocysteine was determined three times for each of 31 women included in an IVF/ICSI program. Dosages were realised before stimulation, after gonadotrophin-releasing hormone agonist treatment (GnRH) and on the day of hCG injection. Vitamin B12 and folates were determined before stimulation. In case of hyperhomocysteinemia, a research of APCR (Activated Protein C Resistance) was realised. RESULTS Five hyperhomocysteinemia cases were discovered (16.12% of studied population). APCR was found in a patient with hyperhomocysteinemia (14 mumol/L, before stimulation). Molecular biology has confirmed an heterozygous mutation of factor V Leiden. During the ovarian stimulation the evolution of homocysteine was independent of the 17 beta oestradiol evolution. CONCLUSION The prevalence of hyperhomocysteinemia was not significative according to the limited size of the studied population. The increase of oestradiol during induction protocols is unrelated to the homocysteine level. This work must be continued with largest population to have better knowledge of the prevalence of hyperhomocysteinemia among women included in ovarian stimulation protocols.","author":[{"dropping-particle":"","family":"Bettahar-Lebugle","given":"K","non-dropping-particle":"","parse-names":false,"suffix":""},{"dropping-particle":"","family":"Feugeas","given":"O","non-dropping-particle":"","parse-names":false,"suffix":""},{"dropping-particle":"","family":"Wittemer","given":"C","non-dropping-particle":"","parse-names":false,"suffix":""},{"dropping-particle":"","family":"Ohl","given":"J","non-dropping-particle":"","parse-names":false,"suffix":""},{"dropping-particle":"","family":"Rongières","given":"C","non-dropping-particle":"","parse-names":false,"suffix":""},{"dropping-particle":"","family":"Nisand","given":"I","non-dropping-particle":"","parse-names":false,"suffix":""}],"container-title":"Gynecologie, obstetrique &amp; fertilite","id":"ITEM-1","issue":"2","issued":{"date-parts":[["2002","2"]]},"page":"121-8","title":"[Evolution of homocysteine during ovarian stimulation for IVF or ICSI].","type":"article-journal","volume":"30"},"uris":["http://www.mendeley.com/documents/?uuid=40d4a6a3-dcb0-3492-ab1e-25382c1d0ab7"]}],"mendeley":{"formattedCitation":"[26]","plainTextFormattedCitation":"[26]","previouslyFormattedCitation":"[25]"},"properties":{"noteIndex":0},"schema":"https://github.com/citation-style-language/schema/raw/master/csl-citation.json"}</w:instrText>
      </w:r>
      <w:r w:rsidR="002F5748">
        <w:rPr>
          <w:rFonts w:ascii="Arial" w:hAnsi="Arial"/>
          <w:lang w:val="en-US"/>
        </w:rPr>
        <w:fldChar w:fldCharType="separate"/>
      </w:r>
      <w:r w:rsidR="000D39D8" w:rsidRPr="000D39D8">
        <w:rPr>
          <w:rFonts w:ascii="Arial" w:hAnsi="Arial"/>
          <w:noProof/>
          <w:lang w:val="en-US"/>
        </w:rPr>
        <w:t>[26]</w:t>
      </w:r>
      <w:r w:rsidR="002F5748">
        <w:rPr>
          <w:rFonts w:ascii="Arial" w:hAnsi="Arial"/>
          <w:lang w:val="en-US"/>
        </w:rPr>
        <w:fldChar w:fldCharType="end"/>
      </w:r>
      <w:r w:rsidRPr="008012CB">
        <w:rPr>
          <w:rFonts w:ascii="Arial" w:hAnsi="Arial"/>
          <w:lang w:val="en-US"/>
        </w:rPr>
        <w:t xml:space="preserve">. However, </w:t>
      </w:r>
      <w:r w:rsidR="0063301A" w:rsidRPr="008012CB">
        <w:rPr>
          <w:rFonts w:ascii="Arial" w:hAnsi="Arial"/>
          <w:lang w:val="en-US"/>
        </w:rPr>
        <w:t>these observations</w:t>
      </w:r>
      <w:r w:rsidRPr="008012CB">
        <w:rPr>
          <w:rFonts w:ascii="Arial" w:hAnsi="Arial"/>
          <w:lang w:val="en-US"/>
        </w:rPr>
        <w:t xml:space="preserve"> may be altered by the small number of patients involved in those studies.</w:t>
      </w:r>
    </w:p>
    <w:p w14:paraId="4410F9DB" w14:textId="19D5DC8F" w:rsidR="005D0668" w:rsidRPr="008012CB" w:rsidRDefault="005D0668" w:rsidP="005C38A9">
      <w:pPr>
        <w:spacing w:after="0" w:line="480" w:lineRule="auto"/>
        <w:ind w:firstLine="720"/>
        <w:jc w:val="both"/>
        <w:rPr>
          <w:rFonts w:ascii="Arial" w:hAnsi="Arial"/>
          <w:lang w:val="en-US"/>
        </w:rPr>
      </w:pPr>
      <w:r w:rsidRPr="008012CB">
        <w:rPr>
          <w:rFonts w:ascii="Arial" w:hAnsi="Arial"/>
          <w:lang w:val="en-US"/>
        </w:rPr>
        <w:t xml:space="preserve">In this study, we did not find </w:t>
      </w:r>
      <w:r w:rsidR="0063301A" w:rsidRPr="008012CB">
        <w:rPr>
          <w:rFonts w:ascii="Arial" w:hAnsi="Arial"/>
          <w:lang w:val="en-US"/>
        </w:rPr>
        <w:t>significant</w:t>
      </w:r>
      <w:r w:rsidRPr="008012CB">
        <w:rPr>
          <w:rFonts w:ascii="Arial" w:hAnsi="Arial"/>
          <w:lang w:val="en-US"/>
        </w:rPr>
        <w:t xml:space="preserve"> differen</w:t>
      </w:r>
      <w:r w:rsidR="0063301A">
        <w:rPr>
          <w:rFonts w:ascii="Arial" w:hAnsi="Arial"/>
          <w:lang w:val="en-US"/>
        </w:rPr>
        <w:t>ces</w:t>
      </w:r>
      <w:r w:rsidRPr="008012CB">
        <w:rPr>
          <w:rFonts w:ascii="Arial" w:hAnsi="Arial"/>
          <w:lang w:val="en-US"/>
        </w:rPr>
        <w:t xml:space="preserve"> in the folate concentration either before and after hormonal stimulation or, between pregnant and non-pregnant women. </w:t>
      </w:r>
      <w:proofErr w:type="spellStart"/>
      <w:r w:rsidRPr="008012CB">
        <w:rPr>
          <w:rFonts w:ascii="Arial" w:hAnsi="Arial"/>
          <w:lang w:val="en-US"/>
        </w:rPr>
        <w:t>Nelens</w:t>
      </w:r>
      <w:proofErr w:type="spellEnd"/>
      <w:r w:rsidRPr="008012CB">
        <w:rPr>
          <w:rFonts w:ascii="Arial" w:hAnsi="Arial"/>
          <w:lang w:val="en-US"/>
        </w:rPr>
        <w:t xml:space="preserve"> and coworkers </w:t>
      </w:r>
      <w:r w:rsidR="002F5748">
        <w:rPr>
          <w:rFonts w:ascii="Arial" w:hAnsi="Arial"/>
          <w:lang w:val="en-US"/>
        </w:rPr>
        <w:fldChar w:fldCharType="begin" w:fldLock="1"/>
      </w:r>
      <w:r w:rsidR="000D39D8">
        <w:rPr>
          <w:rFonts w:ascii="Arial" w:hAnsi="Arial"/>
          <w:lang w:val="en-US"/>
        </w:rPr>
        <w:instrText>ADDIN CSL_CITATION {"citationItems":[{"id":"ITEM-1","itemData":{"DOI":"10.1016/s0029-7844(99)00610-9","ISSN":"0029-7844","PMID":"10725483","abstract":"OBJECTIVE To estimate the relative risk of recurrent early pregnancy loss for different total plasma homocysteine and serum folate concentrations. METHODS In a case-control study, we measured homocysteine (fasting and afterload), folate (serum and red cells), pyridoxal 5'-phosphate, and cobalamin concentrations in 123 women who had at least two consecutive spontaneous early pregnancy losses each and compared concentrations with those of 104 healthy controls. RESULTS Women with recurrent early pregnancy losses had significantly lower serum folate concentrations than controls, whereas the other measurements were similar to those of controls. Elevated homocysteine, fasting greater than 18.3 micromol/L and afterload greater than 61.5 micromol/L, was a risk factor for recurrent early pregnancy loss, with odds ratios (ORs) and 95% confidence intervals (95% CIs) of 3.6 (1.2, 12.7) and 2.7 (0.9, 8.8) in the group with recurrent miscarriages: 6.4 (1.9, 24.3) and 4.3 (1. 2, 17.3) in primary aborters, and 4.2 (1.3, 15.4) and 3.4 (1.0, 12. 8) in those with three or more miscarriages. The ORs (95% CIs) in the same study populations for serum folate concentrations less than 8.4 nmol/L were 2.1 (0.9, 4.8), 2.7 (1.0, 7.8), and 3.2 (1.3, 8.1), respectively. A significant dose-response relationship between serum folate concentrations and risk of recurrent early pregnancy loss suggested a protective effect by high serum folate concentrations. CONCLUSION Elevated homocysteine and reduced serum folate concentrations were risk factors for recurrent spontaneous early pregnancy losses. Folic acid supplementation might be beneficial in women with histories of early pregnancy loss.","author":[{"dropping-particle":"","family":"Nelen","given":"W L","non-dropping-particle":"","parse-names":false,"suffix":""},{"dropping-particle":"","family":"Blom","given":"H J","non-dropping-particle":"","parse-names":false,"suffix":""},{"dropping-particle":"","family":"Steegers","given":"E A","non-dropping-particle":"","parse-names":false,"suffix":""},{"dropping-particle":"","family":"Heijer","given":"M","non-dropping-particle":"den","parse-names":false,"suffix":""},{"dropping-particle":"","family":"Thomas","given":"C M","non-dropping-particle":"","parse-names":false,"suffix":""},{"dropping-particle":"","family":"Eskes","given":"T K","non-dropping-particle":"","parse-names":false,"suffix":""}],"container-title":"Obstetrics and gynecology","id":"ITEM-1","issue":"4","issued":{"date-parts":[["2000","4"]]},"page":"519-24","title":"Homocysteine and folate levels as risk factors for recurrent early pregnancy loss.","type":"article-journal","volume":"95"},"uris":["http://www.mendeley.com/documents/?uuid=2e5efee1-cba5-3d26-a39b-55e7423ec75a"]}],"mendeley":{"formattedCitation":"[10]","plainTextFormattedCitation":"[10]","previouslyFormattedCitation":"[9]"},"properties":{"noteIndex":0},"schema":"https://github.com/citation-style-language/schema/raw/master/csl-citation.json"}</w:instrText>
      </w:r>
      <w:r w:rsidR="002F5748">
        <w:rPr>
          <w:rFonts w:ascii="Arial" w:hAnsi="Arial"/>
          <w:lang w:val="en-US"/>
        </w:rPr>
        <w:fldChar w:fldCharType="separate"/>
      </w:r>
      <w:r w:rsidR="000D39D8" w:rsidRPr="000D39D8">
        <w:rPr>
          <w:rFonts w:ascii="Arial" w:hAnsi="Arial"/>
          <w:noProof/>
          <w:lang w:val="en-US"/>
        </w:rPr>
        <w:t>[10]</w:t>
      </w:r>
      <w:r w:rsidR="002F5748">
        <w:rPr>
          <w:rFonts w:ascii="Arial" w:hAnsi="Arial"/>
          <w:lang w:val="en-US"/>
        </w:rPr>
        <w:fldChar w:fldCharType="end"/>
      </w:r>
      <w:r w:rsidRPr="008012CB">
        <w:rPr>
          <w:rFonts w:ascii="Arial" w:hAnsi="Arial"/>
          <w:lang w:val="en-US"/>
        </w:rPr>
        <w:t xml:space="preserve"> reported that low levels of folates may be associated with early pregnancy loss. Folic acid is normally used as a supplement by women during pregnancy to reduce the risk of neural tube defects in the baby but there is limited information about changes in this metabolite during IVF cycles. In our study, none of the patients displayed low levels of folates, which is in agreement with the fact that </w:t>
      </w:r>
      <w:r w:rsidR="0063301A" w:rsidRPr="008012CB">
        <w:rPr>
          <w:rFonts w:ascii="Arial" w:hAnsi="Arial"/>
          <w:lang w:val="en-US"/>
        </w:rPr>
        <w:t>Mexican</w:t>
      </w:r>
      <w:r w:rsidRPr="008012CB">
        <w:rPr>
          <w:rFonts w:ascii="Arial" w:hAnsi="Arial"/>
          <w:lang w:val="en-US"/>
        </w:rPr>
        <w:t xml:space="preserve"> women are usually not exposed to deficiency of this vitamin in their diets.</w:t>
      </w:r>
    </w:p>
    <w:p w14:paraId="77A330ED" w14:textId="5F5A0646" w:rsidR="005C38A9" w:rsidRDefault="005D0668" w:rsidP="007004B8">
      <w:pPr>
        <w:spacing w:after="0" w:line="480" w:lineRule="auto"/>
        <w:ind w:firstLine="720"/>
        <w:jc w:val="both"/>
        <w:rPr>
          <w:rFonts w:ascii="Arial" w:hAnsi="Arial" w:cs="Arial"/>
          <w:lang w:val="en-US"/>
        </w:rPr>
      </w:pPr>
      <w:r w:rsidRPr="008012CB">
        <w:rPr>
          <w:rFonts w:ascii="Arial" w:hAnsi="Arial"/>
          <w:lang w:val="en-US"/>
        </w:rPr>
        <w:t xml:space="preserve">Regarding the genetic polymorphisms associated with the </w:t>
      </w:r>
      <w:proofErr w:type="spellStart"/>
      <w:r w:rsidR="00057A5B" w:rsidRPr="00057A5B">
        <w:rPr>
          <w:rFonts w:ascii="Arial" w:hAnsi="Arial" w:cs="Arial"/>
          <w:i/>
          <w:iCs/>
          <w:lang w:val="en-US"/>
        </w:rPr>
        <w:t>mthfr</w:t>
      </w:r>
      <w:proofErr w:type="spellEnd"/>
      <w:r>
        <w:rPr>
          <w:rFonts w:ascii="Arial" w:hAnsi="Arial" w:cs="Arial"/>
          <w:lang w:val="en-US"/>
        </w:rPr>
        <w:t xml:space="preserve"> gene, t</w:t>
      </w:r>
      <w:r w:rsidRPr="008B5463">
        <w:rPr>
          <w:rFonts w:ascii="Arial" w:hAnsi="Arial" w:cs="Arial"/>
          <w:lang w:val="en-US"/>
        </w:rPr>
        <w:t>here is ethnic variability in the frequency of the T allele</w:t>
      </w:r>
      <w:r>
        <w:rPr>
          <w:rFonts w:ascii="Arial" w:hAnsi="Arial" w:cs="Arial"/>
          <w:lang w:val="en-US"/>
        </w:rPr>
        <w:t>.</w:t>
      </w:r>
      <w:r w:rsidRPr="008B5463">
        <w:rPr>
          <w:rFonts w:ascii="Arial" w:hAnsi="Arial" w:cs="Arial"/>
          <w:lang w:val="en-US"/>
        </w:rPr>
        <w:t xml:space="preserve"> Hispanics </w:t>
      </w:r>
      <w:r>
        <w:rPr>
          <w:rFonts w:ascii="Arial" w:hAnsi="Arial" w:cs="Arial"/>
          <w:lang w:val="en-US"/>
        </w:rPr>
        <w:t>tend to have higher</w:t>
      </w:r>
      <w:r w:rsidRPr="008B5463">
        <w:rPr>
          <w:rFonts w:ascii="Arial" w:hAnsi="Arial" w:cs="Arial"/>
          <w:lang w:val="en-US"/>
        </w:rPr>
        <w:t xml:space="preserve"> frequency </w:t>
      </w:r>
      <w:r>
        <w:rPr>
          <w:rFonts w:ascii="Arial" w:hAnsi="Arial" w:cs="Arial"/>
          <w:lang w:val="en-US"/>
        </w:rPr>
        <w:t xml:space="preserve">than </w:t>
      </w:r>
      <w:r w:rsidR="00933E1A">
        <w:rPr>
          <w:rFonts w:ascii="Arial" w:hAnsi="Arial" w:cs="Arial"/>
          <w:lang w:val="en-US"/>
        </w:rPr>
        <w:t>C</w:t>
      </w:r>
      <w:r w:rsidR="00933E1A" w:rsidRPr="008B5463">
        <w:rPr>
          <w:rFonts w:ascii="Arial" w:hAnsi="Arial" w:cs="Arial"/>
          <w:lang w:val="en-US"/>
        </w:rPr>
        <w:t>aucasians</w:t>
      </w:r>
      <w:r w:rsidRPr="008B5463">
        <w:rPr>
          <w:rFonts w:ascii="Arial" w:hAnsi="Arial" w:cs="Arial"/>
          <w:lang w:val="en-US"/>
        </w:rPr>
        <w:t xml:space="preserve"> </w:t>
      </w:r>
      <w:r>
        <w:rPr>
          <w:rFonts w:ascii="Arial" w:hAnsi="Arial" w:cs="Arial"/>
          <w:lang w:val="en-US"/>
        </w:rPr>
        <w:t>or</w:t>
      </w:r>
      <w:r w:rsidRPr="008B5463">
        <w:rPr>
          <w:rFonts w:ascii="Arial" w:hAnsi="Arial" w:cs="Arial"/>
          <w:lang w:val="en-US"/>
        </w:rPr>
        <w:t xml:space="preserve"> </w:t>
      </w:r>
      <w:r w:rsidR="0063301A">
        <w:rPr>
          <w:rFonts w:ascii="Arial" w:hAnsi="Arial" w:cs="Arial"/>
          <w:lang w:val="en-US"/>
        </w:rPr>
        <w:t>A</w:t>
      </w:r>
      <w:r w:rsidR="0063301A" w:rsidRPr="008B5463">
        <w:rPr>
          <w:rFonts w:ascii="Arial" w:hAnsi="Arial" w:cs="Arial"/>
          <w:lang w:val="en-US"/>
        </w:rPr>
        <w:t>fricans</w:t>
      </w:r>
      <w:r>
        <w:rPr>
          <w:rFonts w:ascii="Arial" w:hAnsi="Arial" w:cs="Arial"/>
          <w:lang w:val="en-US"/>
        </w:rPr>
        <w:t xml:space="preserve">. In the </w:t>
      </w:r>
      <w:r w:rsidR="00933E1A">
        <w:rPr>
          <w:rFonts w:ascii="Arial" w:hAnsi="Arial" w:cs="Arial"/>
          <w:lang w:val="en-US"/>
        </w:rPr>
        <w:t>Mexican</w:t>
      </w:r>
      <w:r>
        <w:rPr>
          <w:rFonts w:ascii="Arial" w:hAnsi="Arial" w:cs="Arial"/>
          <w:lang w:val="en-US"/>
        </w:rPr>
        <w:t xml:space="preserve"> population, we observed a very high incidence of the T allele (range 62% - 69.5%) with a particular high prevalence of the T/T homozygous (27.2%). </w:t>
      </w:r>
    </w:p>
    <w:p w14:paraId="4CF9A37F" w14:textId="1FF84067" w:rsidR="007004B8" w:rsidRDefault="007004B8" w:rsidP="007004B8">
      <w:pPr>
        <w:spacing w:after="0" w:line="480" w:lineRule="auto"/>
        <w:jc w:val="both"/>
        <w:rPr>
          <w:rFonts w:ascii="Arial" w:hAnsi="Arial" w:cs="Arial"/>
          <w:lang w:val="en-US"/>
        </w:rPr>
      </w:pPr>
      <w:r>
        <w:rPr>
          <w:rFonts w:ascii="Arial" w:hAnsi="Arial" w:cs="Arial"/>
          <w:lang w:val="en-US"/>
        </w:rPr>
        <w:t>S</w:t>
      </w:r>
      <w:r w:rsidR="005D0668">
        <w:rPr>
          <w:rFonts w:ascii="Arial" w:hAnsi="Arial" w:cs="Arial"/>
          <w:lang w:val="en-US"/>
        </w:rPr>
        <w:t xml:space="preserve">urprisingly, </w:t>
      </w:r>
      <w:r w:rsidR="00933E1A">
        <w:rPr>
          <w:rFonts w:ascii="Arial" w:hAnsi="Arial" w:cs="Arial"/>
          <w:lang w:val="en-US"/>
        </w:rPr>
        <w:t>we found a high incidence of the T/T homozygous in patients that achieve pregnancy</w:t>
      </w:r>
      <w:r w:rsidR="00110B80">
        <w:rPr>
          <w:rFonts w:ascii="Arial" w:hAnsi="Arial" w:cs="Arial"/>
          <w:lang w:val="en-US"/>
        </w:rPr>
        <w:t>.</w:t>
      </w:r>
      <w:r w:rsidR="008A34E5">
        <w:rPr>
          <w:rFonts w:ascii="Arial" w:hAnsi="Arial" w:cs="Arial"/>
          <w:lang w:val="en-US"/>
        </w:rPr>
        <w:t xml:space="preserve"> </w:t>
      </w:r>
      <w:r w:rsidR="00110B80" w:rsidRPr="00057A5B">
        <w:rPr>
          <w:rFonts w:ascii="Arial" w:hAnsi="Arial" w:cs="Arial"/>
          <w:highlight w:val="yellow"/>
          <w:lang w:val="en-US"/>
        </w:rPr>
        <w:t>A</w:t>
      </w:r>
      <w:r w:rsidR="008A34E5" w:rsidRPr="00057A5B">
        <w:rPr>
          <w:rFonts w:ascii="Arial" w:hAnsi="Arial" w:cs="Arial"/>
          <w:highlight w:val="yellow"/>
          <w:lang w:val="en-US"/>
        </w:rPr>
        <w:t>lthough this study was not aimed to investigate the relationship between the presence of this allele and the occurrence of pregnancy or miscarriage</w:t>
      </w:r>
      <w:r w:rsidR="00110B80" w:rsidRPr="00057A5B">
        <w:rPr>
          <w:rFonts w:ascii="Arial" w:hAnsi="Arial" w:cs="Arial"/>
          <w:highlight w:val="yellow"/>
          <w:lang w:val="en-US"/>
        </w:rPr>
        <w:t>,</w:t>
      </w:r>
      <w:r w:rsidRPr="00057A5B">
        <w:rPr>
          <w:rFonts w:ascii="Arial" w:hAnsi="Arial" w:cs="Arial"/>
          <w:highlight w:val="yellow"/>
          <w:lang w:val="en-US"/>
        </w:rPr>
        <w:t xml:space="preserve"> </w:t>
      </w:r>
      <w:r w:rsidR="00110B80" w:rsidRPr="00057A5B">
        <w:rPr>
          <w:rFonts w:ascii="Arial" w:hAnsi="Arial" w:cs="Arial"/>
          <w:highlight w:val="yellow"/>
          <w:lang w:val="en-US"/>
        </w:rPr>
        <w:t>p</w:t>
      </w:r>
      <w:r w:rsidRPr="00057A5B">
        <w:rPr>
          <w:rFonts w:ascii="Arial" w:hAnsi="Arial" w:cs="Arial"/>
          <w:highlight w:val="yellow"/>
          <w:lang w:val="en-US"/>
        </w:rPr>
        <w:t>revious reports showed that in a group of women that underwent unexplained miscarriages, there was a high incidence of the T allele</w:t>
      </w:r>
      <w:r w:rsidRPr="008012CB">
        <w:rPr>
          <w:rFonts w:ascii="Arial" w:hAnsi="Arial" w:cs="Arial"/>
          <w:lang w:val="en-US"/>
        </w:rPr>
        <w:t xml:space="preserve"> </w:t>
      </w:r>
      <w:r>
        <w:rPr>
          <w:rFonts w:ascii="Arial" w:hAnsi="Arial" w:cs="Arial"/>
          <w:lang w:val="en-US"/>
        </w:rPr>
        <w:fldChar w:fldCharType="begin" w:fldLock="1"/>
      </w:r>
      <w:r>
        <w:rPr>
          <w:rFonts w:ascii="Arial" w:hAnsi="Arial" w:cs="Arial"/>
          <w:lang w:val="en-US"/>
        </w:rPr>
        <w:instrText>ADDIN CSL_CITATION {"citationItems":[{"id":"ITEM-1","itemData":{"ISSN":"0144-3615","PMID":"12623486","abstract":"Hyperhomocysteinaemia, a risk factor for recurrent pregnancy loss, is related either to a hereditary defect within the methionine-homocysteine pathway or it might be acquired as a result of deficiencies of vitamin B(12) and folate (B(9)). Because hyperhomocysteinaemia seems to be determined by both genetic and environmental factors, the current study was undertaken to find out the interactions between folate status and MTHFR mutation on the homocysteine concentration in 24 women experiencing unexplained three or more consecutive recurrent pregnancy losses. The median fasting total plasma homocysteine concentration in the study group was 10.23 micro mol/l compared to 8.95 micro mol/l; P = 0.096 in the controls. Elevated homocysteine levels &gt; 18 micro mol/l, which was considered to be a risk factor for recurrent early pregnancy loss, was found in four women in the study group and none among the controls. Lower red cell folate levels (normal range &gt;/= 160 ng/ml) were observed in nine (37.5%) women among the study group, compared to five (20.84%) women among controls. The mean +/- SD red cell folate levels in the study group was found to be 154.37 +/- 37.07, while in the controls it was 159.0 +/- 28.97. In the present study six women in the study group and two among controls were found to be carriers for the C677T MTHFR mutation. None were homozygous for the mutant (TT) allele. The highest values of homocysteine concentration were found in women experiencing recurrent pregnancy loss with both the CT genotype and folate deficiency. Identification of hyperhomocysteinaemia in women with recurrent pregnancy loss may help in therapeutic normalisation and might permit a normal birth.","author":[{"dropping-particle":"","family":"Kumar","given":"K S D","non-dropping-particle":"","parse-names":false,"suffix":""},{"dropping-particle":"","family":"Govindaiah","given":"V","non-dropping-particle":"","parse-names":false,"suffix":""},{"dropping-particle":"","family":"Naushad","given":"S E","non-dropping-particle":"","parse-names":false,"suffix":""},{"dropping-particle":"","family":"Devi","given":"R R","non-dropping-particle":"","parse-names":false,"suffix":""},{"dropping-particle":"","family":"Jyothy","given":"A","non-dropping-particle":"","parse-names":false,"suffix":""}],"container-title":"Journal of obstetrics and gynaecology : the journal of the Institute of Obstetrics and Gynaecology","id":"ITEM-1","issue":"1","issued":{"date-parts":[["2003","1"]]},"page":"55-8","title":"Plasma homocysteine levels correlated to interactions between folate status and methylene tetrahydrofolate reductase gene mutation in women with unexplained recurrent pregnancy loss.","type":"article-journal","volume":"23"},"uris":["http://www.mendeley.com/documents/?uuid=52a9bdc0-3af2-3293-ba91-229c5c7dcf0d"]}],"mendeley":{"formattedCitation":"[27]","plainTextFormattedCitation":"[27]","previouslyFormattedCitation":"[26]"},"properties":{"noteIndex":0},"schema":"https://github.com/citation-style-language/schema/raw/master/csl-citation.json"}</w:instrText>
      </w:r>
      <w:r>
        <w:rPr>
          <w:rFonts w:ascii="Arial" w:hAnsi="Arial" w:cs="Arial"/>
          <w:lang w:val="en-US"/>
        </w:rPr>
        <w:fldChar w:fldCharType="separate"/>
      </w:r>
      <w:r w:rsidRPr="000D39D8">
        <w:rPr>
          <w:rFonts w:ascii="Arial" w:hAnsi="Arial" w:cs="Arial"/>
          <w:noProof/>
          <w:lang w:val="en-US"/>
        </w:rPr>
        <w:t>[27]</w:t>
      </w:r>
      <w:r>
        <w:rPr>
          <w:rFonts w:ascii="Arial" w:hAnsi="Arial" w:cs="Arial"/>
          <w:lang w:val="en-US"/>
        </w:rPr>
        <w:fldChar w:fldCharType="end"/>
      </w:r>
      <w:r w:rsidRPr="008012CB">
        <w:rPr>
          <w:rFonts w:ascii="Arial" w:hAnsi="Arial" w:cs="Arial"/>
          <w:lang w:val="en-US"/>
        </w:rPr>
        <w:t>.</w:t>
      </w:r>
      <w:r>
        <w:rPr>
          <w:rFonts w:ascii="Arial" w:hAnsi="Arial" w:cs="Arial"/>
          <w:lang w:val="en-US"/>
        </w:rPr>
        <w:t xml:space="preserve"> In addition, l</w:t>
      </w:r>
      <w:r w:rsidR="0034756A" w:rsidRPr="008012CB">
        <w:rPr>
          <w:rFonts w:ascii="Arial" w:hAnsi="Arial" w:cs="Arial"/>
          <w:lang w:val="en-US"/>
        </w:rPr>
        <w:t xml:space="preserve">ow folate intake affects individuals with the 677TT </w:t>
      </w:r>
      <w:r w:rsidR="0034756A" w:rsidRPr="008012CB">
        <w:rPr>
          <w:rFonts w:ascii="Arial" w:hAnsi="Arial" w:cs="Arial"/>
          <w:lang w:val="en-US"/>
        </w:rPr>
        <w:lastRenderedPageBreak/>
        <w:t xml:space="preserve">genotype to a greater extent than those with the 677CC/CT genotypes. </w:t>
      </w:r>
      <w:r w:rsidR="00933E1A">
        <w:rPr>
          <w:rFonts w:ascii="Arial" w:hAnsi="Arial" w:cs="Arial"/>
          <w:lang w:val="en-US"/>
        </w:rPr>
        <w:t xml:space="preserve">However, </w:t>
      </w:r>
      <w:r w:rsidR="00933E1A" w:rsidRPr="008012CB">
        <w:rPr>
          <w:rFonts w:ascii="Arial" w:hAnsi="Arial" w:cs="Arial"/>
          <w:lang w:val="en-US"/>
        </w:rPr>
        <w:t xml:space="preserve">it is important to mention that because the levels of folates and </w:t>
      </w:r>
      <w:r w:rsidR="0063301A" w:rsidRPr="008012CB">
        <w:rPr>
          <w:rFonts w:ascii="Arial" w:hAnsi="Arial" w:cs="Arial"/>
          <w:lang w:val="en-US"/>
        </w:rPr>
        <w:t>homocysteine</w:t>
      </w:r>
      <w:r w:rsidR="00933E1A" w:rsidRPr="008012CB">
        <w:rPr>
          <w:rFonts w:ascii="Arial" w:hAnsi="Arial" w:cs="Arial"/>
          <w:lang w:val="en-US"/>
        </w:rPr>
        <w:t xml:space="preserve"> in all patients studied were normal, the presence of the T allele is not of critical risk for the pregnancy outcome. </w:t>
      </w:r>
    </w:p>
    <w:p w14:paraId="0F4DADB9" w14:textId="77777777" w:rsidR="00327B9D" w:rsidRDefault="00327B9D" w:rsidP="00327B9D">
      <w:pPr>
        <w:spacing w:after="0" w:line="480" w:lineRule="auto"/>
        <w:jc w:val="both"/>
        <w:rPr>
          <w:rFonts w:ascii="Arial" w:hAnsi="Arial" w:cs="Arial"/>
          <w:b/>
          <w:bCs/>
          <w:lang w:val="en-US"/>
        </w:rPr>
      </w:pPr>
    </w:p>
    <w:p w14:paraId="3462FB4A" w14:textId="7C4C1EFC" w:rsidR="00327B9D" w:rsidRPr="00327B9D" w:rsidRDefault="00327B9D" w:rsidP="00327B9D">
      <w:pPr>
        <w:spacing w:after="0" w:line="480" w:lineRule="auto"/>
        <w:jc w:val="both"/>
        <w:rPr>
          <w:rFonts w:ascii="Arial" w:hAnsi="Arial" w:cs="Arial"/>
          <w:b/>
          <w:bCs/>
          <w:lang w:val="en-US"/>
        </w:rPr>
      </w:pPr>
      <w:r w:rsidRPr="00327B9D">
        <w:rPr>
          <w:rFonts w:ascii="Arial" w:hAnsi="Arial" w:cs="Arial"/>
          <w:b/>
          <w:bCs/>
          <w:highlight w:val="yellow"/>
          <w:lang w:val="en-US"/>
        </w:rPr>
        <w:t>Conclusions</w:t>
      </w:r>
    </w:p>
    <w:p w14:paraId="367BE9EB" w14:textId="0735C213" w:rsidR="00933E1A" w:rsidRPr="008012CB" w:rsidRDefault="00933E1A" w:rsidP="007004B8">
      <w:pPr>
        <w:spacing w:after="0" w:line="480" w:lineRule="auto"/>
        <w:ind w:firstLine="720"/>
        <w:jc w:val="both"/>
        <w:rPr>
          <w:rFonts w:ascii="Arial" w:hAnsi="Arial" w:cs="Arial"/>
          <w:lang w:val="en-US"/>
        </w:rPr>
      </w:pPr>
      <w:r w:rsidRPr="008012CB">
        <w:rPr>
          <w:rFonts w:ascii="Arial" w:hAnsi="Arial" w:cs="Arial"/>
          <w:lang w:val="en-US"/>
        </w:rPr>
        <w:t>In summary, we found that the leve</w:t>
      </w:r>
      <w:r w:rsidR="007354CF" w:rsidRPr="008012CB">
        <w:rPr>
          <w:rFonts w:ascii="Arial" w:hAnsi="Arial" w:cs="Arial"/>
          <w:lang w:val="en-US"/>
        </w:rPr>
        <w:t>l</w:t>
      </w:r>
      <w:r w:rsidRPr="008012CB">
        <w:rPr>
          <w:rFonts w:ascii="Arial" w:hAnsi="Arial" w:cs="Arial"/>
          <w:lang w:val="en-US"/>
        </w:rPr>
        <w:t xml:space="preserve">s of folic acid and homocysteine in women undergoing hormonal stimulation did not significantly change in the presence of high levels of estrogens. </w:t>
      </w:r>
      <w:r w:rsidR="0063301A" w:rsidRPr="008012CB">
        <w:rPr>
          <w:rFonts w:ascii="Arial" w:hAnsi="Arial" w:cs="Arial"/>
          <w:lang w:val="en-US"/>
        </w:rPr>
        <w:t>These results</w:t>
      </w:r>
      <w:r w:rsidRPr="008012CB">
        <w:rPr>
          <w:rFonts w:ascii="Arial" w:hAnsi="Arial" w:cs="Arial"/>
          <w:lang w:val="en-US"/>
        </w:rPr>
        <w:t xml:space="preserve"> are of</w:t>
      </w:r>
      <w:r w:rsidR="007354CF" w:rsidRPr="008012CB">
        <w:rPr>
          <w:rFonts w:ascii="Arial" w:hAnsi="Arial" w:cs="Arial"/>
          <w:lang w:val="en-US"/>
        </w:rPr>
        <w:t xml:space="preserve"> great importance when considering therapeutic options in the </w:t>
      </w:r>
      <w:r w:rsidR="0063301A" w:rsidRPr="008012CB">
        <w:rPr>
          <w:rFonts w:ascii="Arial" w:hAnsi="Arial" w:cs="Arial"/>
          <w:lang w:val="en-US"/>
        </w:rPr>
        <w:t>Mexican</w:t>
      </w:r>
      <w:r w:rsidR="007354CF" w:rsidRPr="008012CB">
        <w:rPr>
          <w:rFonts w:ascii="Arial" w:hAnsi="Arial" w:cs="Arial"/>
          <w:lang w:val="en-US"/>
        </w:rPr>
        <w:t xml:space="preserve"> population, that displays a high incidence in this polymorphism.</w:t>
      </w:r>
    </w:p>
    <w:p w14:paraId="09F1FF26" w14:textId="4798D8DA" w:rsidR="00797112" w:rsidRDefault="00797112" w:rsidP="00BF46C5">
      <w:pPr>
        <w:pStyle w:val="BlockText"/>
        <w:spacing w:line="480" w:lineRule="auto"/>
        <w:ind w:left="0" w:right="0"/>
        <w:jc w:val="both"/>
        <w:rPr>
          <w:rFonts w:eastAsia="Calibri"/>
          <w:b w:val="0"/>
          <w:bCs w:val="0"/>
          <w:sz w:val="22"/>
          <w:szCs w:val="22"/>
          <w:lang w:val="en-US" w:eastAsia="en-US"/>
        </w:rPr>
      </w:pPr>
    </w:p>
    <w:p w14:paraId="132F6048" w14:textId="77777777" w:rsidR="00327B9D" w:rsidRPr="00327B9D" w:rsidRDefault="00327B9D" w:rsidP="00327B9D">
      <w:pPr>
        <w:pStyle w:val="BlockText"/>
        <w:spacing w:line="480" w:lineRule="auto"/>
        <w:ind w:left="0" w:right="0"/>
        <w:jc w:val="both"/>
        <w:rPr>
          <w:bCs w:val="0"/>
          <w:sz w:val="22"/>
          <w:szCs w:val="22"/>
          <w:highlight w:val="yellow"/>
          <w:lang w:val="en-US"/>
        </w:rPr>
      </w:pPr>
      <w:r w:rsidRPr="00327B9D">
        <w:rPr>
          <w:bCs w:val="0"/>
          <w:sz w:val="22"/>
          <w:szCs w:val="22"/>
          <w:highlight w:val="yellow"/>
          <w:lang w:val="en-US"/>
        </w:rPr>
        <w:t>Declarations</w:t>
      </w:r>
    </w:p>
    <w:p w14:paraId="1B8D6CD8" w14:textId="77777777" w:rsidR="00327B9D" w:rsidRPr="00097A01" w:rsidRDefault="00327B9D" w:rsidP="00327B9D">
      <w:pPr>
        <w:pStyle w:val="BlockText"/>
        <w:spacing w:line="480" w:lineRule="auto"/>
        <w:ind w:left="0" w:right="0"/>
        <w:jc w:val="both"/>
        <w:rPr>
          <w:b w:val="0"/>
          <w:bCs w:val="0"/>
          <w:sz w:val="22"/>
          <w:szCs w:val="22"/>
          <w:lang w:val="en-US"/>
        </w:rPr>
      </w:pPr>
      <w:r w:rsidRPr="00327B9D">
        <w:rPr>
          <w:bCs w:val="0"/>
          <w:sz w:val="22"/>
          <w:szCs w:val="22"/>
          <w:highlight w:val="yellow"/>
          <w:lang w:val="en-US"/>
        </w:rPr>
        <w:t xml:space="preserve">Acknowledgements: </w:t>
      </w:r>
      <w:r w:rsidRPr="00327B9D">
        <w:rPr>
          <w:b w:val="0"/>
          <w:bCs w:val="0"/>
          <w:sz w:val="22"/>
          <w:szCs w:val="22"/>
          <w:highlight w:val="yellow"/>
          <w:lang w:val="en-US"/>
        </w:rPr>
        <w:t>We would like to thank the Department of Genetics for their technical assistance.</w:t>
      </w:r>
      <w:r w:rsidRPr="00327B9D">
        <w:rPr>
          <w:bCs w:val="0"/>
          <w:sz w:val="22"/>
          <w:szCs w:val="22"/>
          <w:highlight w:val="yellow"/>
          <w:lang w:val="en-US"/>
        </w:rPr>
        <w:t xml:space="preserve"> </w:t>
      </w:r>
      <w:r w:rsidRPr="00327B9D">
        <w:rPr>
          <w:sz w:val="22"/>
          <w:szCs w:val="22"/>
          <w:highlight w:val="yellow"/>
          <w:lang w:val="en-US"/>
        </w:rPr>
        <w:t xml:space="preserve">Funding. </w:t>
      </w:r>
      <w:r w:rsidRPr="00327B9D">
        <w:rPr>
          <w:b w:val="0"/>
          <w:sz w:val="22"/>
          <w:szCs w:val="22"/>
          <w:highlight w:val="yellow"/>
          <w:lang w:val="en-US"/>
        </w:rPr>
        <w:t>There was no funding to declare.</w:t>
      </w:r>
      <w:r w:rsidRPr="00327B9D">
        <w:rPr>
          <w:bCs w:val="0"/>
          <w:sz w:val="22"/>
          <w:szCs w:val="22"/>
          <w:highlight w:val="yellow"/>
          <w:lang w:val="en-US"/>
        </w:rPr>
        <w:t xml:space="preserve"> Conflict of interest:</w:t>
      </w:r>
      <w:r w:rsidRPr="00327B9D">
        <w:rPr>
          <w:b w:val="0"/>
          <w:bCs w:val="0"/>
          <w:sz w:val="22"/>
          <w:szCs w:val="22"/>
          <w:highlight w:val="yellow"/>
          <w:lang w:val="en-US"/>
        </w:rPr>
        <w:t xml:space="preserve"> The authors declare no conflicts of interest. </w:t>
      </w:r>
      <w:r w:rsidRPr="00327B9D">
        <w:rPr>
          <w:sz w:val="22"/>
          <w:szCs w:val="22"/>
          <w:highlight w:val="yellow"/>
          <w:lang w:val="en-US"/>
        </w:rPr>
        <w:t xml:space="preserve">Ethical approval: </w:t>
      </w:r>
      <w:r w:rsidRPr="00327B9D">
        <w:rPr>
          <w:b w:val="0"/>
          <w:sz w:val="22"/>
          <w:szCs w:val="22"/>
          <w:highlight w:val="yellow"/>
          <w:lang w:val="en-US"/>
        </w:rPr>
        <w:t>All procedures performed in studies involving human participants were in accordance with the ethical standards of the institutional and/or national research committee and with the 1964 Helsinki declaration and its later amendments or comparable ethical standards. Informed consent was obtained from all individual participants included in the study.</w:t>
      </w:r>
      <w:r w:rsidRPr="00327B9D">
        <w:rPr>
          <w:highlight w:val="yellow"/>
          <w:lang w:val="en-US"/>
        </w:rPr>
        <w:t xml:space="preserve"> A</w:t>
      </w:r>
      <w:r w:rsidRPr="00327B9D">
        <w:rPr>
          <w:sz w:val="22"/>
          <w:szCs w:val="22"/>
          <w:highlight w:val="yellow"/>
          <w:lang w:val="en-US"/>
        </w:rPr>
        <w:t xml:space="preserve">uthors' contributions: </w:t>
      </w:r>
      <w:r w:rsidRPr="00327B9D">
        <w:rPr>
          <w:b w:val="0"/>
          <w:bCs w:val="0"/>
          <w:sz w:val="22"/>
          <w:szCs w:val="22"/>
          <w:highlight w:val="yellow"/>
          <w:lang w:val="en-US"/>
        </w:rPr>
        <w:t>MMR performed the experiments and wrote the manuscript.</w:t>
      </w:r>
      <w:r w:rsidRPr="00327B9D">
        <w:rPr>
          <w:b w:val="0"/>
          <w:bCs w:val="0"/>
          <w:highlight w:val="yellow"/>
          <w:lang w:val="en-US"/>
        </w:rPr>
        <w:t xml:space="preserve"> </w:t>
      </w:r>
      <w:r w:rsidRPr="00327B9D">
        <w:rPr>
          <w:b w:val="0"/>
          <w:bCs w:val="0"/>
          <w:sz w:val="22"/>
          <w:szCs w:val="22"/>
          <w:highlight w:val="yellow"/>
          <w:lang w:val="en-US"/>
        </w:rPr>
        <w:t>JAEB, LEMG and OVG analyzed and interpreted the patient data. LHSH and FAMM designed and supervised the study and wrote the manuscript.</w:t>
      </w:r>
    </w:p>
    <w:p w14:paraId="3DD7CA5F" w14:textId="29D50127" w:rsidR="00C556B8" w:rsidRPr="00E2291C" w:rsidRDefault="00C556B8" w:rsidP="00BF46C5">
      <w:pPr>
        <w:pStyle w:val="BlockText"/>
        <w:spacing w:line="480" w:lineRule="auto"/>
        <w:ind w:left="0" w:right="0"/>
        <w:jc w:val="both"/>
        <w:rPr>
          <w:b w:val="0"/>
          <w:sz w:val="22"/>
          <w:szCs w:val="22"/>
          <w:lang w:val="en-US"/>
        </w:rPr>
      </w:pPr>
    </w:p>
    <w:p w14:paraId="1C571664" w14:textId="77777777" w:rsidR="00631BD6" w:rsidRPr="00E2291C" w:rsidRDefault="00631BD6" w:rsidP="00BF46C5">
      <w:pPr>
        <w:pStyle w:val="BlockText"/>
        <w:spacing w:line="480" w:lineRule="auto"/>
        <w:ind w:left="0" w:right="0"/>
        <w:jc w:val="both"/>
        <w:rPr>
          <w:b w:val="0"/>
          <w:bCs w:val="0"/>
          <w:sz w:val="22"/>
          <w:szCs w:val="22"/>
          <w:lang w:val="en-US"/>
        </w:rPr>
      </w:pPr>
    </w:p>
    <w:p w14:paraId="32B2A2FA" w14:textId="1983329C" w:rsidR="00C14347" w:rsidRDefault="005559A9" w:rsidP="00BF46C5">
      <w:pPr>
        <w:pStyle w:val="BlockText"/>
        <w:spacing w:line="480" w:lineRule="auto"/>
        <w:ind w:left="0" w:right="0"/>
        <w:jc w:val="both"/>
        <w:rPr>
          <w:bCs w:val="0"/>
          <w:sz w:val="22"/>
          <w:szCs w:val="22"/>
          <w:lang w:val="en-US"/>
        </w:rPr>
      </w:pPr>
      <w:r w:rsidRPr="00E2291C">
        <w:rPr>
          <w:bCs w:val="0"/>
          <w:sz w:val="22"/>
          <w:szCs w:val="22"/>
          <w:lang w:val="en-US"/>
        </w:rPr>
        <w:t>Reference</w:t>
      </w:r>
      <w:r w:rsidR="00811A37">
        <w:rPr>
          <w:bCs w:val="0"/>
          <w:sz w:val="22"/>
          <w:szCs w:val="22"/>
          <w:lang w:val="en-US"/>
        </w:rPr>
        <w:t>s</w:t>
      </w:r>
    </w:p>
    <w:p w14:paraId="602EAF1F" w14:textId="251097AB" w:rsidR="000D39D8" w:rsidRPr="001230B9" w:rsidRDefault="002F5748" w:rsidP="00BF46C5">
      <w:pPr>
        <w:widowControl w:val="0"/>
        <w:autoSpaceDE w:val="0"/>
        <w:autoSpaceDN w:val="0"/>
        <w:adjustRightInd w:val="0"/>
        <w:spacing w:after="0" w:line="480" w:lineRule="auto"/>
        <w:ind w:left="640" w:hanging="640"/>
        <w:jc w:val="both"/>
        <w:rPr>
          <w:rFonts w:ascii="Arial" w:hAnsi="Arial" w:cs="Arial"/>
          <w:noProof/>
          <w:lang w:val="en-US"/>
        </w:rPr>
      </w:pPr>
      <w:r>
        <w:rPr>
          <w:bCs/>
          <w:lang w:val="en-US"/>
        </w:rPr>
        <w:fldChar w:fldCharType="begin" w:fldLock="1"/>
      </w:r>
      <w:r>
        <w:rPr>
          <w:bCs/>
          <w:lang w:val="en-US"/>
        </w:rPr>
        <w:instrText xml:space="preserve">ADDIN Mendeley Bibliography CSL_BIBLIOGRAPHY </w:instrText>
      </w:r>
      <w:r>
        <w:rPr>
          <w:bCs/>
          <w:lang w:val="en-US"/>
        </w:rPr>
        <w:fldChar w:fldCharType="separate"/>
      </w:r>
      <w:r w:rsidR="000D39D8" w:rsidRPr="001230B9">
        <w:rPr>
          <w:rFonts w:ascii="Arial" w:hAnsi="Arial" w:cs="Arial"/>
          <w:noProof/>
          <w:lang w:val="en-US"/>
        </w:rPr>
        <w:t xml:space="preserve">1. </w:t>
      </w:r>
      <w:r w:rsidR="000D39D8" w:rsidRPr="001230B9">
        <w:rPr>
          <w:rFonts w:ascii="Arial" w:hAnsi="Arial" w:cs="Arial"/>
          <w:noProof/>
          <w:lang w:val="en-US"/>
        </w:rPr>
        <w:tab/>
        <w:t>Vayena E, Rowe PJ, Peterson HB (2002) Assisted reproductive technology in developing countries: why should we care? Fertil Steril 78:13–15. https://doi.org/10.1016/S0015-0282(02)03177-1</w:t>
      </w:r>
    </w:p>
    <w:p w14:paraId="7A011120"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2. </w:t>
      </w:r>
      <w:r w:rsidRPr="001230B9">
        <w:rPr>
          <w:rFonts w:ascii="Arial" w:hAnsi="Arial" w:cs="Arial"/>
          <w:noProof/>
          <w:lang w:val="en-US"/>
        </w:rPr>
        <w:tab/>
        <w:t>Scholl TO, Johnson WG (2000) Folic acid: influence on the outcome of pregnancy. Am J Clin Nutr 71:1295S–303S. https://doi.org/10.1093/ajcn/71.5.1295s</w:t>
      </w:r>
    </w:p>
    <w:p w14:paraId="15FAE2CD"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lastRenderedPageBreak/>
        <w:t xml:space="preserve">3. </w:t>
      </w:r>
      <w:r w:rsidRPr="001230B9">
        <w:rPr>
          <w:rFonts w:ascii="Arial" w:hAnsi="Arial" w:cs="Arial"/>
          <w:noProof/>
          <w:lang w:val="en-US"/>
        </w:rPr>
        <w:tab/>
        <w:t>Tamura T, Picciano MF (2006) Folate and human reproduction. Am J Clin Nutr 83:993–1016. https://doi.org/10.1093/ajcn/83.5.993</w:t>
      </w:r>
    </w:p>
    <w:p w14:paraId="54DB94C9"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4. </w:t>
      </w:r>
      <w:r w:rsidRPr="001230B9">
        <w:rPr>
          <w:rFonts w:ascii="Arial" w:hAnsi="Arial" w:cs="Arial"/>
          <w:noProof/>
          <w:lang w:val="en-US"/>
        </w:rPr>
        <w:tab/>
        <w:t>Ebisch IMW, Thomas CMG, Peters WHM, et al (2007) The importance of folate, zinc and antioxidants in the pathogenesis and prevention of subfertility. Hum Reprod Update 13:163–174. https://doi.org/10.1093/humupd/dml054</w:t>
      </w:r>
    </w:p>
    <w:p w14:paraId="06E7B359"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5. </w:t>
      </w:r>
      <w:r w:rsidRPr="001230B9">
        <w:rPr>
          <w:rFonts w:ascii="Arial" w:hAnsi="Arial" w:cs="Arial"/>
          <w:noProof/>
          <w:lang w:val="en-US"/>
        </w:rPr>
        <w:tab/>
        <w:t>Antony AC (2007) In utero physiology: role of folic acid in nutrient delivery and fetal development. Am J Clin Nutr 85:598S–603S. https://doi.org/10.1093/ajcn/85.2.598S</w:t>
      </w:r>
    </w:p>
    <w:p w14:paraId="01D80606" w14:textId="629B777F"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6. </w:t>
      </w:r>
      <w:r w:rsidRPr="001230B9">
        <w:rPr>
          <w:rFonts w:ascii="Arial" w:hAnsi="Arial" w:cs="Arial"/>
          <w:noProof/>
          <w:lang w:val="en-US"/>
        </w:rPr>
        <w:tab/>
        <w:t>Molloy AM, Scott JM (2001) Folates and prevention of disease. Public Health Nutr 4:601–9</w:t>
      </w:r>
      <w:r w:rsidR="002C5011">
        <w:rPr>
          <w:rFonts w:ascii="Arial" w:hAnsi="Arial" w:cs="Arial"/>
          <w:noProof/>
          <w:lang w:val="en-US"/>
        </w:rPr>
        <w:t xml:space="preserve"> doi</w:t>
      </w:r>
    </w:p>
    <w:p w14:paraId="576BB97E"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7. </w:t>
      </w:r>
      <w:r w:rsidRPr="001230B9">
        <w:rPr>
          <w:rFonts w:ascii="Arial" w:hAnsi="Arial" w:cs="Arial"/>
          <w:noProof/>
          <w:lang w:val="en-US"/>
        </w:rPr>
        <w:tab/>
        <w:t>Safi J, Joyeux L, Chalouhi GE (2012) Periconceptional folate deficiency and implications in neural tube defects. J Pregnancy 2012:295083. https://doi.org/10.1155/2012/295083</w:t>
      </w:r>
    </w:p>
    <w:p w14:paraId="5AB80226"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8. </w:t>
      </w:r>
      <w:r w:rsidRPr="001230B9">
        <w:rPr>
          <w:rFonts w:ascii="Arial" w:hAnsi="Arial" w:cs="Arial"/>
          <w:noProof/>
          <w:lang w:val="en-US"/>
        </w:rPr>
        <w:tab/>
        <w:t>Wilcox AJ, Lie RT, Solvoll K, et al (2007) Folic acid supplements and risk of facial clefts: national population based case-control study. BMJ 334:464. https://doi.org/10.1136/bmj.39079.618287.0B</w:t>
      </w:r>
    </w:p>
    <w:p w14:paraId="60374172"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9. </w:t>
      </w:r>
      <w:r w:rsidRPr="001230B9">
        <w:rPr>
          <w:rFonts w:ascii="Arial" w:hAnsi="Arial" w:cs="Arial"/>
          <w:noProof/>
          <w:lang w:val="en-US"/>
        </w:rPr>
        <w:tab/>
        <w:t>Ebisch IMW, Peters WHM, Thomas CMG, et al (2006) Homocysteine, glutathione and related thiols affect fertility parameters in the (sub)fertile couple. Hum Reprod 21:1725–33. https://doi.org/10.1093/humrep/del081</w:t>
      </w:r>
    </w:p>
    <w:p w14:paraId="42D6A3DB"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10. </w:t>
      </w:r>
      <w:r w:rsidRPr="001230B9">
        <w:rPr>
          <w:rFonts w:ascii="Arial" w:hAnsi="Arial" w:cs="Arial"/>
          <w:noProof/>
          <w:lang w:val="en-US"/>
        </w:rPr>
        <w:tab/>
        <w:t>Nelen WL, Blom HJ, Steegers EA, et al (2000) Homocysteine and folate levels as risk factors for recurrent early pregnancy loss. Obstet Gynecol 95:519–24. https://doi.org/10.1016/s0029-7844(99)00610-9</w:t>
      </w:r>
    </w:p>
    <w:p w14:paraId="3F58E28C"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11. </w:t>
      </w:r>
      <w:r w:rsidRPr="001230B9">
        <w:rPr>
          <w:rFonts w:ascii="Arial" w:hAnsi="Arial" w:cs="Arial"/>
          <w:noProof/>
          <w:lang w:val="en-US"/>
        </w:rPr>
        <w:tab/>
        <w:t>Verkleij-Hagoort A, Verlinde M, Ursem N, et al (2006) Maternal hyperhomocysteinaemia is a risk factor for congenital heart disease. BJOG An Int J Obstet Gynaecol 113:1412–1418. https://doi.org/10.1111/j.1471-0528.2006.01109.x</w:t>
      </w:r>
    </w:p>
    <w:p w14:paraId="4FF7F478"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12. </w:t>
      </w:r>
      <w:r w:rsidRPr="001230B9">
        <w:rPr>
          <w:rFonts w:ascii="Arial" w:hAnsi="Arial" w:cs="Arial"/>
          <w:noProof/>
          <w:lang w:val="en-US"/>
        </w:rPr>
        <w:tab/>
        <w:t xml:space="preserve">Smolders RG V., de Meer K, Kenemans P, et al (2005) Oral Estradiol Decreases Plasma Homocysteine, Vitamin B </w:t>
      </w:r>
      <w:r w:rsidRPr="001230B9">
        <w:rPr>
          <w:rFonts w:ascii="Arial" w:hAnsi="Arial" w:cs="Arial"/>
          <w:noProof/>
          <w:vertAlign w:val="subscript"/>
          <w:lang w:val="en-US"/>
        </w:rPr>
        <w:t>6</w:t>
      </w:r>
      <w:r w:rsidRPr="001230B9">
        <w:rPr>
          <w:rFonts w:ascii="Arial" w:hAnsi="Arial" w:cs="Arial"/>
          <w:noProof/>
          <w:lang w:val="en-US"/>
        </w:rPr>
        <w:t xml:space="preserve"> , and Albumin in Postmenopausal Women But Does Not Change the Whole-Body Homocysteine Remethylation and Transmethylation Flux. J Clin Endocrinol Metab 90:2218–2224. https://doi.org/10.1210/jc.2004-1021</w:t>
      </w:r>
    </w:p>
    <w:p w14:paraId="766A70BD"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lastRenderedPageBreak/>
        <w:t xml:space="preserve">13. </w:t>
      </w:r>
      <w:r w:rsidRPr="001230B9">
        <w:rPr>
          <w:rFonts w:ascii="Arial" w:hAnsi="Arial" w:cs="Arial"/>
          <w:noProof/>
          <w:lang w:val="en-US"/>
        </w:rPr>
        <w:tab/>
        <w:t>Cagnacci A, Generali M, Pirillo D, et al (2006) Effects of low- or high-dose hormone therapy on fasting and post-methionine homocysteine levels in postmenopausal women. Climacteric 9:388–395. https://doi.org/10.1080/13697130600870352</w:t>
      </w:r>
    </w:p>
    <w:p w14:paraId="6C73F7FF"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14. </w:t>
      </w:r>
      <w:r w:rsidRPr="001230B9">
        <w:rPr>
          <w:rFonts w:ascii="Arial" w:hAnsi="Arial" w:cs="Arial"/>
          <w:noProof/>
          <w:lang w:val="en-US"/>
        </w:rPr>
        <w:tab/>
        <w:t>Berger PB, Herrmann RR, Dumesic DA (2000) The Effect of Estrogen Replacement Therapy on Total Plasma Homocysteine in Healthy Postmenopausal Women. Mayo Clin Proc 75:18–23. https://doi.org/10.4065/75.1.18</w:t>
      </w:r>
    </w:p>
    <w:p w14:paraId="37FDDCDC"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15. </w:t>
      </w:r>
      <w:r w:rsidRPr="001230B9">
        <w:rPr>
          <w:rFonts w:ascii="Arial" w:hAnsi="Arial" w:cs="Arial"/>
          <w:noProof/>
          <w:lang w:val="en-US"/>
        </w:rPr>
        <w:tab/>
        <w:t>Madsen JS, Kristensen SR, Klitgaard NA, et al (2002) Effect of long-term hormone replacement therapy on plasma homocysteine in postmenopausal women: a randomized controlled study. Am J Obstet Gynecol 187:33–9. https://doi.org/10.1067/mob.2002.123030</w:t>
      </w:r>
    </w:p>
    <w:p w14:paraId="210EBB11"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16. </w:t>
      </w:r>
      <w:r w:rsidRPr="001230B9">
        <w:rPr>
          <w:rFonts w:ascii="Arial" w:hAnsi="Arial" w:cs="Arial"/>
          <w:noProof/>
          <w:lang w:val="en-US"/>
        </w:rPr>
        <w:tab/>
        <w:t>Tallova J, Tomandl J, Bicikova M, Hill M (1999) Changes of plasma total homocysteine levels during the menstrual cycle. Eur J Clin Invest 29:1041–4</w:t>
      </w:r>
    </w:p>
    <w:p w14:paraId="4D2B382B"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17. </w:t>
      </w:r>
      <w:r w:rsidRPr="001230B9">
        <w:rPr>
          <w:rFonts w:ascii="Arial" w:hAnsi="Arial" w:cs="Arial"/>
          <w:noProof/>
          <w:lang w:val="en-US"/>
        </w:rPr>
        <w:tab/>
        <w:t>Cikot RJ, Steegers-Theunissen RP, Thomas CM, et al (2001) Longitudinal vitamin and homocysteine levels in normal pregnancy. Br J Nutr 85:49–58. https://doi.org/10.1079/bjn2000209</w:t>
      </w:r>
    </w:p>
    <w:p w14:paraId="0E169DEB"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18. </w:t>
      </w:r>
      <w:r w:rsidRPr="001230B9">
        <w:rPr>
          <w:rFonts w:ascii="Arial" w:hAnsi="Arial" w:cs="Arial"/>
          <w:noProof/>
          <w:lang w:val="en-US"/>
        </w:rPr>
        <w:tab/>
        <w:t>Murphy MM, Scott JM, McPartlin JM, Fernandez-Ballart JD (2002) The pregnancy-related decrease in fasting plasma homocysteine is not explained by folic acid supplementation, hemodilution, or a decrease in albumin in a longitudinal study. Am J Clin Nutr 76:614–619. https://doi.org/10.1093/ajcn/76.3.614</w:t>
      </w:r>
    </w:p>
    <w:p w14:paraId="14B5011D"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19. </w:t>
      </w:r>
      <w:r w:rsidRPr="001230B9">
        <w:rPr>
          <w:rFonts w:ascii="Arial" w:hAnsi="Arial" w:cs="Arial"/>
          <w:noProof/>
          <w:lang w:val="en-US"/>
        </w:rPr>
        <w:tab/>
        <w:t>Velzing-Aarts F V, Holm PI, Fokkema MR, et al (2005) Plasma choline and betaine and their relation to plasma homocysteine in normal pregnancy. Am J Clin Nutr 81:1383–9. https://doi.org/10.1093/ajcn/81.6.1383</w:t>
      </w:r>
    </w:p>
    <w:p w14:paraId="7EF8669C"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20. </w:t>
      </w:r>
      <w:r w:rsidRPr="001230B9">
        <w:rPr>
          <w:rFonts w:ascii="Arial" w:hAnsi="Arial" w:cs="Arial"/>
          <w:noProof/>
          <w:lang w:val="en-US"/>
        </w:rPr>
        <w:tab/>
        <w:t xml:space="preserve">Wu X, Zhao L, Zhu H, et al (2012) Association Between the </w:t>
      </w:r>
      <w:r w:rsidRPr="001230B9">
        <w:rPr>
          <w:rFonts w:ascii="Arial" w:hAnsi="Arial" w:cs="Arial"/>
          <w:i/>
          <w:iCs/>
          <w:noProof/>
          <w:lang w:val="en-US"/>
        </w:rPr>
        <w:t>MTHFR</w:t>
      </w:r>
      <w:r w:rsidRPr="001230B9">
        <w:rPr>
          <w:rFonts w:ascii="Arial" w:hAnsi="Arial" w:cs="Arial"/>
          <w:noProof/>
          <w:lang w:val="en-US"/>
        </w:rPr>
        <w:t xml:space="preserve"> C677T Polymorphism and Recurrent Pregnancy Loss: A Meta-Analysis. Genet Test Mol Biomarkers 16:806–811. https://doi.org/10.1089/gtmb.2011.0318</w:t>
      </w:r>
    </w:p>
    <w:p w14:paraId="1A856DE7"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21. </w:t>
      </w:r>
      <w:r w:rsidRPr="001230B9">
        <w:rPr>
          <w:rFonts w:ascii="Arial" w:hAnsi="Arial" w:cs="Arial"/>
          <w:noProof/>
          <w:lang w:val="en-US"/>
        </w:rPr>
        <w:tab/>
        <w:t>Altmäe S, Stavreus-Evers A, Ruiz JR, et al (2010) Variations in folate pathway genes are associated with unexplained female infertility. Fertil Steril 94:130–137. https://doi.org/10.1016/j.fertnstert.2009.02.025</w:t>
      </w:r>
    </w:p>
    <w:p w14:paraId="0BD5FAE2"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lastRenderedPageBreak/>
        <w:t xml:space="preserve">22. </w:t>
      </w:r>
      <w:r w:rsidRPr="001230B9">
        <w:rPr>
          <w:rFonts w:ascii="Arial" w:hAnsi="Arial" w:cs="Arial"/>
          <w:noProof/>
          <w:lang w:val="en-US"/>
        </w:rPr>
        <w:tab/>
        <w:t>World Health Organization WH (2010) WHO laboratory manual for the Examination and processing of human semen, 5th ed. World Health Organization, Geneva</w:t>
      </w:r>
    </w:p>
    <w:p w14:paraId="2B0659EA"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23. </w:t>
      </w:r>
      <w:r w:rsidRPr="001230B9">
        <w:rPr>
          <w:rFonts w:ascii="Arial" w:hAnsi="Arial" w:cs="Arial"/>
          <w:noProof/>
          <w:lang w:val="en-US"/>
        </w:rPr>
        <w:tab/>
        <w:t>Steegers-Theunissen RP, Steegers EA, Thomas CM, et al (1993) Study on the presence of homocysteine in ovarian follicular fluid. Fertil Steril 60:1006–10. https://doi.org/10.1016/s0015-0282(16)56401-2</w:t>
      </w:r>
    </w:p>
    <w:p w14:paraId="2DB4271F"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24. </w:t>
      </w:r>
      <w:r w:rsidRPr="001230B9">
        <w:rPr>
          <w:rFonts w:ascii="Arial" w:hAnsi="Arial" w:cs="Arial"/>
          <w:noProof/>
          <w:lang w:val="en-US"/>
        </w:rPr>
        <w:tab/>
        <w:t>Jerzak M, Putowski L, Baranowski W (2003) [Homocysteine level in ovarian follicular fluid or serum as a predictor of successful fertilization]. Ginekol Pol 74:949–52</w:t>
      </w:r>
    </w:p>
    <w:p w14:paraId="734DA42E"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25. </w:t>
      </w:r>
      <w:r w:rsidRPr="001230B9">
        <w:rPr>
          <w:rFonts w:ascii="Arial" w:hAnsi="Arial" w:cs="Arial"/>
          <w:noProof/>
          <w:lang w:val="en-US"/>
        </w:rPr>
        <w:tab/>
        <w:t>Wouters MG, Moorrees MT, van der Mooren MJ, et al (1995) Plasma homocysteine and menopausal status. Eur J Clin Invest 25:801–5</w:t>
      </w:r>
    </w:p>
    <w:p w14:paraId="04A06356" w14:textId="77777777" w:rsidR="000D39D8" w:rsidRPr="001230B9" w:rsidRDefault="000D39D8" w:rsidP="00BF46C5">
      <w:pPr>
        <w:widowControl w:val="0"/>
        <w:autoSpaceDE w:val="0"/>
        <w:autoSpaceDN w:val="0"/>
        <w:adjustRightInd w:val="0"/>
        <w:spacing w:after="0" w:line="480" w:lineRule="auto"/>
        <w:ind w:left="640" w:hanging="640"/>
        <w:jc w:val="both"/>
        <w:rPr>
          <w:rFonts w:ascii="Arial" w:hAnsi="Arial" w:cs="Arial"/>
          <w:noProof/>
          <w:lang w:val="en-US"/>
        </w:rPr>
      </w:pPr>
      <w:r w:rsidRPr="001230B9">
        <w:rPr>
          <w:rFonts w:ascii="Arial" w:hAnsi="Arial" w:cs="Arial"/>
          <w:noProof/>
          <w:lang w:val="en-US"/>
        </w:rPr>
        <w:t xml:space="preserve">26. </w:t>
      </w:r>
      <w:r w:rsidRPr="001230B9">
        <w:rPr>
          <w:rFonts w:ascii="Arial" w:hAnsi="Arial" w:cs="Arial"/>
          <w:noProof/>
          <w:lang w:val="en-US"/>
        </w:rPr>
        <w:tab/>
        <w:t>Bettahar-Lebugle K, Feugeas O, Wittemer C, et al (2002) [Evolution of homocysteine during ovarian stimulation for IVF or ICSI]. Gynecol Obstet Fertil 30:121–8</w:t>
      </w:r>
    </w:p>
    <w:p w14:paraId="180FA001" w14:textId="77777777" w:rsidR="000D39D8" w:rsidRPr="000D39D8" w:rsidRDefault="000D39D8" w:rsidP="00BF46C5">
      <w:pPr>
        <w:widowControl w:val="0"/>
        <w:autoSpaceDE w:val="0"/>
        <w:autoSpaceDN w:val="0"/>
        <w:adjustRightInd w:val="0"/>
        <w:spacing w:after="0" w:line="480" w:lineRule="auto"/>
        <w:ind w:left="640" w:hanging="640"/>
        <w:jc w:val="both"/>
        <w:rPr>
          <w:rFonts w:ascii="Arial" w:hAnsi="Arial" w:cs="Arial"/>
          <w:noProof/>
        </w:rPr>
      </w:pPr>
      <w:r w:rsidRPr="001230B9">
        <w:rPr>
          <w:rFonts w:ascii="Arial" w:hAnsi="Arial" w:cs="Arial"/>
          <w:noProof/>
          <w:lang w:val="en-US"/>
        </w:rPr>
        <w:t xml:space="preserve">27. </w:t>
      </w:r>
      <w:r w:rsidRPr="001230B9">
        <w:rPr>
          <w:rFonts w:ascii="Arial" w:hAnsi="Arial" w:cs="Arial"/>
          <w:noProof/>
          <w:lang w:val="en-US"/>
        </w:rPr>
        <w:tab/>
        <w:t xml:space="preserve">Kumar KSD, Govindaiah V, Naushad SE, et al (2003) Plasma homocysteine levels correlated to interactions between folate status and methylene tetrahydrofolate reductase gene mutation in women with unexplained recurrent pregnancy loss. </w:t>
      </w:r>
      <w:r w:rsidRPr="000D39D8">
        <w:rPr>
          <w:rFonts w:ascii="Arial" w:hAnsi="Arial" w:cs="Arial"/>
          <w:noProof/>
        </w:rPr>
        <w:t>J Obstet Gynaecol 23:55–8</w:t>
      </w:r>
    </w:p>
    <w:p w14:paraId="37E7F3FC" w14:textId="4EF835D1" w:rsidR="00171AC0" w:rsidRDefault="002F5748" w:rsidP="00171AC0">
      <w:pPr>
        <w:widowControl w:val="0"/>
        <w:autoSpaceDE w:val="0"/>
        <w:autoSpaceDN w:val="0"/>
        <w:adjustRightInd w:val="0"/>
        <w:spacing w:after="0" w:line="480" w:lineRule="auto"/>
        <w:rPr>
          <w:bCs/>
          <w:lang w:val="en-US"/>
        </w:rPr>
      </w:pPr>
      <w:r>
        <w:rPr>
          <w:bCs/>
          <w:lang w:val="en-US"/>
        </w:rPr>
        <w:fldChar w:fldCharType="end"/>
      </w:r>
    </w:p>
    <w:p w14:paraId="23357023" w14:textId="541BC70E" w:rsidR="00171AC0" w:rsidRDefault="00171AC0" w:rsidP="00171AC0">
      <w:pPr>
        <w:widowControl w:val="0"/>
        <w:autoSpaceDE w:val="0"/>
        <w:autoSpaceDN w:val="0"/>
        <w:adjustRightInd w:val="0"/>
        <w:spacing w:after="0" w:line="480" w:lineRule="auto"/>
        <w:rPr>
          <w:bCs/>
          <w:lang w:val="en-US"/>
        </w:rPr>
      </w:pPr>
    </w:p>
    <w:p w14:paraId="48B043D8" w14:textId="2D27948E" w:rsidR="00171AC0" w:rsidRDefault="00171AC0" w:rsidP="00171AC0">
      <w:pPr>
        <w:widowControl w:val="0"/>
        <w:autoSpaceDE w:val="0"/>
        <w:autoSpaceDN w:val="0"/>
        <w:adjustRightInd w:val="0"/>
        <w:spacing w:after="0" w:line="480" w:lineRule="auto"/>
        <w:rPr>
          <w:bCs/>
          <w:lang w:val="en-US"/>
        </w:rPr>
      </w:pPr>
    </w:p>
    <w:p w14:paraId="627AD251" w14:textId="1CE35940" w:rsidR="00171AC0" w:rsidRDefault="00171AC0" w:rsidP="00171AC0">
      <w:pPr>
        <w:widowControl w:val="0"/>
        <w:autoSpaceDE w:val="0"/>
        <w:autoSpaceDN w:val="0"/>
        <w:adjustRightInd w:val="0"/>
        <w:spacing w:after="0" w:line="480" w:lineRule="auto"/>
        <w:rPr>
          <w:bCs/>
          <w:lang w:val="en-US"/>
        </w:rPr>
      </w:pPr>
    </w:p>
    <w:p w14:paraId="58E3AE56" w14:textId="31A3FB06" w:rsidR="00171AC0" w:rsidRDefault="00171AC0" w:rsidP="00171AC0">
      <w:pPr>
        <w:widowControl w:val="0"/>
        <w:autoSpaceDE w:val="0"/>
        <w:autoSpaceDN w:val="0"/>
        <w:adjustRightInd w:val="0"/>
        <w:spacing w:after="0" w:line="480" w:lineRule="auto"/>
        <w:rPr>
          <w:bCs/>
          <w:lang w:val="en-US"/>
        </w:rPr>
      </w:pPr>
    </w:p>
    <w:p w14:paraId="7AE1F097" w14:textId="48D7C1C6" w:rsidR="00171AC0" w:rsidRDefault="00171AC0" w:rsidP="00171AC0">
      <w:pPr>
        <w:widowControl w:val="0"/>
        <w:autoSpaceDE w:val="0"/>
        <w:autoSpaceDN w:val="0"/>
        <w:adjustRightInd w:val="0"/>
        <w:spacing w:after="0" w:line="480" w:lineRule="auto"/>
        <w:rPr>
          <w:bCs/>
          <w:lang w:val="en-US"/>
        </w:rPr>
      </w:pPr>
    </w:p>
    <w:p w14:paraId="18319895" w14:textId="41B742D4" w:rsidR="00171AC0" w:rsidRDefault="00171AC0" w:rsidP="00171AC0">
      <w:pPr>
        <w:widowControl w:val="0"/>
        <w:autoSpaceDE w:val="0"/>
        <w:autoSpaceDN w:val="0"/>
        <w:adjustRightInd w:val="0"/>
        <w:spacing w:after="0" w:line="480" w:lineRule="auto"/>
        <w:rPr>
          <w:bCs/>
          <w:lang w:val="en-US"/>
        </w:rPr>
      </w:pPr>
    </w:p>
    <w:p w14:paraId="2E8B896C" w14:textId="3A23B5DF" w:rsidR="00171AC0" w:rsidRDefault="00171AC0" w:rsidP="00171AC0">
      <w:pPr>
        <w:widowControl w:val="0"/>
        <w:autoSpaceDE w:val="0"/>
        <w:autoSpaceDN w:val="0"/>
        <w:adjustRightInd w:val="0"/>
        <w:spacing w:after="0" w:line="480" w:lineRule="auto"/>
        <w:rPr>
          <w:bCs/>
          <w:lang w:val="en-US"/>
        </w:rPr>
      </w:pPr>
    </w:p>
    <w:p w14:paraId="07050A5A" w14:textId="5B27F83C" w:rsidR="00171AC0" w:rsidRDefault="00171AC0" w:rsidP="00171AC0">
      <w:pPr>
        <w:widowControl w:val="0"/>
        <w:autoSpaceDE w:val="0"/>
        <w:autoSpaceDN w:val="0"/>
        <w:adjustRightInd w:val="0"/>
        <w:spacing w:after="0" w:line="480" w:lineRule="auto"/>
        <w:rPr>
          <w:bCs/>
          <w:lang w:val="en-US"/>
        </w:rPr>
      </w:pPr>
    </w:p>
    <w:p w14:paraId="276AF5EF" w14:textId="77777777" w:rsidR="00057A5B" w:rsidRDefault="00057A5B" w:rsidP="00171AC0">
      <w:pPr>
        <w:widowControl w:val="0"/>
        <w:autoSpaceDE w:val="0"/>
        <w:autoSpaceDN w:val="0"/>
        <w:adjustRightInd w:val="0"/>
        <w:spacing w:after="0" w:line="480" w:lineRule="auto"/>
        <w:rPr>
          <w:bCs/>
          <w:lang w:val="en-US"/>
        </w:rPr>
      </w:pPr>
    </w:p>
    <w:tbl>
      <w:tblPr>
        <w:tblStyle w:val="TableGrid"/>
        <w:tblW w:w="9180" w:type="dxa"/>
        <w:tblInd w:w="-5" w:type="dxa"/>
        <w:tblLook w:val="04A0" w:firstRow="1" w:lastRow="0" w:firstColumn="1" w:lastColumn="0" w:noHBand="0" w:noVBand="1"/>
      </w:tblPr>
      <w:tblGrid>
        <w:gridCol w:w="2694"/>
        <w:gridCol w:w="2126"/>
        <w:gridCol w:w="2126"/>
        <w:gridCol w:w="2234"/>
      </w:tblGrid>
      <w:tr w:rsidR="00171AC0" w:rsidRPr="00327B9D" w14:paraId="0068D731" w14:textId="77777777" w:rsidTr="00171AC0">
        <w:trPr>
          <w:trHeight w:val="961"/>
        </w:trPr>
        <w:tc>
          <w:tcPr>
            <w:tcW w:w="2694" w:type="dxa"/>
          </w:tcPr>
          <w:p w14:paraId="5887CE95" w14:textId="77777777" w:rsidR="00171AC0" w:rsidRPr="00CF0056" w:rsidRDefault="00171AC0" w:rsidP="00171AC0">
            <w:pPr>
              <w:rPr>
                <w:rFonts w:ascii="Arial" w:hAnsi="Arial" w:cs="Arial"/>
                <w:lang w:val="en-US"/>
              </w:rPr>
            </w:pPr>
          </w:p>
        </w:tc>
        <w:tc>
          <w:tcPr>
            <w:tcW w:w="2126" w:type="dxa"/>
          </w:tcPr>
          <w:p w14:paraId="6D0D0145" w14:textId="77777777"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t>Group A1</w:t>
            </w:r>
          </w:p>
          <w:p w14:paraId="26F6976C" w14:textId="77777777"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t>n=11</w:t>
            </w:r>
          </w:p>
          <w:p w14:paraId="113A87E4" w14:textId="4A29E193" w:rsidR="00171AC0" w:rsidRPr="00171AC0" w:rsidRDefault="00171AC0" w:rsidP="00171AC0">
            <w:pPr>
              <w:jc w:val="center"/>
              <w:rPr>
                <w:rFonts w:ascii="Arial" w:hAnsi="Arial" w:cs="Arial"/>
                <w:b/>
                <w:color w:val="FF0000"/>
                <w:sz w:val="20"/>
                <w:szCs w:val="20"/>
                <w:lang w:val="en-US"/>
              </w:rPr>
            </w:pPr>
            <w:r w:rsidRPr="00865636">
              <w:rPr>
                <w:rFonts w:ascii="Arial" w:hAnsi="Arial" w:cs="Arial"/>
                <w:b/>
                <w:sz w:val="20"/>
                <w:szCs w:val="20"/>
                <w:lang w:val="en-US"/>
              </w:rPr>
              <w:lastRenderedPageBreak/>
              <w:t>mean</w:t>
            </w:r>
            <w:r>
              <w:rPr>
                <w:rFonts w:ascii="Arial" w:hAnsi="Arial" w:cs="Arial"/>
                <w:b/>
                <w:sz w:val="20"/>
                <w:szCs w:val="20"/>
                <w:lang w:val="en-US"/>
              </w:rPr>
              <w:t xml:space="preserve"> </w:t>
            </w:r>
            <w:r w:rsidRPr="00865636">
              <w:rPr>
                <w:rFonts w:ascii="Arial" w:hAnsi="Arial" w:cs="Arial"/>
                <w:b/>
                <w:sz w:val="20"/>
                <w:szCs w:val="20"/>
                <w:lang w:val="en-US"/>
              </w:rPr>
              <w:t>(range)</w:t>
            </w:r>
          </w:p>
        </w:tc>
        <w:tc>
          <w:tcPr>
            <w:tcW w:w="2126" w:type="dxa"/>
          </w:tcPr>
          <w:p w14:paraId="0D7BDEAB" w14:textId="77777777"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lastRenderedPageBreak/>
              <w:t>Group A2</w:t>
            </w:r>
          </w:p>
          <w:p w14:paraId="6419F95F" w14:textId="77777777"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t>n=38</w:t>
            </w:r>
          </w:p>
          <w:p w14:paraId="06D33D56" w14:textId="2A5FD41A"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lastRenderedPageBreak/>
              <w:t>mean</w:t>
            </w:r>
            <w:r>
              <w:rPr>
                <w:rFonts w:ascii="Arial" w:hAnsi="Arial" w:cs="Arial"/>
                <w:b/>
                <w:sz w:val="20"/>
                <w:szCs w:val="20"/>
                <w:lang w:val="en-US"/>
              </w:rPr>
              <w:t xml:space="preserve"> </w:t>
            </w:r>
            <w:r w:rsidRPr="00865636">
              <w:rPr>
                <w:rFonts w:ascii="Arial" w:hAnsi="Arial" w:cs="Arial"/>
                <w:b/>
                <w:sz w:val="20"/>
                <w:szCs w:val="20"/>
                <w:lang w:val="en-US"/>
              </w:rPr>
              <w:t>(range)</w:t>
            </w:r>
          </w:p>
        </w:tc>
        <w:tc>
          <w:tcPr>
            <w:tcW w:w="2234" w:type="dxa"/>
          </w:tcPr>
          <w:p w14:paraId="70E4B2FA" w14:textId="77777777"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lastRenderedPageBreak/>
              <w:t>Group B</w:t>
            </w:r>
          </w:p>
          <w:p w14:paraId="10B31D81" w14:textId="77777777"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t>n=14</w:t>
            </w:r>
          </w:p>
          <w:p w14:paraId="346777BA" w14:textId="1923E8EA" w:rsidR="00171AC0" w:rsidRPr="00865636" w:rsidRDefault="00171AC0" w:rsidP="00171AC0">
            <w:pPr>
              <w:jc w:val="center"/>
              <w:rPr>
                <w:rFonts w:ascii="Arial" w:hAnsi="Arial" w:cs="Arial"/>
                <w:b/>
                <w:sz w:val="20"/>
                <w:szCs w:val="20"/>
                <w:lang w:val="en-US"/>
              </w:rPr>
            </w:pPr>
            <w:r w:rsidRPr="00865636">
              <w:rPr>
                <w:rFonts w:ascii="Arial" w:hAnsi="Arial" w:cs="Arial"/>
                <w:b/>
                <w:sz w:val="20"/>
                <w:szCs w:val="20"/>
                <w:lang w:val="en-US"/>
              </w:rPr>
              <w:lastRenderedPageBreak/>
              <w:t>mean</w:t>
            </w:r>
            <w:r>
              <w:rPr>
                <w:rFonts w:ascii="Arial" w:hAnsi="Arial" w:cs="Arial"/>
                <w:b/>
                <w:sz w:val="20"/>
                <w:szCs w:val="20"/>
                <w:lang w:val="en-US"/>
              </w:rPr>
              <w:t xml:space="preserve"> </w:t>
            </w:r>
            <w:r w:rsidRPr="00865636">
              <w:rPr>
                <w:rFonts w:ascii="Arial" w:hAnsi="Arial" w:cs="Arial"/>
                <w:b/>
                <w:sz w:val="20"/>
                <w:szCs w:val="20"/>
                <w:lang w:val="en-US"/>
              </w:rPr>
              <w:t>(range)</w:t>
            </w:r>
          </w:p>
        </w:tc>
      </w:tr>
      <w:tr w:rsidR="00171AC0" w:rsidRPr="00CF0056" w14:paraId="1CF22B58" w14:textId="77777777" w:rsidTr="00171AC0">
        <w:trPr>
          <w:trHeight w:val="836"/>
        </w:trPr>
        <w:tc>
          <w:tcPr>
            <w:tcW w:w="2694" w:type="dxa"/>
          </w:tcPr>
          <w:p w14:paraId="51142441" w14:textId="77777777" w:rsidR="00171AC0" w:rsidRPr="00CF0056" w:rsidRDefault="00171AC0" w:rsidP="00171AC0">
            <w:pPr>
              <w:rPr>
                <w:rFonts w:ascii="Arial" w:hAnsi="Arial" w:cs="Arial"/>
                <w:b/>
                <w:color w:val="000000"/>
                <w:sz w:val="20"/>
                <w:szCs w:val="20"/>
              </w:rPr>
            </w:pPr>
            <w:r w:rsidRPr="00CF0056">
              <w:rPr>
                <w:rFonts w:ascii="Arial" w:hAnsi="Arial" w:cs="Arial"/>
                <w:b/>
                <w:color w:val="000000"/>
                <w:sz w:val="20"/>
                <w:szCs w:val="20"/>
              </w:rPr>
              <w:lastRenderedPageBreak/>
              <w:t>Age</w:t>
            </w:r>
          </w:p>
        </w:tc>
        <w:tc>
          <w:tcPr>
            <w:tcW w:w="2126" w:type="dxa"/>
          </w:tcPr>
          <w:p w14:paraId="0CBFA6F6"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32.0 </w:t>
            </w:r>
          </w:p>
          <w:p w14:paraId="2F74E8F6"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(26-38)</w:t>
            </w:r>
          </w:p>
        </w:tc>
        <w:tc>
          <w:tcPr>
            <w:tcW w:w="2126" w:type="dxa"/>
          </w:tcPr>
          <w:p w14:paraId="3319E4AF"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31.6 </w:t>
            </w:r>
          </w:p>
          <w:p w14:paraId="0366D3B6"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(23-39)</w:t>
            </w:r>
          </w:p>
        </w:tc>
        <w:tc>
          <w:tcPr>
            <w:tcW w:w="2234" w:type="dxa"/>
          </w:tcPr>
          <w:p w14:paraId="1AD4A132"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23.6 </w:t>
            </w:r>
          </w:p>
          <w:p w14:paraId="6A38B7DB"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(20-30)</w:t>
            </w:r>
          </w:p>
        </w:tc>
      </w:tr>
      <w:tr w:rsidR="00171AC0" w:rsidRPr="00CF0056" w14:paraId="6E24393A" w14:textId="77777777" w:rsidTr="00171AC0">
        <w:tc>
          <w:tcPr>
            <w:tcW w:w="2694" w:type="dxa"/>
          </w:tcPr>
          <w:p w14:paraId="1175A032" w14:textId="77777777" w:rsidR="00171AC0" w:rsidRPr="00110B80" w:rsidRDefault="00171AC0" w:rsidP="00171AC0">
            <w:pPr>
              <w:rPr>
                <w:rFonts w:ascii="Arial" w:hAnsi="Arial" w:cs="Arial"/>
                <w:b/>
                <w:color w:val="000000" w:themeColor="text1"/>
                <w:sz w:val="20"/>
                <w:szCs w:val="20"/>
              </w:rPr>
            </w:pPr>
            <w:r w:rsidRPr="00110B80">
              <w:rPr>
                <w:rFonts w:ascii="Arial" w:hAnsi="Arial" w:cs="Arial"/>
                <w:b/>
                <w:color w:val="000000" w:themeColor="text1"/>
                <w:sz w:val="20"/>
                <w:szCs w:val="20"/>
              </w:rPr>
              <w:t>Body mass index</w:t>
            </w:r>
          </w:p>
        </w:tc>
        <w:tc>
          <w:tcPr>
            <w:tcW w:w="2126" w:type="dxa"/>
          </w:tcPr>
          <w:p w14:paraId="688F4DBE"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25.1</w:t>
            </w:r>
          </w:p>
          <w:p w14:paraId="5CA658F9"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(21.1-27.2)</w:t>
            </w:r>
          </w:p>
        </w:tc>
        <w:tc>
          <w:tcPr>
            <w:tcW w:w="2126" w:type="dxa"/>
          </w:tcPr>
          <w:p w14:paraId="74B03852"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27</w:t>
            </w:r>
          </w:p>
          <w:p w14:paraId="276DA943"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(20.5-35.6)</w:t>
            </w:r>
          </w:p>
        </w:tc>
        <w:tc>
          <w:tcPr>
            <w:tcW w:w="2234" w:type="dxa"/>
          </w:tcPr>
          <w:p w14:paraId="35033267"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22.5</w:t>
            </w:r>
          </w:p>
          <w:p w14:paraId="56B162B2"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19.6-28.8</w:t>
            </w:r>
          </w:p>
        </w:tc>
      </w:tr>
      <w:tr w:rsidR="00171AC0" w:rsidRPr="00CF0056" w14:paraId="77737172" w14:textId="77777777" w:rsidTr="00171AC0">
        <w:trPr>
          <w:trHeight w:val="409"/>
        </w:trPr>
        <w:tc>
          <w:tcPr>
            <w:tcW w:w="2694" w:type="dxa"/>
          </w:tcPr>
          <w:p w14:paraId="7EB45BDB" w14:textId="77777777" w:rsidR="00171AC0" w:rsidRPr="00110B80" w:rsidRDefault="00171AC0" w:rsidP="00171AC0">
            <w:pPr>
              <w:rPr>
                <w:rFonts w:ascii="Arial" w:hAnsi="Arial" w:cs="Arial"/>
                <w:b/>
                <w:color w:val="000000" w:themeColor="text1"/>
                <w:sz w:val="20"/>
                <w:szCs w:val="20"/>
              </w:rPr>
            </w:pPr>
            <w:r w:rsidRPr="00110B80">
              <w:rPr>
                <w:rFonts w:ascii="Arial" w:hAnsi="Arial" w:cs="Arial"/>
                <w:b/>
                <w:color w:val="000000" w:themeColor="text1"/>
                <w:sz w:val="20"/>
                <w:szCs w:val="20"/>
              </w:rPr>
              <w:t>Smokers (%)</w:t>
            </w:r>
          </w:p>
        </w:tc>
        <w:tc>
          <w:tcPr>
            <w:tcW w:w="2126" w:type="dxa"/>
          </w:tcPr>
          <w:p w14:paraId="6834CF13"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0</w:t>
            </w:r>
          </w:p>
        </w:tc>
        <w:tc>
          <w:tcPr>
            <w:tcW w:w="2126" w:type="dxa"/>
          </w:tcPr>
          <w:p w14:paraId="4CF9091B"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2</w:t>
            </w:r>
          </w:p>
        </w:tc>
        <w:tc>
          <w:tcPr>
            <w:tcW w:w="2234" w:type="dxa"/>
          </w:tcPr>
          <w:p w14:paraId="08DF3EA8" w14:textId="77777777" w:rsidR="00171AC0" w:rsidRPr="00110B80" w:rsidRDefault="00171AC0" w:rsidP="00171AC0">
            <w:pPr>
              <w:jc w:val="center"/>
              <w:rPr>
                <w:rFonts w:ascii="Arial" w:hAnsi="Arial" w:cs="Arial"/>
                <w:color w:val="000000" w:themeColor="text1"/>
                <w:sz w:val="20"/>
                <w:szCs w:val="20"/>
              </w:rPr>
            </w:pPr>
            <w:r w:rsidRPr="00110B80">
              <w:rPr>
                <w:rFonts w:ascii="Arial" w:hAnsi="Arial" w:cs="Arial"/>
                <w:color w:val="000000" w:themeColor="text1"/>
                <w:sz w:val="20"/>
                <w:szCs w:val="20"/>
              </w:rPr>
              <w:t>4</w:t>
            </w:r>
          </w:p>
        </w:tc>
      </w:tr>
      <w:tr w:rsidR="00171AC0" w:rsidRPr="00CF0056" w14:paraId="3248FAAB" w14:textId="77777777" w:rsidTr="00171AC0">
        <w:tc>
          <w:tcPr>
            <w:tcW w:w="2694" w:type="dxa"/>
          </w:tcPr>
          <w:p w14:paraId="22D40805" w14:textId="77777777" w:rsidR="00171AC0" w:rsidRPr="00CF0056" w:rsidRDefault="00171AC0" w:rsidP="00171AC0">
            <w:pPr>
              <w:rPr>
                <w:rFonts w:ascii="Arial" w:hAnsi="Arial" w:cs="Arial"/>
                <w:b/>
                <w:color w:val="000000"/>
                <w:sz w:val="20"/>
                <w:szCs w:val="20"/>
              </w:rPr>
            </w:pPr>
            <w:r w:rsidRPr="00CF0056">
              <w:rPr>
                <w:rFonts w:ascii="Arial" w:hAnsi="Arial" w:cs="Arial"/>
                <w:b/>
                <w:color w:val="000000"/>
                <w:sz w:val="20"/>
                <w:szCs w:val="20"/>
              </w:rPr>
              <w:t>Days of stimulation</w:t>
            </w:r>
          </w:p>
        </w:tc>
        <w:tc>
          <w:tcPr>
            <w:tcW w:w="2126" w:type="dxa"/>
          </w:tcPr>
          <w:p w14:paraId="3B4466FB"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9.9 </w:t>
            </w:r>
          </w:p>
          <w:p w14:paraId="4A2F89BE"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(9-12)</w:t>
            </w:r>
          </w:p>
        </w:tc>
        <w:tc>
          <w:tcPr>
            <w:tcW w:w="2126" w:type="dxa"/>
          </w:tcPr>
          <w:p w14:paraId="1CC420B5"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10.1 </w:t>
            </w:r>
          </w:p>
          <w:p w14:paraId="2B277BB3"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(7-12)</w:t>
            </w:r>
          </w:p>
        </w:tc>
        <w:tc>
          <w:tcPr>
            <w:tcW w:w="2234" w:type="dxa"/>
          </w:tcPr>
          <w:p w14:paraId="24C1417E"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9.4 </w:t>
            </w:r>
          </w:p>
          <w:p w14:paraId="24FA52D8"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(6-11)</w:t>
            </w:r>
          </w:p>
        </w:tc>
      </w:tr>
      <w:tr w:rsidR="00171AC0" w:rsidRPr="00CF0056" w14:paraId="515B50BB" w14:textId="77777777" w:rsidTr="00171AC0">
        <w:tc>
          <w:tcPr>
            <w:tcW w:w="2694" w:type="dxa"/>
          </w:tcPr>
          <w:p w14:paraId="34C52F90" w14:textId="77777777" w:rsidR="00171AC0" w:rsidRPr="00CF0056" w:rsidRDefault="00171AC0" w:rsidP="00171AC0">
            <w:pPr>
              <w:rPr>
                <w:rFonts w:ascii="Arial" w:hAnsi="Arial" w:cs="Arial"/>
                <w:b/>
                <w:color w:val="000000"/>
                <w:sz w:val="20"/>
                <w:szCs w:val="20"/>
                <w:lang w:val="en-US"/>
              </w:rPr>
            </w:pPr>
            <w:r w:rsidRPr="00CF0056">
              <w:rPr>
                <w:rFonts w:ascii="Arial" w:hAnsi="Arial" w:cs="Arial"/>
                <w:b/>
                <w:color w:val="000000"/>
                <w:sz w:val="20"/>
                <w:szCs w:val="20"/>
                <w:lang w:val="en-US"/>
              </w:rPr>
              <w:t>Dose of FSH dose (IU)</w:t>
            </w:r>
          </w:p>
        </w:tc>
        <w:tc>
          <w:tcPr>
            <w:tcW w:w="2126" w:type="dxa"/>
          </w:tcPr>
          <w:p w14:paraId="0BBE7F0F"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2681.8 </w:t>
            </w:r>
          </w:p>
          <w:p w14:paraId="261D0A76"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(1575-3375)</w:t>
            </w:r>
          </w:p>
        </w:tc>
        <w:tc>
          <w:tcPr>
            <w:tcW w:w="2126" w:type="dxa"/>
          </w:tcPr>
          <w:p w14:paraId="43272A8E"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2893.5 </w:t>
            </w:r>
          </w:p>
          <w:p w14:paraId="509873AF"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(1125-6000)</w:t>
            </w:r>
          </w:p>
        </w:tc>
        <w:tc>
          <w:tcPr>
            <w:tcW w:w="2234" w:type="dxa"/>
          </w:tcPr>
          <w:p w14:paraId="039AE236"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2287.5 </w:t>
            </w:r>
          </w:p>
          <w:p w14:paraId="67E4D8BA"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(1575-3300)</w:t>
            </w:r>
          </w:p>
        </w:tc>
      </w:tr>
      <w:tr w:rsidR="00171AC0" w:rsidRPr="00CF0056" w14:paraId="2AC9D534" w14:textId="77777777" w:rsidTr="00171AC0">
        <w:tc>
          <w:tcPr>
            <w:tcW w:w="2694" w:type="dxa"/>
          </w:tcPr>
          <w:p w14:paraId="3734E4C2" w14:textId="77777777" w:rsidR="00171AC0" w:rsidRPr="00CF0056" w:rsidRDefault="00171AC0" w:rsidP="00171AC0">
            <w:pPr>
              <w:rPr>
                <w:rFonts w:ascii="Arial" w:hAnsi="Arial" w:cs="Arial"/>
                <w:b/>
                <w:color w:val="000000"/>
                <w:sz w:val="20"/>
                <w:szCs w:val="20"/>
              </w:rPr>
            </w:pPr>
            <w:r w:rsidRPr="00CF0056">
              <w:rPr>
                <w:rFonts w:ascii="Arial" w:hAnsi="Arial" w:cs="Arial"/>
                <w:b/>
                <w:color w:val="000000"/>
                <w:sz w:val="20"/>
                <w:szCs w:val="20"/>
              </w:rPr>
              <w:t>Folicules &gt;14 mm</w:t>
            </w:r>
          </w:p>
        </w:tc>
        <w:tc>
          <w:tcPr>
            <w:tcW w:w="2126" w:type="dxa"/>
          </w:tcPr>
          <w:p w14:paraId="0338C39E"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7.4 </w:t>
            </w:r>
          </w:p>
          <w:p w14:paraId="33B52F69"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(2-17)</w:t>
            </w:r>
          </w:p>
        </w:tc>
        <w:tc>
          <w:tcPr>
            <w:tcW w:w="2126" w:type="dxa"/>
          </w:tcPr>
          <w:p w14:paraId="48E88CAA"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7.9 </w:t>
            </w:r>
          </w:p>
          <w:p w14:paraId="1C69251C"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(2-24)</w:t>
            </w:r>
          </w:p>
        </w:tc>
        <w:tc>
          <w:tcPr>
            <w:tcW w:w="2234" w:type="dxa"/>
          </w:tcPr>
          <w:p w14:paraId="08C1645D"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11.6 </w:t>
            </w:r>
          </w:p>
          <w:p w14:paraId="7E33F84E"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(4-17)</w:t>
            </w:r>
          </w:p>
        </w:tc>
      </w:tr>
      <w:tr w:rsidR="00171AC0" w:rsidRPr="00CF0056" w14:paraId="1B74070D" w14:textId="77777777" w:rsidTr="00171AC0">
        <w:tc>
          <w:tcPr>
            <w:tcW w:w="2694" w:type="dxa"/>
          </w:tcPr>
          <w:p w14:paraId="1C04F1F3" w14:textId="77777777" w:rsidR="00171AC0" w:rsidRPr="00CF0056" w:rsidRDefault="00171AC0" w:rsidP="00171AC0">
            <w:pPr>
              <w:rPr>
                <w:rFonts w:ascii="Arial" w:hAnsi="Arial" w:cs="Arial"/>
                <w:b/>
                <w:color w:val="000000"/>
                <w:sz w:val="20"/>
                <w:szCs w:val="20"/>
              </w:rPr>
            </w:pPr>
            <w:r w:rsidRPr="00CF0056">
              <w:rPr>
                <w:rFonts w:ascii="Arial" w:hAnsi="Arial" w:cs="Arial"/>
                <w:b/>
                <w:color w:val="000000"/>
                <w:sz w:val="20"/>
                <w:szCs w:val="20"/>
              </w:rPr>
              <w:t>Number of oocytes</w:t>
            </w:r>
          </w:p>
        </w:tc>
        <w:tc>
          <w:tcPr>
            <w:tcW w:w="2126" w:type="dxa"/>
          </w:tcPr>
          <w:p w14:paraId="04C2CAC0"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10.6 </w:t>
            </w:r>
          </w:p>
          <w:p w14:paraId="3FE8E890"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(2-30)</w:t>
            </w:r>
          </w:p>
        </w:tc>
        <w:tc>
          <w:tcPr>
            <w:tcW w:w="2126" w:type="dxa"/>
          </w:tcPr>
          <w:p w14:paraId="652EBAB8"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7.7  </w:t>
            </w:r>
          </w:p>
          <w:p w14:paraId="4CBE1FF3"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(2-17)</w:t>
            </w:r>
          </w:p>
        </w:tc>
        <w:tc>
          <w:tcPr>
            <w:tcW w:w="2234" w:type="dxa"/>
          </w:tcPr>
          <w:p w14:paraId="34DC97D4"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12.5 </w:t>
            </w:r>
          </w:p>
          <w:p w14:paraId="0DB95EBC"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(6-22)</w:t>
            </w:r>
          </w:p>
        </w:tc>
      </w:tr>
      <w:tr w:rsidR="00171AC0" w:rsidRPr="00CF0056" w14:paraId="30E87841" w14:textId="77777777" w:rsidTr="00171AC0">
        <w:trPr>
          <w:trHeight w:val="737"/>
        </w:trPr>
        <w:tc>
          <w:tcPr>
            <w:tcW w:w="2694" w:type="dxa"/>
          </w:tcPr>
          <w:p w14:paraId="4D3F2C67" w14:textId="77777777" w:rsidR="00171AC0" w:rsidRPr="00CF0056" w:rsidRDefault="00171AC0" w:rsidP="00171AC0">
            <w:pPr>
              <w:rPr>
                <w:rFonts w:ascii="Arial" w:hAnsi="Arial" w:cs="Arial"/>
                <w:b/>
                <w:color w:val="000000"/>
                <w:sz w:val="20"/>
                <w:szCs w:val="20"/>
              </w:rPr>
            </w:pPr>
            <w:r w:rsidRPr="00CF0056">
              <w:rPr>
                <w:rFonts w:ascii="Arial" w:hAnsi="Arial" w:cs="Arial"/>
                <w:b/>
                <w:color w:val="000000"/>
                <w:sz w:val="20"/>
                <w:szCs w:val="20"/>
              </w:rPr>
              <w:t>Number of embryos</w:t>
            </w:r>
          </w:p>
        </w:tc>
        <w:tc>
          <w:tcPr>
            <w:tcW w:w="2126" w:type="dxa"/>
          </w:tcPr>
          <w:p w14:paraId="0B974B7B"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8.4 </w:t>
            </w:r>
          </w:p>
          <w:p w14:paraId="46375BEA"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(2-24)</w:t>
            </w:r>
          </w:p>
        </w:tc>
        <w:tc>
          <w:tcPr>
            <w:tcW w:w="2126" w:type="dxa"/>
          </w:tcPr>
          <w:p w14:paraId="54CDFC9E"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5.6  </w:t>
            </w:r>
          </w:p>
          <w:p w14:paraId="7D6126B7"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(0-15)</w:t>
            </w:r>
          </w:p>
        </w:tc>
        <w:tc>
          <w:tcPr>
            <w:tcW w:w="2234" w:type="dxa"/>
          </w:tcPr>
          <w:p w14:paraId="13173B36"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7.1 </w:t>
            </w:r>
          </w:p>
          <w:p w14:paraId="7D473C7D"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(2-14)</w:t>
            </w:r>
          </w:p>
        </w:tc>
      </w:tr>
      <w:tr w:rsidR="00171AC0" w:rsidRPr="00CF0056" w14:paraId="1F04DB88" w14:textId="77777777" w:rsidTr="00171AC0">
        <w:tc>
          <w:tcPr>
            <w:tcW w:w="2694" w:type="dxa"/>
          </w:tcPr>
          <w:p w14:paraId="615A1E5E" w14:textId="77777777" w:rsidR="00171AC0" w:rsidRPr="00CF0056" w:rsidRDefault="00171AC0" w:rsidP="00171AC0">
            <w:pPr>
              <w:rPr>
                <w:rFonts w:ascii="Arial" w:hAnsi="Arial" w:cs="Arial"/>
                <w:b/>
                <w:color w:val="000000"/>
                <w:sz w:val="20"/>
                <w:szCs w:val="20"/>
              </w:rPr>
            </w:pPr>
            <w:r w:rsidRPr="00CF0056">
              <w:rPr>
                <w:rFonts w:ascii="Arial" w:hAnsi="Arial" w:cs="Arial"/>
                <w:b/>
                <w:color w:val="000000"/>
                <w:sz w:val="20"/>
                <w:szCs w:val="20"/>
              </w:rPr>
              <w:t>Fertilization (%)</w:t>
            </w:r>
          </w:p>
        </w:tc>
        <w:tc>
          <w:tcPr>
            <w:tcW w:w="2126" w:type="dxa"/>
          </w:tcPr>
          <w:p w14:paraId="594BE44C"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79.5 </w:t>
            </w:r>
          </w:p>
          <w:p w14:paraId="4F8223E1"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(42-100)</w:t>
            </w:r>
          </w:p>
        </w:tc>
        <w:tc>
          <w:tcPr>
            <w:tcW w:w="2126" w:type="dxa"/>
          </w:tcPr>
          <w:p w14:paraId="4EA75AA2"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75.2 </w:t>
            </w:r>
          </w:p>
          <w:p w14:paraId="054CE846"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(0-100)</w:t>
            </w:r>
          </w:p>
        </w:tc>
        <w:tc>
          <w:tcPr>
            <w:tcW w:w="2234" w:type="dxa"/>
          </w:tcPr>
          <w:p w14:paraId="72777CB9"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59 </w:t>
            </w:r>
          </w:p>
          <w:p w14:paraId="6CF8C75B"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(11.7-100)</w:t>
            </w:r>
          </w:p>
        </w:tc>
      </w:tr>
      <w:tr w:rsidR="00171AC0" w:rsidRPr="00CF0056" w14:paraId="0BCF681B" w14:textId="77777777" w:rsidTr="00171AC0">
        <w:tc>
          <w:tcPr>
            <w:tcW w:w="2694" w:type="dxa"/>
          </w:tcPr>
          <w:p w14:paraId="1866B26C" w14:textId="77777777" w:rsidR="00171AC0" w:rsidRPr="00CF0056" w:rsidRDefault="00171AC0" w:rsidP="00171AC0">
            <w:pPr>
              <w:rPr>
                <w:rFonts w:ascii="Arial" w:hAnsi="Arial" w:cs="Arial"/>
                <w:b/>
                <w:color w:val="000000"/>
                <w:sz w:val="20"/>
                <w:szCs w:val="20"/>
              </w:rPr>
            </w:pPr>
            <w:r w:rsidRPr="00CF0056">
              <w:rPr>
                <w:rFonts w:ascii="Arial" w:hAnsi="Arial" w:cs="Arial"/>
                <w:b/>
                <w:color w:val="000000"/>
                <w:sz w:val="20"/>
                <w:szCs w:val="20"/>
              </w:rPr>
              <w:t>Number of embryos transfered</w:t>
            </w:r>
          </w:p>
        </w:tc>
        <w:tc>
          <w:tcPr>
            <w:tcW w:w="2126" w:type="dxa"/>
          </w:tcPr>
          <w:p w14:paraId="36D78DAF"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2.8 </w:t>
            </w:r>
          </w:p>
          <w:p w14:paraId="0663521D"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(2-4)</w:t>
            </w:r>
          </w:p>
        </w:tc>
        <w:tc>
          <w:tcPr>
            <w:tcW w:w="2126" w:type="dxa"/>
          </w:tcPr>
          <w:p w14:paraId="2B51C65A"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2.6 </w:t>
            </w:r>
          </w:p>
          <w:p w14:paraId="7B333DCA"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(0-4)</w:t>
            </w:r>
          </w:p>
        </w:tc>
        <w:tc>
          <w:tcPr>
            <w:tcW w:w="2234" w:type="dxa"/>
          </w:tcPr>
          <w:p w14:paraId="77D65914"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 xml:space="preserve">2.9 </w:t>
            </w:r>
          </w:p>
          <w:p w14:paraId="75244747" w14:textId="77777777" w:rsidR="00171AC0" w:rsidRPr="00CF0056" w:rsidRDefault="00171AC0" w:rsidP="00171AC0">
            <w:pPr>
              <w:jc w:val="center"/>
              <w:rPr>
                <w:rFonts w:ascii="Arial" w:hAnsi="Arial" w:cs="Arial"/>
                <w:color w:val="000000"/>
                <w:sz w:val="20"/>
                <w:szCs w:val="20"/>
              </w:rPr>
            </w:pPr>
            <w:r w:rsidRPr="00CF0056">
              <w:rPr>
                <w:rFonts w:ascii="Arial" w:hAnsi="Arial" w:cs="Arial"/>
                <w:color w:val="000000"/>
                <w:sz w:val="20"/>
                <w:szCs w:val="20"/>
              </w:rPr>
              <w:t>(2-3)</w:t>
            </w:r>
          </w:p>
        </w:tc>
      </w:tr>
    </w:tbl>
    <w:p w14:paraId="40F123F6" w14:textId="3CF5AC83" w:rsidR="00F24660" w:rsidRDefault="00F24660" w:rsidP="00171AC0">
      <w:pPr>
        <w:widowControl w:val="0"/>
        <w:autoSpaceDE w:val="0"/>
        <w:autoSpaceDN w:val="0"/>
        <w:adjustRightInd w:val="0"/>
        <w:spacing w:after="0" w:line="480" w:lineRule="auto"/>
        <w:rPr>
          <w:rFonts w:ascii="Arial" w:hAnsi="Arial" w:cs="Arial"/>
          <w:b/>
          <w:lang w:val="en-US"/>
        </w:rPr>
      </w:pPr>
    </w:p>
    <w:p w14:paraId="372C9C59" w14:textId="68D475AC" w:rsidR="00C54578" w:rsidRDefault="00F24660" w:rsidP="00F24660">
      <w:pPr>
        <w:spacing w:after="0"/>
        <w:jc w:val="both"/>
        <w:rPr>
          <w:rFonts w:ascii="Arial" w:hAnsi="Arial" w:cs="Arial"/>
          <w:color w:val="000000" w:themeColor="text1"/>
          <w:lang w:val="en-US"/>
        </w:rPr>
      </w:pPr>
      <w:r w:rsidRPr="00005E56">
        <w:rPr>
          <w:rFonts w:ascii="Arial" w:hAnsi="Arial" w:cs="Arial"/>
          <w:b/>
          <w:lang w:val="en-US"/>
        </w:rPr>
        <w:t>Table</w:t>
      </w:r>
      <w:r w:rsidRPr="00005E56">
        <w:rPr>
          <w:rFonts w:ascii="Arial" w:hAnsi="Arial" w:cs="Arial"/>
          <w:lang w:val="en-US"/>
        </w:rPr>
        <w:t xml:space="preserve"> </w:t>
      </w:r>
      <w:r w:rsidRPr="00005E56">
        <w:rPr>
          <w:rFonts w:ascii="Arial" w:hAnsi="Arial" w:cs="Arial"/>
          <w:b/>
          <w:lang w:val="en-US"/>
        </w:rPr>
        <w:t>1</w:t>
      </w:r>
      <w:r w:rsidRPr="00005E56">
        <w:rPr>
          <w:rFonts w:ascii="Arial" w:hAnsi="Arial" w:cs="Arial"/>
          <w:lang w:val="en-US"/>
        </w:rPr>
        <w:t xml:space="preserve">. </w:t>
      </w:r>
      <w:r w:rsidRPr="00F24660">
        <w:rPr>
          <w:rFonts w:ascii="Arial" w:hAnsi="Arial" w:cs="Arial"/>
          <w:b/>
          <w:bCs/>
          <w:lang w:val="en-US"/>
        </w:rPr>
        <w:t>General features of the studied population.</w:t>
      </w:r>
      <w:r w:rsidRPr="00F24660">
        <w:rPr>
          <w:rFonts w:ascii="Arial" w:hAnsi="Arial" w:cs="Arial"/>
          <w:b/>
          <w:bCs/>
          <w:color w:val="000000" w:themeColor="text1"/>
          <w:lang w:val="en-US"/>
        </w:rPr>
        <w:t xml:space="preserve"> Group A1</w:t>
      </w:r>
      <w:r>
        <w:rPr>
          <w:rFonts w:ascii="Arial" w:hAnsi="Arial" w:cs="Arial"/>
          <w:b/>
          <w:bCs/>
          <w:color w:val="000000" w:themeColor="text1"/>
          <w:lang w:val="en-US"/>
        </w:rPr>
        <w:t>.</w:t>
      </w:r>
      <w:r w:rsidRPr="00C54578">
        <w:rPr>
          <w:rFonts w:ascii="Arial" w:hAnsi="Arial" w:cs="Arial"/>
          <w:color w:val="000000" w:themeColor="text1"/>
          <w:lang w:val="en-US"/>
        </w:rPr>
        <w:t xml:space="preserve"> patients who became pregnant after the treatment. Group A2: patients that did not achieved pregnancy. Group B: control group (patients of our egg donor program).</w:t>
      </w:r>
    </w:p>
    <w:p w14:paraId="39B33E65" w14:textId="2C6D8CA6" w:rsidR="00171AC0" w:rsidRDefault="00171AC0" w:rsidP="00F24660">
      <w:pPr>
        <w:spacing w:after="0"/>
        <w:jc w:val="both"/>
        <w:rPr>
          <w:rFonts w:ascii="Arial" w:hAnsi="Arial" w:cs="Arial"/>
          <w:color w:val="000000" w:themeColor="text1"/>
          <w:lang w:val="en-US"/>
        </w:rPr>
      </w:pPr>
    </w:p>
    <w:p w14:paraId="01B97BA0" w14:textId="43C848E5" w:rsidR="00171AC0" w:rsidRDefault="00171AC0" w:rsidP="00F24660">
      <w:pPr>
        <w:spacing w:after="0"/>
        <w:jc w:val="both"/>
        <w:rPr>
          <w:rFonts w:ascii="Arial" w:hAnsi="Arial" w:cs="Arial"/>
          <w:color w:val="000000" w:themeColor="text1"/>
          <w:lang w:val="en-US"/>
        </w:rPr>
      </w:pPr>
    </w:p>
    <w:p w14:paraId="75A153A1" w14:textId="4912418C" w:rsidR="00171AC0" w:rsidRDefault="00171AC0" w:rsidP="00F24660">
      <w:pPr>
        <w:spacing w:after="0"/>
        <w:jc w:val="both"/>
        <w:rPr>
          <w:rFonts w:ascii="Arial" w:hAnsi="Arial" w:cs="Arial"/>
          <w:color w:val="000000" w:themeColor="text1"/>
          <w:lang w:val="en-US"/>
        </w:rPr>
      </w:pPr>
    </w:p>
    <w:p w14:paraId="5C696DA7" w14:textId="29038BD7" w:rsidR="00171AC0" w:rsidRDefault="00171AC0" w:rsidP="00F24660">
      <w:pPr>
        <w:spacing w:after="0"/>
        <w:jc w:val="both"/>
        <w:rPr>
          <w:rFonts w:ascii="Arial" w:hAnsi="Arial" w:cs="Arial"/>
          <w:color w:val="000000" w:themeColor="text1"/>
          <w:lang w:val="en-US"/>
        </w:rPr>
      </w:pPr>
    </w:p>
    <w:p w14:paraId="08189212" w14:textId="77777777" w:rsidR="007004B8" w:rsidRDefault="007004B8" w:rsidP="00F24660">
      <w:pPr>
        <w:spacing w:after="0"/>
        <w:jc w:val="both"/>
        <w:rPr>
          <w:rFonts w:ascii="Arial" w:hAnsi="Arial" w:cs="Arial"/>
          <w:color w:val="000000" w:themeColor="text1"/>
          <w:lang w:val="en-US"/>
        </w:rPr>
      </w:pPr>
    </w:p>
    <w:p w14:paraId="4E42A352" w14:textId="6D806125" w:rsidR="00171AC0" w:rsidRDefault="00171AC0" w:rsidP="00F24660">
      <w:pPr>
        <w:spacing w:after="0"/>
        <w:jc w:val="both"/>
        <w:rPr>
          <w:rFonts w:ascii="Arial" w:hAnsi="Arial" w:cs="Arial"/>
          <w:color w:val="000000" w:themeColor="text1"/>
          <w:lang w:val="en-US"/>
        </w:rPr>
      </w:pPr>
    </w:p>
    <w:p w14:paraId="711BB8E8" w14:textId="0027AD24" w:rsidR="00171AC0" w:rsidRDefault="00171AC0" w:rsidP="00F24660">
      <w:pPr>
        <w:spacing w:after="0"/>
        <w:jc w:val="both"/>
        <w:rPr>
          <w:rFonts w:ascii="Arial" w:hAnsi="Arial" w:cs="Arial"/>
          <w:color w:val="000000" w:themeColor="text1"/>
          <w:lang w:val="en-US"/>
        </w:rPr>
      </w:pPr>
    </w:p>
    <w:p w14:paraId="1E21EA55" w14:textId="77777777" w:rsidR="00171AC0" w:rsidRPr="00F24660" w:rsidRDefault="00171AC0" w:rsidP="00F24660">
      <w:pPr>
        <w:spacing w:after="0"/>
        <w:jc w:val="both"/>
        <w:rPr>
          <w:rFonts w:ascii="Arial" w:hAnsi="Arial" w:cs="Arial"/>
          <w:color w:val="000000" w:themeColor="text1"/>
          <w:lang w:val="en-US"/>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080"/>
        <w:gridCol w:w="1530"/>
        <w:gridCol w:w="1710"/>
        <w:gridCol w:w="1313"/>
        <w:gridCol w:w="1117"/>
      </w:tblGrid>
      <w:tr w:rsidR="00C54578" w:rsidRPr="00C54578" w14:paraId="0DC507FA" w14:textId="77777777" w:rsidTr="00B67313">
        <w:trPr>
          <w:jc w:val="center"/>
        </w:trPr>
        <w:tc>
          <w:tcPr>
            <w:tcW w:w="1975" w:type="dxa"/>
            <w:shd w:val="clear" w:color="auto" w:fill="auto"/>
          </w:tcPr>
          <w:p w14:paraId="4576E251" w14:textId="77777777" w:rsidR="00C54578" w:rsidRPr="00C54578" w:rsidRDefault="00C54578" w:rsidP="00C54578">
            <w:pPr>
              <w:spacing w:after="0"/>
              <w:rPr>
                <w:rFonts w:ascii="Arial" w:hAnsi="Arial" w:cs="Arial"/>
                <w:b/>
                <w:bCs/>
                <w:sz w:val="20"/>
                <w:szCs w:val="20"/>
                <w:lang w:val="en-US"/>
              </w:rPr>
            </w:pPr>
          </w:p>
          <w:p w14:paraId="7CD50B0C" w14:textId="77777777" w:rsidR="00C54578" w:rsidRPr="00C54578" w:rsidRDefault="00C54578" w:rsidP="00C54578">
            <w:pPr>
              <w:spacing w:after="0"/>
              <w:jc w:val="center"/>
              <w:rPr>
                <w:rFonts w:ascii="Arial" w:hAnsi="Arial" w:cs="Arial"/>
                <w:b/>
                <w:bCs/>
                <w:sz w:val="20"/>
                <w:szCs w:val="20"/>
                <w:lang w:val="en-US"/>
              </w:rPr>
            </w:pPr>
            <w:r w:rsidRPr="00C54578">
              <w:rPr>
                <w:rFonts w:ascii="Arial" w:hAnsi="Arial" w:cs="Arial"/>
                <w:b/>
                <w:bCs/>
                <w:sz w:val="20"/>
                <w:szCs w:val="20"/>
                <w:lang w:val="en-US"/>
              </w:rPr>
              <w:t>Metabolite</w:t>
            </w:r>
          </w:p>
          <w:p w14:paraId="1415D275" w14:textId="77777777" w:rsidR="00C54578" w:rsidRPr="00C54578" w:rsidRDefault="00C54578" w:rsidP="00C54578">
            <w:pPr>
              <w:spacing w:after="0"/>
              <w:jc w:val="center"/>
              <w:rPr>
                <w:rFonts w:ascii="Arial" w:hAnsi="Arial" w:cs="Arial"/>
                <w:b/>
                <w:bCs/>
                <w:sz w:val="20"/>
                <w:szCs w:val="20"/>
                <w:lang w:val="en-US"/>
              </w:rPr>
            </w:pPr>
            <w:r w:rsidRPr="00C54578">
              <w:rPr>
                <w:rFonts w:ascii="Arial" w:hAnsi="Arial" w:cs="Arial"/>
                <w:b/>
                <w:bCs/>
                <w:sz w:val="20"/>
                <w:szCs w:val="20"/>
                <w:lang w:val="en-US"/>
              </w:rPr>
              <w:lastRenderedPageBreak/>
              <w:t>(normal range)</w:t>
            </w:r>
          </w:p>
        </w:tc>
        <w:tc>
          <w:tcPr>
            <w:tcW w:w="1080" w:type="dxa"/>
          </w:tcPr>
          <w:p w14:paraId="2437992A" w14:textId="77777777" w:rsidR="00C54578" w:rsidRPr="00C54578" w:rsidRDefault="00C54578" w:rsidP="00C54578">
            <w:pPr>
              <w:spacing w:after="0"/>
              <w:jc w:val="center"/>
              <w:rPr>
                <w:rFonts w:ascii="Arial" w:hAnsi="Arial" w:cs="Arial"/>
                <w:b/>
                <w:bCs/>
                <w:sz w:val="20"/>
                <w:szCs w:val="20"/>
                <w:lang w:val="en-US"/>
              </w:rPr>
            </w:pPr>
            <w:r w:rsidRPr="00C54578">
              <w:rPr>
                <w:rFonts w:ascii="Arial" w:hAnsi="Arial" w:cs="Arial"/>
                <w:b/>
                <w:bCs/>
                <w:sz w:val="20"/>
                <w:szCs w:val="20"/>
                <w:lang w:val="en-US"/>
              </w:rPr>
              <w:lastRenderedPageBreak/>
              <w:t>Group</w:t>
            </w:r>
          </w:p>
        </w:tc>
        <w:tc>
          <w:tcPr>
            <w:tcW w:w="1530" w:type="dxa"/>
            <w:shd w:val="clear" w:color="auto" w:fill="auto"/>
          </w:tcPr>
          <w:p w14:paraId="03FB9EC1" w14:textId="77777777" w:rsidR="00C54578" w:rsidRPr="00110B80" w:rsidRDefault="00C54578" w:rsidP="00C54578">
            <w:pPr>
              <w:spacing w:after="0"/>
              <w:jc w:val="center"/>
              <w:rPr>
                <w:rFonts w:ascii="Arial" w:hAnsi="Arial" w:cs="Arial"/>
                <w:b/>
                <w:bCs/>
                <w:color w:val="000000" w:themeColor="text1"/>
                <w:sz w:val="20"/>
                <w:szCs w:val="20"/>
                <w:lang w:val="en-US"/>
              </w:rPr>
            </w:pPr>
            <w:r w:rsidRPr="00110B80">
              <w:rPr>
                <w:rFonts w:ascii="Arial" w:hAnsi="Arial" w:cs="Arial"/>
                <w:b/>
                <w:bCs/>
                <w:color w:val="000000" w:themeColor="text1"/>
                <w:sz w:val="20"/>
                <w:szCs w:val="20"/>
                <w:lang w:val="en-US"/>
              </w:rPr>
              <w:t>First sample</w:t>
            </w:r>
          </w:p>
          <w:p w14:paraId="6A202569" w14:textId="24053277" w:rsidR="00C54578" w:rsidRPr="00110B80" w:rsidRDefault="00C54578" w:rsidP="00C54578">
            <w:pPr>
              <w:spacing w:after="0"/>
              <w:jc w:val="center"/>
              <w:rPr>
                <w:rFonts w:ascii="Arial" w:hAnsi="Arial" w:cs="Arial"/>
                <w:b/>
                <w:bCs/>
                <w:color w:val="000000" w:themeColor="text1"/>
                <w:sz w:val="20"/>
                <w:szCs w:val="20"/>
                <w:lang w:val="en-US"/>
              </w:rPr>
            </w:pPr>
            <w:r w:rsidRPr="00110B80">
              <w:rPr>
                <w:rFonts w:ascii="Arial" w:hAnsi="Arial" w:cs="Arial"/>
                <w:b/>
                <w:bCs/>
                <w:color w:val="000000" w:themeColor="text1"/>
                <w:sz w:val="20"/>
                <w:szCs w:val="20"/>
                <w:lang w:val="en-US"/>
              </w:rPr>
              <w:t xml:space="preserve">Mean </w:t>
            </w:r>
            <w:r w:rsidRPr="00110B80">
              <w:rPr>
                <w:rFonts w:ascii="Arial" w:hAnsi="Arial" w:cs="Arial"/>
                <w:color w:val="000000" w:themeColor="text1"/>
                <w:sz w:val="20"/>
                <w:szCs w:val="20"/>
                <w:lang w:val="en-US"/>
              </w:rPr>
              <w:t>± SD</w:t>
            </w:r>
          </w:p>
          <w:p w14:paraId="6E480C14" w14:textId="77777777" w:rsidR="00C54578" w:rsidRPr="00110B80" w:rsidRDefault="00C54578" w:rsidP="00C54578">
            <w:pPr>
              <w:spacing w:after="0"/>
              <w:jc w:val="center"/>
              <w:rPr>
                <w:rFonts w:ascii="Arial" w:hAnsi="Arial" w:cs="Arial"/>
                <w:b/>
                <w:bCs/>
                <w:color w:val="000000" w:themeColor="text1"/>
                <w:sz w:val="20"/>
                <w:szCs w:val="20"/>
                <w:lang w:val="en-US"/>
              </w:rPr>
            </w:pPr>
            <w:r w:rsidRPr="00110B80">
              <w:rPr>
                <w:rFonts w:ascii="Arial" w:hAnsi="Arial" w:cs="Arial"/>
                <w:b/>
                <w:bCs/>
                <w:color w:val="000000" w:themeColor="text1"/>
                <w:sz w:val="20"/>
                <w:szCs w:val="20"/>
                <w:lang w:val="en-US"/>
              </w:rPr>
              <w:lastRenderedPageBreak/>
              <w:t>(range)</w:t>
            </w:r>
          </w:p>
        </w:tc>
        <w:tc>
          <w:tcPr>
            <w:tcW w:w="1710" w:type="dxa"/>
            <w:shd w:val="clear" w:color="auto" w:fill="auto"/>
          </w:tcPr>
          <w:p w14:paraId="5D043A6C" w14:textId="77777777" w:rsidR="00C54578" w:rsidRPr="00110B80" w:rsidRDefault="00C54578" w:rsidP="00C54578">
            <w:pPr>
              <w:spacing w:after="0"/>
              <w:jc w:val="center"/>
              <w:rPr>
                <w:rFonts w:ascii="Arial" w:hAnsi="Arial" w:cs="Arial"/>
                <w:b/>
                <w:bCs/>
                <w:color w:val="000000" w:themeColor="text1"/>
                <w:sz w:val="20"/>
                <w:szCs w:val="20"/>
                <w:lang w:val="en-US"/>
              </w:rPr>
            </w:pPr>
            <w:r w:rsidRPr="00110B80">
              <w:rPr>
                <w:rFonts w:ascii="Arial" w:hAnsi="Arial" w:cs="Arial"/>
                <w:b/>
                <w:bCs/>
                <w:color w:val="000000" w:themeColor="text1"/>
                <w:sz w:val="20"/>
                <w:szCs w:val="20"/>
                <w:lang w:val="en-US"/>
              </w:rPr>
              <w:lastRenderedPageBreak/>
              <w:t>Second sample</w:t>
            </w:r>
          </w:p>
          <w:p w14:paraId="35094C0D" w14:textId="799A454E" w:rsidR="00C54578" w:rsidRPr="00110B80" w:rsidRDefault="00C54578" w:rsidP="00C54578">
            <w:pPr>
              <w:spacing w:after="0"/>
              <w:jc w:val="center"/>
              <w:rPr>
                <w:rFonts w:ascii="Arial" w:hAnsi="Arial" w:cs="Arial"/>
                <w:b/>
                <w:bCs/>
                <w:color w:val="000000" w:themeColor="text1"/>
                <w:sz w:val="20"/>
                <w:szCs w:val="20"/>
                <w:lang w:val="en-US"/>
              </w:rPr>
            </w:pPr>
            <w:r w:rsidRPr="00110B80">
              <w:rPr>
                <w:rFonts w:ascii="Arial" w:hAnsi="Arial" w:cs="Arial"/>
                <w:b/>
                <w:bCs/>
                <w:color w:val="000000" w:themeColor="text1"/>
                <w:sz w:val="20"/>
                <w:szCs w:val="20"/>
                <w:lang w:val="en-US"/>
              </w:rPr>
              <w:t xml:space="preserve">Mean </w:t>
            </w:r>
            <w:r w:rsidRPr="00110B80">
              <w:rPr>
                <w:rFonts w:ascii="Arial" w:hAnsi="Arial" w:cs="Arial"/>
                <w:color w:val="000000" w:themeColor="text1"/>
                <w:sz w:val="20"/>
                <w:szCs w:val="20"/>
                <w:lang w:val="en-US"/>
              </w:rPr>
              <w:t>± SD</w:t>
            </w:r>
          </w:p>
          <w:p w14:paraId="40B76F4E" w14:textId="77777777" w:rsidR="00C54578" w:rsidRPr="00110B80" w:rsidRDefault="00C54578" w:rsidP="00C54578">
            <w:pPr>
              <w:spacing w:after="0"/>
              <w:jc w:val="center"/>
              <w:rPr>
                <w:rFonts w:ascii="Arial" w:hAnsi="Arial" w:cs="Arial"/>
                <w:b/>
                <w:bCs/>
                <w:color w:val="000000" w:themeColor="text1"/>
                <w:sz w:val="20"/>
                <w:szCs w:val="20"/>
                <w:lang w:val="en-US"/>
              </w:rPr>
            </w:pPr>
            <w:r w:rsidRPr="00110B80">
              <w:rPr>
                <w:rFonts w:ascii="Arial" w:hAnsi="Arial" w:cs="Arial"/>
                <w:b/>
                <w:bCs/>
                <w:color w:val="000000" w:themeColor="text1"/>
                <w:sz w:val="20"/>
                <w:szCs w:val="20"/>
                <w:lang w:val="en-US"/>
              </w:rPr>
              <w:lastRenderedPageBreak/>
              <w:t>(range)</w:t>
            </w:r>
          </w:p>
        </w:tc>
        <w:tc>
          <w:tcPr>
            <w:tcW w:w="1313" w:type="dxa"/>
            <w:shd w:val="clear" w:color="auto" w:fill="auto"/>
          </w:tcPr>
          <w:p w14:paraId="5835E258" w14:textId="77777777" w:rsidR="00C54578" w:rsidRPr="00C54578" w:rsidRDefault="00C54578" w:rsidP="00C54578">
            <w:pPr>
              <w:spacing w:after="0"/>
              <w:jc w:val="center"/>
              <w:rPr>
                <w:rFonts w:ascii="Arial" w:hAnsi="Arial" w:cs="Arial"/>
                <w:b/>
                <w:bCs/>
                <w:sz w:val="20"/>
                <w:szCs w:val="20"/>
                <w:lang w:val="en-US"/>
              </w:rPr>
            </w:pPr>
            <w:r w:rsidRPr="00C54578">
              <w:rPr>
                <w:rFonts w:ascii="Arial" w:hAnsi="Arial" w:cs="Arial"/>
                <w:b/>
                <w:bCs/>
                <w:sz w:val="20"/>
                <w:szCs w:val="20"/>
                <w:lang w:val="en-US"/>
              </w:rPr>
              <w:lastRenderedPageBreak/>
              <w:t>Correlation</w:t>
            </w:r>
          </w:p>
          <w:p w14:paraId="26393019" w14:textId="77777777" w:rsidR="00C54578" w:rsidRPr="00C54578" w:rsidRDefault="00C54578" w:rsidP="00C54578">
            <w:pPr>
              <w:spacing w:after="0"/>
              <w:jc w:val="center"/>
              <w:rPr>
                <w:rFonts w:ascii="Arial" w:hAnsi="Arial" w:cs="Arial"/>
                <w:b/>
                <w:bCs/>
                <w:sz w:val="20"/>
                <w:szCs w:val="20"/>
                <w:lang w:val="en-US"/>
              </w:rPr>
            </w:pPr>
            <w:r w:rsidRPr="00C54578">
              <w:rPr>
                <w:rFonts w:ascii="Arial" w:hAnsi="Arial" w:cs="Arial"/>
                <w:b/>
                <w:bCs/>
                <w:sz w:val="20"/>
                <w:szCs w:val="20"/>
                <w:lang w:val="en-US"/>
              </w:rPr>
              <w:t>r</w:t>
            </w:r>
          </w:p>
        </w:tc>
        <w:tc>
          <w:tcPr>
            <w:tcW w:w="1117" w:type="dxa"/>
            <w:shd w:val="clear" w:color="auto" w:fill="auto"/>
          </w:tcPr>
          <w:p w14:paraId="7AF6F8A9" w14:textId="77777777" w:rsidR="00C54578" w:rsidRPr="00C54578" w:rsidRDefault="00C54578" w:rsidP="00C54578">
            <w:pPr>
              <w:spacing w:after="0"/>
              <w:jc w:val="center"/>
              <w:rPr>
                <w:rFonts w:ascii="Arial" w:hAnsi="Arial" w:cs="Arial"/>
                <w:b/>
                <w:bCs/>
                <w:sz w:val="20"/>
                <w:szCs w:val="20"/>
                <w:lang w:val="en-US"/>
              </w:rPr>
            </w:pPr>
            <w:r w:rsidRPr="00C54578">
              <w:rPr>
                <w:rFonts w:ascii="Arial" w:hAnsi="Arial" w:cs="Arial"/>
                <w:b/>
                <w:bCs/>
                <w:sz w:val="20"/>
                <w:szCs w:val="20"/>
                <w:lang w:val="en-US"/>
              </w:rPr>
              <w:t>T-test</w:t>
            </w:r>
          </w:p>
          <w:p w14:paraId="6FAE5378" w14:textId="77777777" w:rsidR="00C54578" w:rsidRPr="00C54578" w:rsidRDefault="00C54578" w:rsidP="00C54578">
            <w:pPr>
              <w:spacing w:after="0"/>
              <w:jc w:val="center"/>
              <w:rPr>
                <w:rFonts w:ascii="Arial" w:hAnsi="Arial" w:cs="Arial"/>
                <w:b/>
                <w:bCs/>
                <w:sz w:val="20"/>
                <w:szCs w:val="20"/>
                <w:lang w:val="en-US"/>
              </w:rPr>
            </w:pPr>
            <w:r w:rsidRPr="00C54578">
              <w:rPr>
                <w:rFonts w:ascii="Arial" w:hAnsi="Arial" w:cs="Arial"/>
                <w:b/>
                <w:bCs/>
                <w:sz w:val="20"/>
                <w:szCs w:val="20"/>
                <w:lang w:val="en-US"/>
              </w:rPr>
              <w:t>T</w:t>
            </w:r>
          </w:p>
        </w:tc>
      </w:tr>
      <w:tr w:rsidR="00C54578" w:rsidRPr="00C54578" w14:paraId="15BF215E" w14:textId="77777777" w:rsidTr="00B67313">
        <w:trPr>
          <w:jc w:val="center"/>
        </w:trPr>
        <w:tc>
          <w:tcPr>
            <w:tcW w:w="1975" w:type="dxa"/>
            <w:vMerge w:val="restart"/>
            <w:shd w:val="clear" w:color="auto" w:fill="auto"/>
          </w:tcPr>
          <w:p w14:paraId="5ACFAC27" w14:textId="77777777" w:rsidR="00C54578" w:rsidRPr="00C54578" w:rsidRDefault="00C54578" w:rsidP="00C54578">
            <w:pPr>
              <w:spacing w:after="0"/>
              <w:rPr>
                <w:rFonts w:ascii="Arial" w:hAnsi="Arial" w:cs="Arial"/>
                <w:b/>
                <w:sz w:val="20"/>
                <w:szCs w:val="20"/>
                <w:lang w:val="en-US"/>
              </w:rPr>
            </w:pPr>
          </w:p>
          <w:p w14:paraId="6C0C460E" w14:textId="77777777" w:rsidR="00C54578" w:rsidRPr="00C54578" w:rsidRDefault="00C54578" w:rsidP="00C54578">
            <w:pPr>
              <w:spacing w:after="0"/>
              <w:rPr>
                <w:rFonts w:ascii="Arial" w:hAnsi="Arial" w:cs="Arial"/>
                <w:b/>
                <w:sz w:val="20"/>
                <w:szCs w:val="20"/>
                <w:lang w:val="en-US"/>
              </w:rPr>
            </w:pPr>
            <w:r w:rsidRPr="00C54578">
              <w:rPr>
                <w:rFonts w:ascii="Arial" w:hAnsi="Arial" w:cs="Arial"/>
                <w:b/>
                <w:sz w:val="20"/>
                <w:szCs w:val="20"/>
                <w:lang w:val="en-US"/>
              </w:rPr>
              <w:t>Plasma folate</w:t>
            </w:r>
          </w:p>
          <w:p w14:paraId="2DE88AE3" w14:textId="77777777" w:rsidR="00C54578" w:rsidRPr="00C54578" w:rsidRDefault="00C54578" w:rsidP="00C54578">
            <w:pPr>
              <w:spacing w:after="0"/>
              <w:rPr>
                <w:rFonts w:ascii="Arial" w:hAnsi="Arial" w:cs="Arial"/>
                <w:b/>
                <w:sz w:val="20"/>
                <w:szCs w:val="20"/>
                <w:lang w:val="en-US"/>
              </w:rPr>
            </w:pPr>
            <w:r w:rsidRPr="00C54578">
              <w:rPr>
                <w:rFonts w:ascii="Arial" w:hAnsi="Arial" w:cs="Arial"/>
                <w:b/>
                <w:sz w:val="20"/>
                <w:szCs w:val="20"/>
                <w:lang w:val="en-US"/>
              </w:rPr>
              <w:t>(3-17 ng/ml)</w:t>
            </w:r>
          </w:p>
        </w:tc>
        <w:tc>
          <w:tcPr>
            <w:tcW w:w="1080" w:type="dxa"/>
          </w:tcPr>
          <w:p w14:paraId="4D24ED6C"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A1</w:t>
            </w:r>
          </w:p>
          <w:p w14:paraId="1CB5229A"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(n=11)</w:t>
            </w:r>
          </w:p>
        </w:tc>
        <w:tc>
          <w:tcPr>
            <w:tcW w:w="1530" w:type="dxa"/>
            <w:shd w:val="clear" w:color="auto" w:fill="auto"/>
          </w:tcPr>
          <w:p w14:paraId="694E3A06" w14:textId="487F1D2A"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19.1 ± </w:t>
            </w:r>
            <w:r w:rsidRPr="00110B80">
              <w:rPr>
                <w:rFonts w:ascii="Arial" w:hAnsi="Arial" w:cs="Arial"/>
                <w:color w:val="000000" w:themeColor="text1"/>
                <w:sz w:val="20"/>
                <w:szCs w:val="20"/>
                <w:u w:val="single"/>
                <w:lang w:val="en-US"/>
              </w:rPr>
              <w:t>6.3</w:t>
            </w:r>
          </w:p>
          <w:p w14:paraId="7914EF63"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(4-24)</w:t>
            </w:r>
          </w:p>
        </w:tc>
        <w:tc>
          <w:tcPr>
            <w:tcW w:w="1710" w:type="dxa"/>
            <w:shd w:val="clear" w:color="auto" w:fill="auto"/>
          </w:tcPr>
          <w:p w14:paraId="6CC84916" w14:textId="186CF3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16.3 ± </w:t>
            </w:r>
            <w:r w:rsidRPr="00110B80">
              <w:rPr>
                <w:rFonts w:ascii="Arial" w:hAnsi="Arial" w:cs="Arial"/>
                <w:color w:val="000000" w:themeColor="text1"/>
                <w:sz w:val="20"/>
                <w:szCs w:val="20"/>
                <w:u w:val="single"/>
                <w:lang w:val="en-US"/>
              </w:rPr>
              <w:t>5.6</w:t>
            </w:r>
          </w:p>
          <w:p w14:paraId="5AA8CCEC"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(5.5-24.4)</w:t>
            </w:r>
          </w:p>
        </w:tc>
        <w:tc>
          <w:tcPr>
            <w:tcW w:w="1313" w:type="dxa"/>
            <w:shd w:val="clear" w:color="auto" w:fill="auto"/>
          </w:tcPr>
          <w:p w14:paraId="18CA645C" w14:textId="77777777" w:rsidR="00C54578" w:rsidRPr="00C54578" w:rsidRDefault="00C54578" w:rsidP="00C54578">
            <w:pPr>
              <w:spacing w:after="0"/>
              <w:jc w:val="center"/>
              <w:rPr>
                <w:rFonts w:ascii="Arial" w:hAnsi="Arial" w:cs="Arial"/>
                <w:sz w:val="20"/>
                <w:szCs w:val="20"/>
                <w:lang w:val="en-US"/>
              </w:rPr>
            </w:pPr>
          </w:p>
          <w:p w14:paraId="2778E31B"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0.77</w:t>
            </w:r>
          </w:p>
        </w:tc>
        <w:tc>
          <w:tcPr>
            <w:tcW w:w="1117" w:type="dxa"/>
            <w:shd w:val="clear" w:color="auto" w:fill="auto"/>
          </w:tcPr>
          <w:p w14:paraId="63AD59CC" w14:textId="77777777" w:rsidR="00C54578" w:rsidRPr="00C54578" w:rsidRDefault="00C54578" w:rsidP="00C54578">
            <w:pPr>
              <w:spacing w:after="0"/>
              <w:jc w:val="center"/>
              <w:rPr>
                <w:rFonts w:ascii="Arial" w:hAnsi="Arial" w:cs="Arial"/>
                <w:sz w:val="20"/>
                <w:szCs w:val="20"/>
                <w:lang w:val="en-US"/>
              </w:rPr>
            </w:pPr>
          </w:p>
          <w:p w14:paraId="0C5AE2E5"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629CE5DE" w14:textId="77777777" w:rsidTr="00B67313">
        <w:trPr>
          <w:jc w:val="center"/>
        </w:trPr>
        <w:tc>
          <w:tcPr>
            <w:tcW w:w="1975" w:type="dxa"/>
            <w:vMerge/>
            <w:shd w:val="clear" w:color="auto" w:fill="auto"/>
          </w:tcPr>
          <w:p w14:paraId="606FD323" w14:textId="77777777" w:rsidR="00C54578" w:rsidRPr="00C54578" w:rsidRDefault="00C54578" w:rsidP="00C54578">
            <w:pPr>
              <w:spacing w:after="0"/>
              <w:rPr>
                <w:rFonts w:ascii="Arial" w:hAnsi="Arial" w:cs="Arial"/>
                <w:b/>
                <w:sz w:val="20"/>
                <w:szCs w:val="20"/>
                <w:lang w:val="en-US"/>
              </w:rPr>
            </w:pPr>
          </w:p>
        </w:tc>
        <w:tc>
          <w:tcPr>
            <w:tcW w:w="1080" w:type="dxa"/>
          </w:tcPr>
          <w:p w14:paraId="3D03C433"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A2</w:t>
            </w:r>
          </w:p>
          <w:p w14:paraId="548AB43D" w14:textId="77777777" w:rsidR="00C54578" w:rsidRPr="00110B80" w:rsidRDefault="00C54578" w:rsidP="00C54578">
            <w:pPr>
              <w:tabs>
                <w:tab w:val="center" w:pos="742"/>
              </w:tabs>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(n=38)</w:t>
            </w:r>
          </w:p>
        </w:tc>
        <w:tc>
          <w:tcPr>
            <w:tcW w:w="1530" w:type="dxa"/>
            <w:shd w:val="clear" w:color="auto" w:fill="auto"/>
          </w:tcPr>
          <w:p w14:paraId="4B6C55F2" w14:textId="1B3C76CB"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13.9 ± </w:t>
            </w:r>
            <w:r w:rsidRPr="00110B80">
              <w:rPr>
                <w:rFonts w:ascii="Arial" w:hAnsi="Arial" w:cs="Arial"/>
                <w:color w:val="000000" w:themeColor="text1"/>
                <w:sz w:val="20"/>
                <w:szCs w:val="20"/>
                <w:u w:val="single"/>
                <w:lang w:val="en-US"/>
              </w:rPr>
              <w:t>6.1</w:t>
            </w:r>
          </w:p>
          <w:p w14:paraId="1629FC82"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(4-24)</w:t>
            </w:r>
          </w:p>
        </w:tc>
        <w:tc>
          <w:tcPr>
            <w:tcW w:w="1710" w:type="dxa"/>
            <w:shd w:val="clear" w:color="auto" w:fill="auto"/>
          </w:tcPr>
          <w:p w14:paraId="28A0A6B1" w14:textId="1193322D"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13.2 ± </w:t>
            </w:r>
            <w:r w:rsidRPr="00110B80">
              <w:rPr>
                <w:rFonts w:ascii="Arial" w:hAnsi="Arial" w:cs="Arial"/>
                <w:color w:val="000000" w:themeColor="text1"/>
                <w:sz w:val="20"/>
                <w:szCs w:val="20"/>
                <w:u w:val="single"/>
                <w:lang w:val="en-US"/>
              </w:rPr>
              <w:t>5.9</w:t>
            </w:r>
          </w:p>
          <w:p w14:paraId="3627974A"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(4.1-26.3)</w:t>
            </w:r>
          </w:p>
        </w:tc>
        <w:tc>
          <w:tcPr>
            <w:tcW w:w="1313" w:type="dxa"/>
            <w:shd w:val="clear" w:color="auto" w:fill="auto"/>
          </w:tcPr>
          <w:p w14:paraId="27E3B432" w14:textId="77777777" w:rsidR="00C54578" w:rsidRPr="00C54578" w:rsidRDefault="00C54578" w:rsidP="00C54578">
            <w:pPr>
              <w:spacing w:after="0"/>
              <w:jc w:val="center"/>
              <w:rPr>
                <w:rFonts w:ascii="Arial" w:hAnsi="Arial" w:cs="Arial"/>
                <w:sz w:val="20"/>
                <w:szCs w:val="20"/>
                <w:lang w:val="en-US"/>
              </w:rPr>
            </w:pPr>
          </w:p>
          <w:p w14:paraId="6584B27C"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0.58</w:t>
            </w:r>
          </w:p>
        </w:tc>
        <w:tc>
          <w:tcPr>
            <w:tcW w:w="1117" w:type="dxa"/>
            <w:shd w:val="clear" w:color="auto" w:fill="auto"/>
          </w:tcPr>
          <w:p w14:paraId="2EC03476" w14:textId="77777777" w:rsidR="00C54578" w:rsidRPr="00C54578" w:rsidRDefault="00C54578" w:rsidP="00C54578">
            <w:pPr>
              <w:spacing w:after="0"/>
              <w:jc w:val="center"/>
              <w:rPr>
                <w:rFonts w:ascii="Arial" w:hAnsi="Arial" w:cs="Arial"/>
                <w:sz w:val="20"/>
                <w:szCs w:val="20"/>
                <w:lang w:val="en-US"/>
              </w:rPr>
            </w:pPr>
          </w:p>
          <w:p w14:paraId="1EA95E8C"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48AC1257" w14:textId="77777777" w:rsidTr="00B67313">
        <w:trPr>
          <w:jc w:val="center"/>
        </w:trPr>
        <w:tc>
          <w:tcPr>
            <w:tcW w:w="1975" w:type="dxa"/>
            <w:vMerge/>
            <w:shd w:val="clear" w:color="auto" w:fill="auto"/>
          </w:tcPr>
          <w:p w14:paraId="382B5AA7" w14:textId="77777777" w:rsidR="00C54578" w:rsidRPr="00C54578" w:rsidRDefault="00C54578" w:rsidP="00C54578">
            <w:pPr>
              <w:spacing w:after="0"/>
              <w:rPr>
                <w:rFonts w:ascii="Arial" w:hAnsi="Arial" w:cs="Arial"/>
                <w:b/>
                <w:sz w:val="20"/>
                <w:szCs w:val="20"/>
                <w:lang w:val="en-US"/>
              </w:rPr>
            </w:pPr>
          </w:p>
        </w:tc>
        <w:tc>
          <w:tcPr>
            <w:tcW w:w="1080" w:type="dxa"/>
          </w:tcPr>
          <w:p w14:paraId="72418CCF"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B</w:t>
            </w:r>
          </w:p>
          <w:p w14:paraId="57C3E0BA"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(n=14)</w:t>
            </w:r>
          </w:p>
        </w:tc>
        <w:tc>
          <w:tcPr>
            <w:tcW w:w="1530" w:type="dxa"/>
            <w:shd w:val="clear" w:color="auto" w:fill="auto"/>
          </w:tcPr>
          <w:p w14:paraId="2A6E9879" w14:textId="0954F1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12.1 ± </w:t>
            </w:r>
            <w:r w:rsidRPr="00110B80">
              <w:rPr>
                <w:rFonts w:ascii="Arial" w:hAnsi="Arial" w:cs="Arial"/>
                <w:color w:val="000000" w:themeColor="text1"/>
                <w:sz w:val="20"/>
                <w:szCs w:val="20"/>
                <w:u w:val="single"/>
                <w:lang w:val="en-US"/>
              </w:rPr>
              <w:t>4.5</w:t>
            </w:r>
          </w:p>
          <w:p w14:paraId="6FDC1C91"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(4.2-22.4)</w:t>
            </w:r>
          </w:p>
        </w:tc>
        <w:tc>
          <w:tcPr>
            <w:tcW w:w="1710" w:type="dxa"/>
            <w:shd w:val="clear" w:color="auto" w:fill="auto"/>
          </w:tcPr>
          <w:p w14:paraId="53E699F0" w14:textId="37D4B1F0"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12.6 ± </w:t>
            </w:r>
            <w:r w:rsidRPr="00110B80">
              <w:rPr>
                <w:rFonts w:ascii="Arial" w:hAnsi="Arial" w:cs="Arial"/>
                <w:color w:val="000000" w:themeColor="text1"/>
                <w:sz w:val="20"/>
                <w:szCs w:val="20"/>
                <w:u w:val="single"/>
                <w:lang w:val="en-US"/>
              </w:rPr>
              <w:t>5.3</w:t>
            </w:r>
          </w:p>
          <w:p w14:paraId="50AC7FBA"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(4.2-22.5)</w:t>
            </w:r>
          </w:p>
        </w:tc>
        <w:tc>
          <w:tcPr>
            <w:tcW w:w="1313" w:type="dxa"/>
            <w:shd w:val="clear" w:color="auto" w:fill="auto"/>
          </w:tcPr>
          <w:p w14:paraId="04ACDFDC" w14:textId="77777777" w:rsidR="00C54578" w:rsidRPr="00C54578" w:rsidRDefault="00C54578" w:rsidP="00C54578">
            <w:pPr>
              <w:spacing w:after="0"/>
              <w:jc w:val="center"/>
              <w:rPr>
                <w:rFonts w:ascii="Arial" w:hAnsi="Arial" w:cs="Arial"/>
                <w:sz w:val="20"/>
                <w:szCs w:val="20"/>
                <w:lang w:val="en-US"/>
              </w:rPr>
            </w:pPr>
          </w:p>
          <w:p w14:paraId="7714B3DD"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0.40</w:t>
            </w:r>
          </w:p>
        </w:tc>
        <w:tc>
          <w:tcPr>
            <w:tcW w:w="1117" w:type="dxa"/>
            <w:shd w:val="clear" w:color="auto" w:fill="auto"/>
          </w:tcPr>
          <w:p w14:paraId="70452748" w14:textId="77777777" w:rsidR="00C54578" w:rsidRPr="00C54578" w:rsidRDefault="00C54578" w:rsidP="00C54578">
            <w:pPr>
              <w:spacing w:after="0"/>
              <w:jc w:val="center"/>
              <w:rPr>
                <w:rFonts w:ascii="Arial" w:hAnsi="Arial" w:cs="Arial"/>
                <w:sz w:val="20"/>
                <w:szCs w:val="20"/>
                <w:lang w:val="en-US"/>
              </w:rPr>
            </w:pPr>
          </w:p>
          <w:p w14:paraId="2800FB0E"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352FDFF5" w14:textId="77777777" w:rsidTr="00B67313">
        <w:trPr>
          <w:jc w:val="center"/>
        </w:trPr>
        <w:tc>
          <w:tcPr>
            <w:tcW w:w="1975" w:type="dxa"/>
            <w:vMerge w:val="restart"/>
            <w:shd w:val="clear" w:color="auto" w:fill="auto"/>
          </w:tcPr>
          <w:p w14:paraId="0C486DAC" w14:textId="77777777" w:rsidR="00C54578" w:rsidRPr="00C54578" w:rsidRDefault="00C54578" w:rsidP="00C54578">
            <w:pPr>
              <w:spacing w:after="0"/>
              <w:ind w:right="-581"/>
              <w:rPr>
                <w:rFonts w:ascii="Arial" w:hAnsi="Arial" w:cs="Arial"/>
                <w:b/>
                <w:sz w:val="20"/>
                <w:szCs w:val="20"/>
                <w:lang w:val="en-US"/>
              </w:rPr>
            </w:pPr>
          </w:p>
          <w:p w14:paraId="51A41FB2" w14:textId="2EFF3A94" w:rsidR="00C54578" w:rsidRPr="00C54578" w:rsidRDefault="0064062D" w:rsidP="00C54578">
            <w:pPr>
              <w:spacing w:after="0"/>
              <w:ind w:right="-581"/>
              <w:rPr>
                <w:rFonts w:ascii="Arial" w:hAnsi="Arial" w:cs="Arial"/>
                <w:b/>
                <w:sz w:val="20"/>
                <w:szCs w:val="20"/>
                <w:lang w:val="en-US"/>
              </w:rPr>
            </w:pPr>
            <w:r w:rsidRPr="00C54578">
              <w:rPr>
                <w:rFonts w:ascii="Arial" w:hAnsi="Arial" w:cs="Arial"/>
                <w:b/>
                <w:sz w:val="20"/>
                <w:szCs w:val="20"/>
                <w:lang w:val="en-US"/>
              </w:rPr>
              <w:t>Intracellular</w:t>
            </w:r>
            <w:r w:rsidR="00C54578" w:rsidRPr="00C54578">
              <w:rPr>
                <w:rFonts w:ascii="Arial" w:hAnsi="Arial" w:cs="Arial"/>
                <w:b/>
                <w:sz w:val="20"/>
                <w:szCs w:val="20"/>
                <w:lang w:val="en-US"/>
              </w:rPr>
              <w:t xml:space="preserve"> folate</w:t>
            </w:r>
          </w:p>
          <w:p w14:paraId="2060E30E" w14:textId="77777777" w:rsidR="00C54578" w:rsidRPr="00C54578" w:rsidRDefault="00C54578" w:rsidP="00C54578">
            <w:pPr>
              <w:spacing w:after="0"/>
              <w:ind w:right="-581"/>
              <w:rPr>
                <w:rFonts w:ascii="Arial" w:hAnsi="Arial" w:cs="Arial"/>
                <w:b/>
                <w:sz w:val="20"/>
                <w:szCs w:val="20"/>
                <w:lang w:val="en-US"/>
              </w:rPr>
            </w:pPr>
            <w:r w:rsidRPr="00C54578">
              <w:rPr>
                <w:rFonts w:ascii="Arial" w:hAnsi="Arial" w:cs="Arial"/>
                <w:b/>
                <w:sz w:val="20"/>
                <w:szCs w:val="20"/>
                <w:lang w:val="en-US"/>
              </w:rPr>
              <w:t>(175-700</w:t>
            </w:r>
            <w:r w:rsidRPr="00C54578">
              <w:rPr>
                <w:rFonts w:ascii="Arial" w:hAnsi="Arial" w:cs="Arial"/>
                <w:b/>
                <w:lang w:val="en-US"/>
              </w:rPr>
              <w:t xml:space="preserve"> </w:t>
            </w:r>
            <w:r w:rsidRPr="00C54578">
              <w:rPr>
                <w:rFonts w:ascii="Arial" w:hAnsi="Arial" w:cs="Arial"/>
                <w:b/>
                <w:sz w:val="20"/>
                <w:szCs w:val="20"/>
                <w:lang w:val="en-US"/>
              </w:rPr>
              <w:t>ng/ml)</w:t>
            </w:r>
          </w:p>
        </w:tc>
        <w:tc>
          <w:tcPr>
            <w:tcW w:w="1080" w:type="dxa"/>
          </w:tcPr>
          <w:p w14:paraId="3FF35F6F"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A1</w:t>
            </w:r>
          </w:p>
          <w:p w14:paraId="76A10CDF"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(n=11)</w:t>
            </w:r>
          </w:p>
        </w:tc>
        <w:tc>
          <w:tcPr>
            <w:tcW w:w="1530" w:type="dxa"/>
            <w:shd w:val="clear" w:color="auto" w:fill="auto"/>
          </w:tcPr>
          <w:p w14:paraId="5D4A98EA" w14:textId="350D36EF"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562.8 ± </w:t>
            </w:r>
            <w:r w:rsidRPr="00110B80">
              <w:rPr>
                <w:rFonts w:ascii="Arial" w:hAnsi="Arial" w:cs="Arial"/>
                <w:color w:val="000000" w:themeColor="text1"/>
                <w:sz w:val="20"/>
                <w:szCs w:val="20"/>
                <w:u w:val="single"/>
                <w:lang w:val="en-US"/>
              </w:rPr>
              <w:t>230.5</w:t>
            </w:r>
          </w:p>
          <w:p w14:paraId="11D93C67"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(150-1022)</w:t>
            </w:r>
          </w:p>
        </w:tc>
        <w:tc>
          <w:tcPr>
            <w:tcW w:w="1710" w:type="dxa"/>
            <w:shd w:val="clear" w:color="auto" w:fill="auto"/>
          </w:tcPr>
          <w:p w14:paraId="48BD2AF8" w14:textId="66701D63"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537.2 ± </w:t>
            </w:r>
            <w:r w:rsidRPr="00110B80">
              <w:rPr>
                <w:rFonts w:ascii="Arial" w:hAnsi="Arial" w:cs="Arial"/>
                <w:color w:val="000000" w:themeColor="text1"/>
                <w:sz w:val="20"/>
                <w:szCs w:val="20"/>
                <w:u w:val="single"/>
                <w:lang w:val="en-US"/>
              </w:rPr>
              <w:t>185.2</w:t>
            </w:r>
          </w:p>
          <w:p w14:paraId="1C2646FC"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(157.5-804.5)</w:t>
            </w:r>
          </w:p>
        </w:tc>
        <w:tc>
          <w:tcPr>
            <w:tcW w:w="1313" w:type="dxa"/>
            <w:shd w:val="clear" w:color="auto" w:fill="auto"/>
          </w:tcPr>
          <w:p w14:paraId="037DF1B1" w14:textId="77777777" w:rsidR="00C54578" w:rsidRPr="00C54578" w:rsidRDefault="00C54578" w:rsidP="00C54578">
            <w:pPr>
              <w:spacing w:after="0"/>
              <w:jc w:val="center"/>
              <w:rPr>
                <w:rFonts w:ascii="Arial" w:hAnsi="Arial" w:cs="Arial"/>
                <w:sz w:val="20"/>
                <w:szCs w:val="20"/>
                <w:lang w:val="en-US"/>
              </w:rPr>
            </w:pPr>
          </w:p>
          <w:p w14:paraId="11ADB300"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0.70</w:t>
            </w:r>
          </w:p>
        </w:tc>
        <w:tc>
          <w:tcPr>
            <w:tcW w:w="1117" w:type="dxa"/>
            <w:shd w:val="clear" w:color="auto" w:fill="auto"/>
          </w:tcPr>
          <w:p w14:paraId="4FB8B41B" w14:textId="77777777" w:rsidR="00C54578" w:rsidRPr="00C54578" w:rsidRDefault="00C54578" w:rsidP="00C54578">
            <w:pPr>
              <w:spacing w:after="0"/>
              <w:jc w:val="center"/>
              <w:rPr>
                <w:rFonts w:ascii="Arial" w:hAnsi="Arial" w:cs="Arial"/>
                <w:sz w:val="20"/>
                <w:szCs w:val="20"/>
                <w:lang w:val="en-US"/>
              </w:rPr>
            </w:pPr>
          </w:p>
          <w:p w14:paraId="7BE256FB"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2B0E913E" w14:textId="77777777" w:rsidTr="00B67313">
        <w:trPr>
          <w:jc w:val="center"/>
        </w:trPr>
        <w:tc>
          <w:tcPr>
            <w:tcW w:w="1975" w:type="dxa"/>
            <w:vMerge/>
            <w:shd w:val="clear" w:color="auto" w:fill="auto"/>
          </w:tcPr>
          <w:p w14:paraId="08AF8EC0" w14:textId="77777777" w:rsidR="00C54578" w:rsidRPr="00C54578" w:rsidRDefault="00C54578" w:rsidP="00C54578">
            <w:pPr>
              <w:spacing w:after="0"/>
              <w:ind w:right="-581"/>
              <w:rPr>
                <w:rFonts w:ascii="Arial" w:hAnsi="Arial" w:cs="Arial"/>
                <w:b/>
                <w:sz w:val="20"/>
                <w:szCs w:val="20"/>
                <w:lang w:val="en-US"/>
              </w:rPr>
            </w:pPr>
          </w:p>
        </w:tc>
        <w:tc>
          <w:tcPr>
            <w:tcW w:w="1080" w:type="dxa"/>
          </w:tcPr>
          <w:p w14:paraId="52041FEF"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A2</w:t>
            </w:r>
          </w:p>
          <w:p w14:paraId="0349F8E8"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(n=38)</w:t>
            </w:r>
          </w:p>
        </w:tc>
        <w:tc>
          <w:tcPr>
            <w:tcW w:w="1530" w:type="dxa"/>
            <w:shd w:val="clear" w:color="auto" w:fill="auto"/>
          </w:tcPr>
          <w:p w14:paraId="406EB4F4" w14:textId="3523496A"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566.3 ± </w:t>
            </w:r>
            <w:r w:rsidRPr="00110B80">
              <w:rPr>
                <w:rFonts w:ascii="Arial" w:hAnsi="Arial" w:cs="Arial"/>
                <w:color w:val="000000" w:themeColor="text1"/>
                <w:sz w:val="20"/>
                <w:szCs w:val="20"/>
                <w:u w:val="single"/>
                <w:lang w:val="en-US"/>
              </w:rPr>
              <w:t>241.6</w:t>
            </w:r>
          </w:p>
          <w:p w14:paraId="7220C556"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(170-1273)</w:t>
            </w:r>
          </w:p>
        </w:tc>
        <w:tc>
          <w:tcPr>
            <w:tcW w:w="1710" w:type="dxa"/>
            <w:shd w:val="clear" w:color="auto" w:fill="auto"/>
          </w:tcPr>
          <w:p w14:paraId="113E03CA" w14:textId="7595BECB"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596.9 ± </w:t>
            </w:r>
            <w:r w:rsidRPr="00110B80">
              <w:rPr>
                <w:rFonts w:ascii="Arial" w:hAnsi="Arial" w:cs="Arial"/>
                <w:color w:val="000000" w:themeColor="text1"/>
                <w:sz w:val="20"/>
                <w:szCs w:val="20"/>
                <w:u w:val="single"/>
                <w:lang w:val="en-US"/>
              </w:rPr>
              <w:t>243.1</w:t>
            </w:r>
          </w:p>
          <w:p w14:paraId="13242358"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(180-1260)</w:t>
            </w:r>
          </w:p>
        </w:tc>
        <w:tc>
          <w:tcPr>
            <w:tcW w:w="1313" w:type="dxa"/>
            <w:shd w:val="clear" w:color="auto" w:fill="auto"/>
          </w:tcPr>
          <w:p w14:paraId="6C6C9AF7" w14:textId="77777777" w:rsidR="00C54578" w:rsidRPr="00C54578" w:rsidRDefault="00C54578" w:rsidP="00C54578">
            <w:pPr>
              <w:spacing w:after="0"/>
              <w:jc w:val="center"/>
              <w:rPr>
                <w:rFonts w:ascii="Arial" w:hAnsi="Arial" w:cs="Arial"/>
                <w:sz w:val="20"/>
                <w:szCs w:val="20"/>
                <w:lang w:val="en-US"/>
              </w:rPr>
            </w:pPr>
          </w:p>
          <w:p w14:paraId="1D81F82F"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0.84</w:t>
            </w:r>
          </w:p>
        </w:tc>
        <w:tc>
          <w:tcPr>
            <w:tcW w:w="1117" w:type="dxa"/>
            <w:shd w:val="clear" w:color="auto" w:fill="auto"/>
          </w:tcPr>
          <w:p w14:paraId="1E1ADFB2" w14:textId="77777777" w:rsidR="00C54578" w:rsidRPr="00C54578" w:rsidRDefault="00C54578" w:rsidP="00C54578">
            <w:pPr>
              <w:spacing w:after="0"/>
              <w:jc w:val="center"/>
              <w:rPr>
                <w:rFonts w:ascii="Arial" w:hAnsi="Arial" w:cs="Arial"/>
                <w:sz w:val="20"/>
                <w:szCs w:val="20"/>
                <w:lang w:val="en-US"/>
              </w:rPr>
            </w:pPr>
          </w:p>
          <w:p w14:paraId="0804611F"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6AE9FCFE" w14:textId="77777777" w:rsidTr="00B67313">
        <w:trPr>
          <w:jc w:val="center"/>
        </w:trPr>
        <w:tc>
          <w:tcPr>
            <w:tcW w:w="1975" w:type="dxa"/>
            <w:vMerge/>
            <w:shd w:val="clear" w:color="auto" w:fill="auto"/>
          </w:tcPr>
          <w:p w14:paraId="68E6CD17" w14:textId="77777777" w:rsidR="00C54578" w:rsidRPr="00C54578" w:rsidRDefault="00C54578" w:rsidP="00C54578">
            <w:pPr>
              <w:spacing w:after="0"/>
              <w:ind w:right="-581"/>
              <w:rPr>
                <w:rFonts w:ascii="Arial" w:hAnsi="Arial" w:cs="Arial"/>
                <w:b/>
                <w:sz w:val="20"/>
                <w:szCs w:val="20"/>
                <w:lang w:val="en-US"/>
              </w:rPr>
            </w:pPr>
          </w:p>
        </w:tc>
        <w:tc>
          <w:tcPr>
            <w:tcW w:w="1080" w:type="dxa"/>
          </w:tcPr>
          <w:p w14:paraId="7956D5D3" w14:textId="77777777" w:rsidR="00C54578" w:rsidRPr="00110B80" w:rsidRDefault="00C54578" w:rsidP="00C54578">
            <w:pPr>
              <w:spacing w:after="0"/>
              <w:jc w:val="both"/>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B</w:t>
            </w:r>
          </w:p>
          <w:p w14:paraId="13560421" w14:textId="77777777" w:rsidR="00C54578" w:rsidRPr="00110B80" w:rsidRDefault="00C54578" w:rsidP="00C54578">
            <w:pPr>
              <w:spacing w:after="0"/>
              <w:jc w:val="both"/>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(n=14)</w:t>
            </w:r>
          </w:p>
        </w:tc>
        <w:tc>
          <w:tcPr>
            <w:tcW w:w="1530" w:type="dxa"/>
            <w:shd w:val="clear" w:color="auto" w:fill="auto"/>
          </w:tcPr>
          <w:p w14:paraId="3B51B297" w14:textId="78FAC5CC"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482.7 ± </w:t>
            </w:r>
            <w:r w:rsidRPr="00110B80">
              <w:rPr>
                <w:rFonts w:ascii="Arial" w:hAnsi="Arial" w:cs="Arial"/>
                <w:color w:val="000000" w:themeColor="text1"/>
                <w:sz w:val="20"/>
                <w:szCs w:val="20"/>
                <w:u w:val="single"/>
                <w:lang w:val="en-US"/>
              </w:rPr>
              <w:t>207.1</w:t>
            </w:r>
          </w:p>
          <w:p w14:paraId="483D2E6F"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(140-855.4)</w:t>
            </w:r>
          </w:p>
        </w:tc>
        <w:tc>
          <w:tcPr>
            <w:tcW w:w="1710" w:type="dxa"/>
            <w:shd w:val="clear" w:color="auto" w:fill="auto"/>
          </w:tcPr>
          <w:p w14:paraId="0C7D8C6C" w14:textId="0A45448A"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529.9 ± </w:t>
            </w:r>
            <w:r w:rsidRPr="00110B80">
              <w:rPr>
                <w:rFonts w:ascii="Arial" w:hAnsi="Arial" w:cs="Arial"/>
                <w:color w:val="000000" w:themeColor="text1"/>
                <w:sz w:val="20"/>
                <w:szCs w:val="20"/>
                <w:u w:val="single"/>
                <w:lang w:val="en-US"/>
              </w:rPr>
              <w:t>193.2</w:t>
            </w:r>
          </w:p>
          <w:p w14:paraId="4780BD83"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(210-834.5)</w:t>
            </w:r>
          </w:p>
        </w:tc>
        <w:tc>
          <w:tcPr>
            <w:tcW w:w="1313" w:type="dxa"/>
            <w:shd w:val="clear" w:color="auto" w:fill="auto"/>
          </w:tcPr>
          <w:p w14:paraId="30F31FDC" w14:textId="77777777" w:rsidR="00C54578" w:rsidRPr="00C54578" w:rsidRDefault="00C54578" w:rsidP="00C54578">
            <w:pPr>
              <w:spacing w:after="0"/>
              <w:jc w:val="center"/>
              <w:rPr>
                <w:rFonts w:ascii="Arial" w:hAnsi="Arial" w:cs="Arial"/>
                <w:sz w:val="20"/>
                <w:szCs w:val="20"/>
                <w:lang w:val="en-US"/>
              </w:rPr>
            </w:pPr>
          </w:p>
          <w:p w14:paraId="7A1A0985"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0.76</w:t>
            </w:r>
          </w:p>
        </w:tc>
        <w:tc>
          <w:tcPr>
            <w:tcW w:w="1117" w:type="dxa"/>
            <w:shd w:val="clear" w:color="auto" w:fill="auto"/>
          </w:tcPr>
          <w:p w14:paraId="53EC21E9" w14:textId="77777777" w:rsidR="00C54578" w:rsidRPr="00C54578" w:rsidRDefault="00C54578" w:rsidP="00C54578">
            <w:pPr>
              <w:spacing w:after="0"/>
              <w:jc w:val="center"/>
              <w:rPr>
                <w:rFonts w:ascii="Arial" w:hAnsi="Arial" w:cs="Arial"/>
                <w:sz w:val="20"/>
                <w:szCs w:val="20"/>
                <w:lang w:val="en-US"/>
              </w:rPr>
            </w:pPr>
          </w:p>
          <w:p w14:paraId="24DDC562"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71CE5A77" w14:textId="77777777" w:rsidTr="00B67313">
        <w:trPr>
          <w:jc w:val="center"/>
        </w:trPr>
        <w:tc>
          <w:tcPr>
            <w:tcW w:w="1975" w:type="dxa"/>
            <w:vMerge w:val="restart"/>
            <w:shd w:val="clear" w:color="auto" w:fill="auto"/>
          </w:tcPr>
          <w:p w14:paraId="2D9B858D" w14:textId="77777777" w:rsidR="00C54578" w:rsidRPr="00C54578" w:rsidRDefault="00C54578" w:rsidP="00C54578">
            <w:pPr>
              <w:spacing w:after="0"/>
              <w:ind w:right="-581"/>
              <w:rPr>
                <w:rFonts w:ascii="Arial" w:hAnsi="Arial" w:cs="Arial"/>
                <w:b/>
                <w:sz w:val="20"/>
                <w:szCs w:val="20"/>
                <w:lang w:val="en-US"/>
              </w:rPr>
            </w:pPr>
          </w:p>
          <w:p w14:paraId="425F2DA4" w14:textId="77777777" w:rsidR="00C54578" w:rsidRPr="00C54578" w:rsidRDefault="00C54578" w:rsidP="00C54578">
            <w:pPr>
              <w:spacing w:after="0"/>
              <w:ind w:right="-581"/>
              <w:rPr>
                <w:rFonts w:ascii="Arial" w:hAnsi="Arial" w:cs="Arial"/>
                <w:b/>
                <w:sz w:val="20"/>
                <w:szCs w:val="20"/>
                <w:lang w:val="en-US"/>
              </w:rPr>
            </w:pPr>
          </w:p>
          <w:p w14:paraId="5866C7FD" w14:textId="77777777" w:rsidR="00C54578" w:rsidRPr="00C54578" w:rsidRDefault="00C54578" w:rsidP="00C54578">
            <w:pPr>
              <w:spacing w:after="0"/>
              <w:ind w:right="-581"/>
              <w:rPr>
                <w:rFonts w:ascii="Arial" w:hAnsi="Arial" w:cs="Arial"/>
                <w:b/>
                <w:sz w:val="20"/>
                <w:szCs w:val="20"/>
                <w:lang w:val="en-US"/>
              </w:rPr>
            </w:pPr>
            <w:r w:rsidRPr="00C54578">
              <w:rPr>
                <w:rFonts w:ascii="Arial" w:hAnsi="Arial" w:cs="Arial"/>
                <w:b/>
                <w:sz w:val="20"/>
                <w:szCs w:val="20"/>
                <w:lang w:val="en-US"/>
              </w:rPr>
              <w:t>Homocysteine</w:t>
            </w:r>
          </w:p>
          <w:p w14:paraId="7A1325D3" w14:textId="77777777" w:rsidR="00C54578" w:rsidRPr="00C54578" w:rsidRDefault="00C54578" w:rsidP="00C54578">
            <w:pPr>
              <w:spacing w:after="0"/>
              <w:ind w:right="-581"/>
              <w:rPr>
                <w:rFonts w:ascii="Arial" w:hAnsi="Arial" w:cs="Arial"/>
                <w:b/>
                <w:sz w:val="20"/>
                <w:szCs w:val="20"/>
                <w:lang w:val="en-US"/>
              </w:rPr>
            </w:pPr>
            <w:r w:rsidRPr="00C54578">
              <w:rPr>
                <w:rFonts w:ascii="Arial" w:hAnsi="Arial" w:cs="Arial"/>
                <w:b/>
                <w:sz w:val="20"/>
                <w:szCs w:val="20"/>
                <w:lang w:val="en-US"/>
              </w:rPr>
              <w:t>(4.5-15.0 µmol/L)</w:t>
            </w:r>
          </w:p>
        </w:tc>
        <w:tc>
          <w:tcPr>
            <w:tcW w:w="1080" w:type="dxa"/>
          </w:tcPr>
          <w:p w14:paraId="4B9F0597"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A1</w:t>
            </w:r>
          </w:p>
          <w:p w14:paraId="2EA64819"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(n=11)</w:t>
            </w:r>
          </w:p>
        </w:tc>
        <w:tc>
          <w:tcPr>
            <w:tcW w:w="1530" w:type="dxa"/>
            <w:shd w:val="clear" w:color="auto" w:fill="auto"/>
          </w:tcPr>
          <w:p w14:paraId="02E28AE2" w14:textId="5929FFE3"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6.7 ± </w:t>
            </w:r>
            <w:r w:rsidRPr="00110B80">
              <w:rPr>
                <w:rFonts w:ascii="Arial" w:hAnsi="Arial" w:cs="Arial"/>
                <w:color w:val="000000" w:themeColor="text1"/>
                <w:sz w:val="20"/>
                <w:szCs w:val="20"/>
                <w:u w:val="single"/>
                <w:lang w:val="en-US"/>
              </w:rPr>
              <w:t>1.0</w:t>
            </w:r>
          </w:p>
          <w:p w14:paraId="47F6BC58"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(4.9-8.1)</w:t>
            </w:r>
          </w:p>
        </w:tc>
        <w:tc>
          <w:tcPr>
            <w:tcW w:w="1710" w:type="dxa"/>
            <w:shd w:val="clear" w:color="auto" w:fill="auto"/>
          </w:tcPr>
          <w:p w14:paraId="3EB64C4A" w14:textId="36A823FB"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5.7 ± </w:t>
            </w:r>
            <w:r w:rsidRPr="00110B80">
              <w:rPr>
                <w:rFonts w:ascii="Arial" w:hAnsi="Arial" w:cs="Arial"/>
                <w:color w:val="000000" w:themeColor="text1"/>
                <w:sz w:val="20"/>
                <w:szCs w:val="20"/>
                <w:u w:val="single"/>
                <w:lang w:val="en-US"/>
              </w:rPr>
              <w:t>1.3</w:t>
            </w:r>
          </w:p>
          <w:p w14:paraId="72997D82"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(3.1-7.6)</w:t>
            </w:r>
          </w:p>
        </w:tc>
        <w:tc>
          <w:tcPr>
            <w:tcW w:w="1313" w:type="dxa"/>
            <w:shd w:val="clear" w:color="auto" w:fill="auto"/>
          </w:tcPr>
          <w:p w14:paraId="0570E123" w14:textId="77777777" w:rsidR="00C54578" w:rsidRPr="00C54578" w:rsidRDefault="00C54578" w:rsidP="00C54578">
            <w:pPr>
              <w:spacing w:after="0"/>
              <w:jc w:val="center"/>
              <w:rPr>
                <w:rFonts w:ascii="Arial" w:hAnsi="Arial" w:cs="Arial"/>
                <w:sz w:val="20"/>
                <w:szCs w:val="20"/>
                <w:lang w:val="en-US"/>
              </w:rPr>
            </w:pPr>
          </w:p>
          <w:p w14:paraId="5679A766"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0.80</w:t>
            </w:r>
          </w:p>
        </w:tc>
        <w:tc>
          <w:tcPr>
            <w:tcW w:w="1117" w:type="dxa"/>
            <w:shd w:val="clear" w:color="auto" w:fill="auto"/>
          </w:tcPr>
          <w:p w14:paraId="1417C9ED" w14:textId="77777777" w:rsidR="00C54578" w:rsidRPr="00C54578" w:rsidRDefault="00C54578" w:rsidP="00C54578">
            <w:pPr>
              <w:spacing w:after="0"/>
              <w:jc w:val="center"/>
              <w:rPr>
                <w:rFonts w:ascii="Arial" w:hAnsi="Arial" w:cs="Arial"/>
                <w:sz w:val="20"/>
                <w:szCs w:val="20"/>
                <w:lang w:val="en-US"/>
              </w:rPr>
            </w:pPr>
          </w:p>
          <w:p w14:paraId="6FAA42B7"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25870FD0" w14:textId="77777777" w:rsidTr="00B67313">
        <w:trPr>
          <w:jc w:val="center"/>
        </w:trPr>
        <w:tc>
          <w:tcPr>
            <w:tcW w:w="1975" w:type="dxa"/>
            <w:vMerge/>
            <w:shd w:val="clear" w:color="auto" w:fill="auto"/>
          </w:tcPr>
          <w:p w14:paraId="14718E54" w14:textId="77777777" w:rsidR="00C54578" w:rsidRPr="00C54578" w:rsidRDefault="00C54578" w:rsidP="00C54578">
            <w:pPr>
              <w:spacing w:after="0"/>
              <w:ind w:right="-581"/>
              <w:rPr>
                <w:rFonts w:ascii="Arial" w:hAnsi="Arial" w:cs="Arial"/>
                <w:b/>
                <w:sz w:val="20"/>
                <w:szCs w:val="20"/>
                <w:lang w:val="en-US"/>
              </w:rPr>
            </w:pPr>
          </w:p>
        </w:tc>
        <w:tc>
          <w:tcPr>
            <w:tcW w:w="1080" w:type="dxa"/>
          </w:tcPr>
          <w:p w14:paraId="636DF32C"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A2</w:t>
            </w:r>
          </w:p>
          <w:p w14:paraId="0C16C3D7"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(n=38)</w:t>
            </w:r>
          </w:p>
        </w:tc>
        <w:tc>
          <w:tcPr>
            <w:tcW w:w="1530" w:type="dxa"/>
            <w:shd w:val="clear" w:color="auto" w:fill="auto"/>
          </w:tcPr>
          <w:p w14:paraId="70FB3F77" w14:textId="3EE65309"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6.3 ± </w:t>
            </w:r>
            <w:r w:rsidRPr="00110B80">
              <w:rPr>
                <w:rFonts w:ascii="Arial" w:hAnsi="Arial" w:cs="Arial"/>
                <w:color w:val="000000" w:themeColor="text1"/>
                <w:sz w:val="20"/>
                <w:szCs w:val="20"/>
                <w:u w:val="single"/>
                <w:lang w:val="en-US"/>
              </w:rPr>
              <w:t>1.4</w:t>
            </w:r>
          </w:p>
          <w:p w14:paraId="71BEBD86"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(4.2-9.1)</w:t>
            </w:r>
          </w:p>
        </w:tc>
        <w:tc>
          <w:tcPr>
            <w:tcW w:w="1710" w:type="dxa"/>
            <w:shd w:val="clear" w:color="auto" w:fill="auto"/>
          </w:tcPr>
          <w:p w14:paraId="03454F8A" w14:textId="65965998"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5.8 ± </w:t>
            </w:r>
            <w:r w:rsidRPr="00110B80">
              <w:rPr>
                <w:rFonts w:ascii="Arial" w:hAnsi="Arial" w:cs="Arial"/>
                <w:color w:val="000000" w:themeColor="text1"/>
                <w:sz w:val="20"/>
                <w:szCs w:val="20"/>
                <w:u w:val="single"/>
                <w:lang w:val="en-US"/>
              </w:rPr>
              <w:t>1.7</w:t>
            </w:r>
          </w:p>
          <w:p w14:paraId="15092552"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(3.3-10.3)</w:t>
            </w:r>
          </w:p>
        </w:tc>
        <w:tc>
          <w:tcPr>
            <w:tcW w:w="1313" w:type="dxa"/>
            <w:shd w:val="clear" w:color="auto" w:fill="auto"/>
          </w:tcPr>
          <w:p w14:paraId="1AE97982" w14:textId="77777777" w:rsidR="00C54578" w:rsidRPr="00C54578" w:rsidRDefault="00C54578" w:rsidP="00C54578">
            <w:pPr>
              <w:spacing w:after="0"/>
              <w:jc w:val="center"/>
              <w:rPr>
                <w:rFonts w:ascii="Arial" w:hAnsi="Arial" w:cs="Arial"/>
                <w:sz w:val="20"/>
                <w:szCs w:val="20"/>
                <w:lang w:val="en-US"/>
              </w:rPr>
            </w:pPr>
          </w:p>
          <w:p w14:paraId="09E73BFC"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0.76</w:t>
            </w:r>
          </w:p>
        </w:tc>
        <w:tc>
          <w:tcPr>
            <w:tcW w:w="1117" w:type="dxa"/>
            <w:shd w:val="clear" w:color="auto" w:fill="auto"/>
          </w:tcPr>
          <w:p w14:paraId="06F4D82A" w14:textId="77777777" w:rsidR="00C54578" w:rsidRPr="00C54578" w:rsidRDefault="00C54578" w:rsidP="00C54578">
            <w:pPr>
              <w:spacing w:after="0"/>
              <w:jc w:val="center"/>
              <w:rPr>
                <w:rFonts w:ascii="Arial" w:hAnsi="Arial" w:cs="Arial"/>
                <w:sz w:val="20"/>
                <w:szCs w:val="20"/>
                <w:lang w:val="en-US"/>
              </w:rPr>
            </w:pPr>
          </w:p>
          <w:p w14:paraId="7A157DC6"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NS</w:t>
            </w:r>
          </w:p>
        </w:tc>
      </w:tr>
      <w:tr w:rsidR="00C54578" w:rsidRPr="00C54578" w14:paraId="761D106A" w14:textId="77777777" w:rsidTr="00B67313">
        <w:trPr>
          <w:jc w:val="center"/>
        </w:trPr>
        <w:tc>
          <w:tcPr>
            <w:tcW w:w="1975" w:type="dxa"/>
            <w:vMerge/>
            <w:shd w:val="clear" w:color="auto" w:fill="auto"/>
          </w:tcPr>
          <w:p w14:paraId="49767435" w14:textId="77777777" w:rsidR="00C54578" w:rsidRPr="00C54578" w:rsidRDefault="00C54578" w:rsidP="00C54578">
            <w:pPr>
              <w:spacing w:after="0"/>
              <w:ind w:right="-581"/>
              <w:rPr>
                <w:rFonts w:ascii="Arial" w:hAnsi="Arial" w:cs="Arial"/>
                <w:b/>
                <w:sz w:val="20"/>
                <w:szCs w:val="20"/>
                <w:lang w:val="en-US"/>
              </w:rPr>
            </w:pPr>
          </w:p>
        </w:tc>
        <w:tc>
          <w:tcPr>
            <w:tcW w:w="1080" w:type="dxa"/>
          </w:tcPr>
          <w:p w14:paraId="6054E055" w14:textId="77777777" w:rsidR="00C54578" w:rsidRPr="00110B80" w:rsidRDefault="00C54578" w:rsidP="00C54578">
            <w:pPr>
              <w:spacing w:after="0"/>
              <w:jc w:val="both"/>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B</w:t>
            </w:r>
          </w:p>
          <w:p w14:paraId="332EF6DE" w14:textId="77777777" w:rsidR="00C54578" w:rsidRPr="00110B80" w:rsidRDefault="00C54578" w:rsidP="00C54578">
            <w:pPr>
              <w:spacing w:after="0"/>
              <w:jc w:val="both"/>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(n=14)</w:t>
            </w:r>
          </w:p>
        </w:tc>
        <w:tc>
          <w:tcPr>
            <w:tcW w:w="1530" w:type="dxa"/>
            <w:shd w:val="clear" w:color="auto" w:fill="auto"/>
          </w:tcPr>
          <w:p w14:paraId="39AEEF20" w14:textId="08F2BDDC"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7.9 ± </w:t>
            </w:r>
            <w:r w:rsidRPr="00110B80">
              <w:rPr>
                <w:rFonts w:ascii="Arial" w:hAnsi="Arial" w:cs="Arial"/>
                <w:color w:val="000000" w:themeColor="text1"/>
                <w:sz w:val="20"/>
                <w:szCs w:val="20"/>
                <w:u w:val="single"/>
                <w:lang w:val="en-US"/>
              </w:rPr>
              <w:t>1.1</w:t>
            </w:r>
          </w:p>
          <w:p w14:paraId="07186D9A"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(5.3-9.4)</w:t>
            </w:r>
          </w:p>
        </w:tc>
        <w:tc>
          <w:tcPr>
            <w:tcW w:w="1710" w:type="dxa"/>
            <w:shd w:val="clear" w:color="auto" w:fill="auto"/>
          </w:tcPr>
          <w:p w14:paraId="36E2032A" w14:textId="198872B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6.4 ± 1.1</w:t>
            </w:r>
          </w:p>
          <w:p w14:paraId="17A02087"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(4.1-7.1)</w:t>
            </w:r>
          </w:p>
        </w:tc>
        <w:tc>
          <w:tcPr>
            <w:tcW w:w="1313" w:type="dxa"/>
            <w:shd w:val="clear" w:color="auto" w:fill="auto"/>
          </w:tcPr>
          <w:p w14:paraId="750C8C58" w14:textId="77777777" w:rsidR="00C54578" w:rsidRPr="00C54578" w:rsidRDefault="00C54578" w:rsidP="00C54578">
            <w:pPr>
              <w:spacing w:after="0"/>
              <w:jc w:val="center"/>
              <w:rPr>
                <w:rFonts w:ascii="Arial" w:hAnsi="Arial" w:cs="Arial"/>
                <w:sz w:val="20"/>
                <w:szCs w:val="20"/>
                <w:lang w:val="en-US"/>
              </w:rPr>
            </w:pPr>
          </w:p>
          <w:p w14:paraId="7D70F9BC"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0.64</w:t>
            </w:r>
          </w:p>
        </w:tc>
        <w:tc>
          <w:tcPr>
            <w:tcW w:w="1117" w:type="dxa"/>
            <w:shd w:val="clear" w:color="auto" w:fill="auto"/>
          </w:tcPr>
          <w:p w14:paraId="7229A58B" w14:textId="77777777" w:rsidR="00C54578" w:rsidRPr="00C54578" w:rsidRDefault="00C54578" w:rsidP="00C54578">
            <w:pPr>
              <w:spacing w:after="0"/>
              <w:jc w:val="center"/>
              <w:rPr>
                <w:rFonts w:ascii="Arial" w:hAnsi="Arial" w:cs="Arial"/>
                <w:sz w:val="20"/>
                <w:szCs w:val="20"/>
                <w:lang w:val="en-US"/>
              </w:rPr>
            </w:pPr>
          </w:p>
          <w:p w14:paraId="42C0B643"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p&lt;0.05</w:t>
            </w:r>
          </w:p>
        </w:tc>
      </w:tr>
      <w:tr w:rsidR="00C54578" w:rsidRPr="00C54578" w14:paraId="17C22031" w14:textId="77777777" w:rsidTr="00B67313">
        <w:trPr>
          <w:jc w:val="center"/>
        </w:trPr>
        <w:tc>
          <w:tcPr>
            <w:tcW w:w="1975" w:type="dxa"/>
            <w:vMerge w:val="restart"/>
            <w:shd w:val="clear" w:color="auto" w:fill="auto"/>
          </w:tcPr>
          <w:p w14:paraId="540B97CF" w14:textId="77777777" w:rsidR="00C54578" w:rsidRPr="00C54578" w:rsidRDefault="00C54578" w:rsidP="00C54578">
            <w:pPr>
              <w:spacing w:after="0"/>
              <w:rPr>
                <w:rFonts w:ascii="Arial" w:hAnsi="Arial" w:cs="Arial"/>
                <w:b/>
                <w:sz w:val="20"/>
                <w:szCs w:val="20"/>
                <w:lang w:val="en-US"/>
              </w:rPr>
            </w:pPr>
          </w:p>
          <w:p w14:paraId="5BCBD037" w14:textId="77777777" w:rsidR="00C54578" w:rsidRPr="00C54578" w:rsidRDefault="00C54578" w:rsidP="00C54578">
            <w:pPr>
              <w:spacing w:after="0"/>
              <w:rPr>
                <w:rFonts w:ascii="Arial" w:hAnsi="Arial" w:cs="Arial"/>
                <w:b/>
                <w:sz w:val="20"/>
                <w:szCs w:val="20"/>
                <w:lang w:val="en-US"/>
              </w:rPr>
            </w:pPr>
          </w:p>
          <w:p w14:paraId="34FFBD06" w14:textId="77777777" w:rsidR="00C54578" w:rsidRPr="00C54578" w:rsidRDefault="00C54578" w:rsidP="00C54578">
            <w:pPr>
              <w:spacing w:after="0"/>
              <w:rPr>
                <w:rFonts w:ascii="Arial" w:hAnsi="Arial" w:cs="Arial"/>
                <w:b/>
                <w:sz w:val="20"/>
                <w:szCs w:val="20"/>
                <w:lang w:val="en-US"/>
              </w:rPr>
            </w:pPr>
            <w:r w:rsidRPr="00C54578">
              <w:rPr>
                <w:rFonts w:ascii="Arial" w:hAnsi="Arial" w:cs="Arial"/>
                <w:b/>
                <w:sz w:val="20"/>
                <w:szCs w:val="20"/>
                <w:lang w:val="en-US"/>
              </w:rPr>
              <w:t>Estradiol</w:t>
            </w:r>
          </w:p>
          <w:p w14:paraId="5203705C" w14:textId="77777777" w:rsidR="00C54578" w:rsidRPr="00C54578" w:rsidRDefault="00C54578" w:rsidP="00C54578">
            <w:pPr>
              <w:spacing w:after="0"/>
              <w:rPr>
                <w:rFonts w:ascii="Arial" w:hAnsi="Arial" w:cs="Arial"/>
                <w:b/>
                <w:sz w:val="20"/>
                <w:szCs w:val="20"/>
                <w:lang w:val="en-US"/>
              </w:rPr>
            </w:pPr>
            <w:r w:rsidRPr="00C54578">
              <w:rPr>
                <w:rFonts w:ascii="Arial" w:hAnsi="Arial" w:cs="Arial"/>
                <w:b/>
                <w:sz w:val="20"/>
                <w:szCs w:val="20"/>
                <w:lang w:val="en-US"/>
              </w:rPr>
              <w:t>(&gt;25</w:t>
            </w:r>
            <w:r w:rsidRPr="00C54578">
              <w:rPr>
                <w:rFonts w:ascii="Arial" w:hAnsi="Arial" w:cs="Arial"/>
                <w:b/>
                <w:lang w:val="en-US"/>
              </w:rPr>
              <w:t xml:space="preserve"> </w:t>
            </w:r>
            <w:proofErr w:type="spellStart"/>
            <w:r w:rsidRPr="00C54578">
              <w:rPr>
                <w:rFonts w:ascii="Arial" w:hAnsi="Arial" w:cs="Arial"/>
                <w:b/>
                <w:sz w:val="20"/>
                <w:szCs w:val="20"/>
                <w:lang w:val="en-US"/>
              </w:rPr>
              <w:t>pg</w:t>
            </w:r>
            <w:proofErr w:type="spellEnd"/>
            <w:r w:rsidRPr="00C54578">
              <w:rPr>
                <w:rFonts w:ascii="Arial" w:hAnsi="Arial" w:cs="Arial"/>
                <w:b/>
                <w:sz w:val="20"/>
                <w:szCs w:val="20"/>
                <w:lang w:val="en-US"/>
              </w:rPr>
              <w:t>/ml)</w:t>
            </w:r>
          </w:p>
        </w:tc>
        <w:tc>
          <w:tcPr>
            <w:tcW w:w="1080" w:type="dxa"/>
          </w:tcPr>
          <w:p w14:paraId="68FA69D0"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A1</w:t>
            </w:r>
          </w:p>
          <w:p w14:paraId="69BA3C15"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(n=11)</w:t>
            </w:r>
          </w:p>
        </w:tc>
        <w:tc>
          <w:tcPr>
            <w:tcW w:w="1530" w:type="dxa"/>
            <w:shd w:val="clear" w:color="auto" w:fill="auto"/>
          </w:tcPr>
          <w:p w14:paraId="191080F2" w14:textId="781CB848"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37.1 ± </w:t>
            </w:r>
            <w:r w:rsidRPr="00110B80">
              <w:rPr>
                <w:rFonts w:ascii="Arial" w:hAnsi="Arial" w:cs="Arial"/>
                <w:color w:val="000000" w:themeColor="text1"/>
                <w:sz w:val="20"/>
                <w:szCs w:val="20"/>
                <w:u w:val="single"/>
                <w:lang w:val="en-US"/>
              </w:rPr>
              <w:t>42.8</w:t>
            </w:r>
          </w:p>
          <w:p w14:paraId="292F7777"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(5-167)</w:t>
            </w:r>
          </w:p>
        </w:tc>
        <w:tc>
          <w:tcPr>
            <w:tcW w:w="1710" w:type="dxa"/>
            <w:shd w:val="clear" w:color="auto" w:fill="auto"/>
          </w:tcPr>
          <w:p w14:paraId="2D208848" w14:textId="7E4B33F0"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1725 ± </w:t>
            </w:r>
            <w:r w:rsidRPr="00110B80">
              <w:rPr>
                <w:rFonts w:ascii="Arial" w:hAnsi="Arial" w:cs="Arial"/>
                <w:color w:val="000000" w:themeColor="text1"/>
                <w:sz w:val="20"/>
                <w:szCs w:val="20"/>
                <w:u w:val="single"/>
                <w:lang w:val="en-US"/>
              </w:rPr>
              <w:t>1007.1</w:t>
            </w:r>
          </w:p>
          <w:p w14:paraId="541900C1"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(484-4300)</w:t>
            </w:r>
          </w:p>
        </w:tc>
        <w:tc>
          <w:tcPr>
            <w:tcW w:w="1313" w:type="dxa"/>
            <w:shd w:val="clear" w:color="auto" w:fill="auto"/>
          </w:tcPr>
          <w:p w14:paraId="5E3EDAB5" w14:textId="77777777" w:rsidR="00C54578" w:rsidRPr="00C54578" w:rsidRDefault="00C54578" w:rsidP="00C54578">
            <w:pPr>
              <w:spacing w:after="0"/>
              <w:jc w:val="center"/>
              <w:rPr>
                <w:rFonts w:ascii="Arial" w:hAnsi="Arial" w:cs="Arial"/>
                <w:sz w:val="20"/>
                <w:szCs w:val="20"/>
                <w:lang w:val="en-US"/>
              </w:rPr>
            </w:pPr>
          </w:p>
          <w:p w14:paraId="2C592F7E"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-0.17</w:t>
            </w:r>
          </w:p>
        </w:tc>
        <w:tc>
          <w:tcPr>
            <w:tcW w:w="1117" w:type="dxa"/>
            <w:shd w:val="clear" w:color="auto" w:fill="auto"/>
          </w:tcPr>
          <w:p w14:paraId="747FB12A" w14:textId="77777777" w:rsidR="00C54578" w:rsidRPr="00C54578" w:rsidRDefault="00C54578" w:rsidP="00C54578">
            <w:pPr>
              <w:spacing w:after="0"/>
              <w:jc w:val="center"/>
              <w:rPr>
                <w:rFonts w:ascii="Arial" w:hAnsi="Arial" w:cs="Arial"/>
                <w:sz w:val="20"/>
                <w:szCs w:val="20"/>
                <w:lang w:val="en-US"/>
              </w:rPr>
            </w:pPr>
          </w:p>
          <w:p w14:paraId="61BC8188"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p&lt;0.001</w:t>
            </w:r>
          </w:p>
        </w:tc>
      </w:tr>
      <w:tr w:rsidR="00C54578" w:rsidRPr="00C54578" w14:paraId="650D08EC" w14:textId="77777777" w:rsidTr="00B67313">
        <w:trPr>
          <w:jc w:val="center"/>
        </w:trPr>
        <w:tc>
          <w:tcPr>
            <w:tcW w:w="1975" w:type="dxa"/>
            <w:vMerge/>
            <w:shd w:val="clear" w:color="auto" w:fill="auto"/>
          </w:tcPr>
          <w:p w14:paraId="0D59ACDA" w14:textId="77777777" w:rsidR="00C54578" w:rsidRPr="00C54578" w:rsidRDefault="00C54578" w:rsidP="00C54578">
            <w:pPr>
              <w:spacing w:after="0"/>
              <w:rPr>
                <w:rFonts w:ascii="Arial" w:hAnsi="Arial" w:cs="Arial"/>
                <w:sz w:val="20"/>
                <w:szCs w:val="20"/>
                <w:lang w:val="en-US"/>
              </w:rPr>
            </w:pPr>
          </w:p>
        </w:tc>
        <w:tc>
          <w:tcPr>
            <w:tcW w:w="1080" w:type="dxa"/>
          </w:tcPr>
          <w:p w14:paraId="4448F1C0"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A2</w:t>
            </w:r>
          </w:p>
          <w:p w14:paraId="3D6F2253" w14:textId="77777777" w:rsidR="00C54578" w:rsidRPr="00110B80" w:rsidRDefault="00C54578" w:rsidP="00C54578">
            <w:pPr>
              <w:spacing w:after="0"/>
              <w:rPr>
                <w:rFonts w:ascii="Arial" w:hAnsi="Arial" w:cs="Arial"/>
                <w:color w:val="000000" w:themeColor="text1"/>
                <w:sz w:val="20"/>
                <w:szCs w:val="20"/>
                <w:lang w:val="en-US"/>
              </w:rPr>
            </w:pPr>
            <w:r w:rsidRPr="00110B80">
              <w:rPr>
                <w:rFonts w:ascii="Arial" w:hAnsi="Arial" w:cs="Arial"/>
                <w:color w:val="000000" w:themeColor="text1"/>
                <w:sz w:val="20"/>
                <w:szCs w:val="20"/>
                <w:lang w:val="en-US"/>
              </w:rPr>
              <w:t>(n=38)</w:t>
            </w:r>
          </w:p>
        </w:tc>
        <w:tc>
          <w:tcPr>
            <w:tcW w:w="1530" w:type="dxa"/>
            <w:shd w:val="clear" w:color="auto" w:fill="auto"/>
          </w:tcPr>
          <w:p w14:paraId="5A045F69" w14:textId="44BA7AAE"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27.7 ± </w:t>
            </w:r>
            <w:r w:rsidRPr="00110B80">
              <w:rPr>
                <w:rFonts w:ascii="Arial" w:hAnsi="Arial" w:cs="Arial"/>
                <w:color w:val="000000" w:themeColor="text1"/>
                <w:sz w:val="20"/>
                <w:szCs w:val="20"/>
                <w:u w:val="single"/>
                <w:lang w:val="en-US"/>
              </w:rPr>
              <w:t>35.5</w:t>
            </w:r>
          </w:p>
          <w:p w14:paraId="74CD26C4"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(4-171)</w:t>
            </w:r>
          </w:p>
        </w:tc>
        <w:tc>
          <w:tcPr>
            <w:tcW w:w="1710" w:type="dxa"/>
            <w:shd w:val="clear" w:color="auto" w:fill="auto"/>
          </w:tcPr>
          <w:p w14:paraId="48EF52C4" w14:textId="676F6C4F"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1448.8 ± </w:t>
            </w:r>
            <w:r w:rsidRPr="00110B80">
              <w:rPr>
                <w:rFonts w:ascii="Arial" w:hAnsi="Arial" w:cs="Arial"/>
                <w:color w:val="000000" w:themeColor="text1"/>
                <w:sz w:val="20"/>
                <w:szCs w:val="20"/>
                <w:u w:val="single"/>
                <w:lang w:val="en-US"/>
              </w:rPr>
              <w:t>1078.0</w:t>
            </w:r>
          </w:p>
          <w:p w14:paraId="2046FDA6"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(317-4044)</w:t>
            </w:r>
          </w:p>
        </w:tc>
        <w:tc>
          <w:tcPr>
            <w:tcW w:w="1313" w:type="dxa"/>
            <w:shd w:val="clear" w:color="auto" w:fill="auto"/>
          </w:tcPr>
          <w:p w14:paraId="5E7D97FA" w14:textId="77777777" w:rsidR="00C54578" w:rsidRPr="00C54578" w:rsidRDefault="00C54578" w:rsidP="00C54578">
            <w:pPr>
              <w:spacing w:after="0"/>
              <w:jc w:val="center"/>
              <w:rPr>
                <w:rFonts w:ascii="Arial" w:hAnsi="Arial" w:cs="Arial"/>
                <w:sz w:val="20"/>
                <w:szCs w:val="20"/>
                <w:lang w:val="en-US"/>
              </w:rPr>
            </w:pPr>
          </w:p>
          <w:p w14:paraId="133C4763"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0.08</w:t>
            </w:r>
          </w:p>
        </w:tc>
        <w:tc>
          <w:tcPr>
            <w:tcW w:w="1117" w:type="dxa"/>
            <w:shd w:val="clear" w:color="auto" w:fill="auto"/>
          </w:tcPr>
          <w:p w14:paraId="0A8B5438" w14:textId="77777777" w:rsidR="00C54578" w:rsidRPr="00C54578" w:rsidRDefault="00C54578" w:rsidP="00C54578">
            <w:pPr>
              <w:spacing w:after="0"/>
              <w:jc w:val="center"/>
              <w:rPr>
                <w:rFonts w:ascii="Arial" w:hAnsi="Arial" w:cs="Arial"/>
                <w:sz w:val="20"/>
                <w:szCs w:val="20"/>
                <w:lang w:val="en-US"/>
              </w:rPr>
            </w:pPr>
          </w:p>
          <w:p w14:paraId="1E2AA51D"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p&lt;0.001</w:t>
            </w:r>
          </w:p>
        </w:tc>
      </w:tr>
      <w:tr w:rsidR="00C54578" w:rsidRPr="00C54578" w14:paraId="74D14B60" w14:textId="77777777" w:rsidTr="00B67313">
        <w:trPr>
          <w:jc w:val="center"/>
        </w:trPr>
        <w:tc>
          <w:tcPr>
            <w:tcW w:w="1975" w:type="dxa"/>
            <w:vMerge/>
            <w:shd w:val="clear" w:color="auto" w:fill="auto"/>
          </w:tcPr>
          <w:p w14:paraId="401C3933" w14:textId="77777777" w:rsidR="00C54578" w:rsidRPr="00C54578" w:rsidRDefault="00C54578" w:rsidP="00C54578">
            <w:pPr>
              <w:spacing w:after="0"/>
              <w:rPr>
                <w:rFonts w:ascii="Arial" w:hAnsi="Arial" w:cs="Arial"/>
                <w:sz w:val="20"/>
                <w:szCs w:val="20"/>
                <w:lang w:val="en-US"/>
              </w:rPr>
            </w:pPr>
          </w:p>
        </w:tc>
        <w:tc>
          <w:tcPr>
            <w:tcW w:w="1080" w:type="dxa"/>
          </w:tcPr>
          <w:p w14:paraId="15CB2FD9" w14:textId="77777777" w:rsidR="00C54578" w:rsidRPr="00110B80" w:rsidRDefault="00C54578" w:rsidP="00C54578">
            <w:pPr>
              <w:spacing w:after="0"/>
              <w:jc w:val="both"/>
              <w:rPr>
                <w:rFonts w:ascii="Arial" w:hAnsi="Arial" w:cs="Arial"/>
                <w:color w:val="000000" w:themeColor="text1"/>
                <w:sz w:val="20"/>
                <w:szCs w:val="20"/>
                <w:lang w:val="en-US"/>
              </w:rPr>
            </w:pPr>
            <w:r w:rsidRPr="00110B80">
              <w:rPr>
                <w:rFonts w:ascii="Arial" w:hAnsi="Arial" w:cs="Arial"/>
                <w:color w:val="000000" w:themeColor="text1"/>
                <w:sz w:val="20"/>
                <w:szCs w:val="20"/>
                <w:lang w:val="en-US"/>
              </w:rPr>
              <w:t>Group B</w:t>
            </w:r>
          </w:p>
          <w:p w14:paraId="2EF754E6" w14:textId="77777777" w:rsidR="00C54578" w:rsidRPr="00110B80" w:rsidRDefault="00C54578" w:rsidP="00C54578">
            <w:pPr>
              <w:spacing w:after="0"/>
              <w:jc w:val="both"/>
              <w:rPr>
                <w:rFonts w:ascii="Arial" w:hAnsi="Arial" w:cs="Arial"/>
                <w:color w:val="000000" w:themeColor="text1"/>
                <w:sz w:val="20"/>
                <w:szCs w:val="20"/>
                <w:lang w:val="en-US"/>
              </w:rPr>
            </w:pPr>
            <w:r w:rsidRPr="00110B80">
              <w:rPr>
                <w:rFonts w:ascii="Arial" w:hAnsi="Arial" w:cs="Arial"/>
                <w:color w:val="000000" w:themeColor="text1"/>
                <w:sz w:val="20"/>
                <w:szCs w:val="20"/>
                <w:lang w:val="en-US"/>
              </w:rPr>
              <w:t>(n=14)</w:t>
            </w:r>
          </w:p>
        </w:tc>
        <w:tc>
          <w:tcPr>
            <w:tcW w:w="1530" w:type="dxa"/>
            <w:shd w:val="clear" w:color="auto" w:fill="auto"/>
          </w:tcPr>
          <w:p w14:paraId="26BDF2E8" w14:textId="08ABB166"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55.0 ± </w:t>
            </w:r>
            <w:r w:rsidRPr="00110B80">
              <w:rPr>
                <w:rFonts w:ascii="Arial" w:hAnsi="Arial" w:cs="Arial"/>
                <w:color w:val="000000" w:themeColor="text1"/>
                <w:sz w:val="20"/>
                <w:szCs w:val="20"/>
                <w:u w:val="single"/>
                <w:lang w:val="en-US"/>
              </w:rPr>
              <w:t>87.3</w:t>
            </w:r>
          </w:p>
          <w:p w14:paraId="601C8618"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(9.4-306)</w:t>
            </w:r>
          </w:p>
        </w:tc>
        <w:tc>
          <w:tcPr>
            <w:tcW w:w="1710" w:type="dxa"/>
            <w:shd w:val="clear" w:color="auto" w:fill="auto"/>
          </w:tcPr>
          <w:p w14:paraId="656E252A" w14:textId="5E78F198"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 xml:space="preserve">1659.1 ± </w:t>
            </w:r>
            <w:r w:rsidRPr="00110B80">
              <w:rPr>
                <w:rFonts w:ascii="Arial" w:hAnsi="Arial" w:cs="Arial"/>
                <w:color w:val="000000" w:themeColor="text1"/>
                <w:sz w:val="20"/>
                <w:szCs w:val="20"/>
                <w:u w:val="single"/>
                <w:lang w:val="en-US"/>
              </w:rPr>
              <w:t>1108.9</w:t>
            </w:r>
          </w:p>
          <w:p w14:paraId="4D94A6BB" w14:textId="77777777" w:rsidR="00C54578" w:rsidRPr="00110B80" w:rsidRDefault="00C54578" w:rsidP="00C54578">
            <w:pPr>
              <w:spacing w:after="0"/>
              <w:jc w:val="center"/>
              <w:rPr>
                <w:rFonts w:ascii="Arial" w:hAnsi="Arial" w:cs="Arial"/>
                <w:color w:val="000000" w:themeColor="text1"/>
                <w:sz w:val="20"/>
                <w:szCs w:val="20"/>
                <w:lang w:val="en-US"/>
              </w:rPr>
            </w:pPr>
            <w:r w:rsidRPr="00110B80">
              <w:rPr>
                <w:rFonts w:ascii="Arial" w:hAnsi="Arial" w:cs="Arial"/>
                <w:color w:val="000000" w:themeColor="text1"/>
                <w:sz w:val="20"/>
                <w:szCs w:val="20"/>
                <w:lang w:val="en-US"/>
              </w:rPr>
              <w:t>(611-4300)</w:t>
            </w:r>
          </w:p>
        </w:tc>
        <w:tc>
          <w:tcPr>
            <w:tcW w:w="1313" w:type="dxa"/>
            <w:shd w:val="clear" w:color="auto" w:fill="auto"/>
          </w:tcPr>
          <w:p w14:paraId="5ACD320B" w14:textId="77777777" w:rsidR="00C54578" w:rsidRPr="00C54578" w:rsidRDefault="00C54578" w:rsidP="00C54578">
            <w:pPr>
              <w:spacing w:after="0"/>
              <w:jc w:val="center"/>
              <w:rPr>
                <w:rFonts w:ascii="Arial" w:hAnsi="Arial" w:cs="Arial"/>
                <w:sz w:val="20"/>
                <w:szCs w:val="20"/>
                <w:lang w:val="en-US"/>
              </w:rPr>
            </w:pPr>
          </w:p>
          <w:p w14:paraId="0D05AF3C"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0.41</w:t>
            </w:r>
          </w:p>
        </w:tc>
        <w:tc>
          <w:tcPr>
            <w:tcW w:w="1117" w:type="dxa"/>
            <w:shd w:val="clear" w:color="auto" w:fill="auto"/>
          </w:tcPr>
          <w:p w14:paraId="2E203F1B" w14:textId="77777777" w:rsidR="00C54578" w:rsidRPr="00C54578" w:rsidRDefault="00C54578" w:rsidP="00C54578">
            <w:pPr>
              <w:spacing w:after="0"/>
              <w:jc w:val="center"/>
              <w:rPr>
                <w:rFonts w:ascii="Arial" w:hAnsi="Arial" w:cs="Arial"/>
                <w:sz w:val="20"/>
                <w:szCs w:val="20"/>
                <w:lang w:val="en-US"/>
              </w:rPr>
            </w:pPr>
          </w:p>
          <w:p w14:paraId="2621AC07" w14:textId="77777777" w:rsidR="00C54578" w:rsidRPr="00C54578" w:rsidRDefault="00C54578" w:rsidP="00C54578">
            <w:pPr>
              <w:spacing w:after="0"/>
              <w:jc w:val="center"/>
              <w:rPr>
                <w:rFonts w:ascii="Arial" w:hAnsi="Arial" w:cs="Arial"/>
                <w:sz w:val="20"/>
                <w:szCs w:val="20"/>
                <w:lang w:val="en-US"/>
              </w:rPr>
            </w:pPr>
            <w:r w:rsidRPr="00C54578">
              <w:rPr>
                <w:rFonts w:ascii="Arial" w:hAnsi="Arial" w:cs="Arial"/>
                <w:sz w:val="20"/>
                <w:szCs w:val="20"/>
                <w:lang w:val="en-US"/>
              </w:rPr>
              <w:t>p&lt;0.001</w:t>
            </w:r>
          </w:p>
        </w:tc>
      </w:tr>
    </w:tbl>
    <w:p w14:paraId="0809EC07" w14:textId="77777777" w:rsidR="00C54578" w:rsidRDefault="00C54578" w:rsidP="00C54578">
      <w:pPr>
        <w:spacing w:after="0" w:line="240" w:lineRule="auto"/>
        <w:rPr>
          <w:color w:val="FF0000"/>
          <w:lang w:val="en-US"/>
        </w:rPr>
      </w:pPr>
      <w:r w:rsidRPr="00C54578">
        <w:rPr>
          <w:color w:val="FF0000"/>
          <w:lang w:val="en-US"/>
        </w:rPr>
        <w:t xml:space="preserve">   </w:t>
      </w:r>
    </w:p>
    <w:p w14:paraId="6D656922" w14:textId="3BF1FF9C" w:rsidR="00C54578" w:rsidRPr="00C54578" w:rsidRDefault="00C54578" w:rsidP="00F24660">
      <w:pPr>
        <w:spacing w:after="0"/>
        <w:jc w:val="both"/>
        <w:rPr>
          <w:rFonts w:ascii="Arial" w:hAnsi="Arial" w:cs="Arial"/>
          <w:color w:val="000000" w:themeColor="text1"/>
          <w:lang w:val="en-US"/>
        </w:rPr>
      </w:pPr>
      <w:r w:rsidRPr="00005E56">
        <w:rPr>
          <w:rFonts w:ascii="Arial" w:hAnsi="Arial" w:cs="Arial"/>
          <w:b/>
          <w:lang w:val="en-US"/>
        </w:rPr>
        <w:t>Table 2.</w:t>
      </w:r>
      <w:r w:rsidRPr="00005E56">
        <w:rPr>
          <w:rFonts w:ascii="Arial" w:hAnsi="Arial" w:cs="Arial"/>
          <w:lang w:val="en-US"/>
        </w:rPr>
        <w:t xml:space="preserve"> </w:t>
      </w:r>
      <w:r w:rsidRPr="00F24660">
        <w:rPr>
          <w:rFonts w:ascii="Arial" w:hAnsi="Arial" w:cs="Arial"/>
          <w:b/>
          <w:bCs/>
          <w:lang w:val="en-US"/>
        </w:rPr>
        <w:t>Levels of folic acid, homocysteine and estradiol in the groups studied</w:t>
      </w:r>
      <w:r>
        <w:rPr>
          <w:rFonts w:ascii="Arial" w:hAnsi="Arial" w:cs="Arial"/>
          <w:lang w:val="en-US"/>
        </w:rPr>
        <w:t>.</w:t>
      </w:r>
      <w:r w:rsidRPr="00005E56">
        <w:rPr>
          <w:rFonts w:ascii="Arial" w:hAnsi="Arial" w:cs="Arial"/>
          <w:lang w:val="en-US"/>
        </w:rPr>
        <w:t xml:space="preserve"> </w:t>
      </w:r>
      <w:r w:rsidRPr="00C54578">
        <w:rPr>
          <w:rFonts w:ascii="Arial" w:hAnsi="Arial" w:cs="Arial"/>
          <w:color w:val="000000" w:themeColor="text1"/>
          <w:lang w:val="en-US"/>
        </w:rPr>
        <w:t>Group A1: patients who became pregnant after the treatment. Group A2: patients that did not achieved pregnancy. Group B: control group (patients of our egg donor program).</w:t>
      </w:r>
    </w:p>
    <w:p w14:paraId="667F3250" w14:textId="77777777" w:rsidR="00C54578" w:rsidRPr="00562E29" w:rsidRDefault="00C54578" w:rsidP="00C54578">
      <w:pPr>
        <w:spacing w:after="0" w:line="240" w:lineRule="auto"/>
        <w:rPr>
          <w:lang w:val="en-US"/>
        </w:rPr>
      </w:pPr>
    </w:p>
    <w:p w14:paraId="38BA15BB" w14:textId="692C849F" w:rsidR="00C54578" w:rsidRDefault="00C54578" w:rsidP="00C54578">
      <w:pPr>
        <w:spacing w:after="0" w:line="240" w:lineRule="auto"/>
        <w:rPr>
          <w:lang w:val="en-US"/>
        </w:rPr>
      </w:pPr>
    </w:p>
    <w:p w14:paraId="6BE8B3A8" w14:textId="4D698706" w:rsidR="00B67313" w:rsidRDefault="00B67313" w:rsidP="00C54578">
      <w:pPr>
        <w:spacing w:after="0" w:line="240" w:lineRule="auto"/>
        <w:rPr>
          <w:lang w:val="en-US"/>
        </w:rPr>
      </w:pPr>
    </w:p>
    <w:p w14:paraId="646DC9AB" w14:textId="77777777" w:rsidR="00057A5B" w:rsidRDefault="00057A5B" w:rsidP="00C54578">
      <w:pPr>
        <w:spacing w:after="0" w:line="240" w:lineRule="auto"/>
        <w:rPr>
          <w:lang w:val="en-US"/>
        </w:rPr>
      </w:pPr>
    </w:p>
    <w:p w14:paraId="55E08BA3" w14:textId="77777777" w:rsidR="00C54578" w:rsidRPr="00562E29" w:rsidRDefault="00C54578" w:rsidP="00C54578">
      <w:pPr>
        <w:spacing w:after="0" w:line="240" w:lineRule="auto"/>
        <w:rPr>
          <w:lang w:val="en-US"/>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970"/>
        <w:gridCol w:w="1170"/>
        <w:gridCol w:w="1080"/>
        <w:gridCol w:w="1080"/>
      </w:tblGrid>
      <w:tr w:rsidR="00C54578" w:rsidRPr="00F24660" w14:paraId="7B8783CA" w14:textId="77777777" w:rsidTr="00B67313">
        <w:trPr>
          <w:trHeight w:val="434"/>
          <w:jc w:val="center"/>
        </w:trPr>
        <w:tc>
          <w:tcPr>
            <w:tcW w:w="2515" w:type="dxa"/>
            <w:shd w:val="clear" w:color="auto" w:fill="auto"/>
          </w:tcPr>
          <w:p w14:paraId="6BB3964A" w14:textId="77777777" w:rsidR="00C54578" w:rsidRPr="00F24660" w:rsidRDefault="00C54578" w:rsidP="00C54578">
            <w:pPr>
              <w:spacing w:after="0"/>
              <w:rPr>
                <w:rFonts w:ascii="Arial" w:hAnsi="Arial" w:cs="Arial"/>
                <w:sz w:val="20"/>
                <w:szCs w:val="20"/>
                <w:lang w:val="en-US"/>
              </w:rPr>
            </w:pPr>
          </w:p>
        </w:tc>
        <w:tc>
          <w:tcPr>
            <w:tcW w:w="2970" w:type="dxa"/>
            <w:shd w:val="clear" w:color="auto" w:fill="auto"/>
          </w:tcPr>
          <w:p w14:paraId="639977F0" w14:textId="77777777" w:rsidR="00C54578" w:rsidRPr="00F24660" w:rsidRDefault="00C54578" w:rsidP="00C54578">
            <w:pPr>
              <w:spacing w:after="0"/>
              <w:rPr>
                <w:rFonts w:ascii="Arial" w:hAnsi="Arial" w:cs="Arial"/>
                <w:b/>
                <w:bCs/>
                <w:sz w:val="20"/>
                <w:szCs w:val="20"/>
                <w:lang w:val="en-US"/>
              </w:rPr>
            </w:pPr>
          </w:p>
        </w:tc>
        <w:tc>
          <w:tcPr>
            <w:tcW w:w="1170" w:type="dxa"/>
            <w:shd w:val="clear" w:color="auto" w:fill="auto"/>
          </w:tcPr>
          <w:p w14:paraId="119B1120" w14:textId="77777777" w:rsidR="00C54578" w:rsidRPr="00F24660" w:rsidRDefault="00C54578" w:rsidP="00B67313">
            <w:pPr>
              <w:spacing w:after="0"/>
              <w:jc w:val="center"/>
              <w:rPr>
                <w:rFonts w:ascii="Arial" w:hAnsi="Arial" w:cs="Arial"/>
                <w:b/>
                <w:bCs/>
                <w:sz w:val="20"/>
                <w:szCs w:val="20"/>
                <w:lang w:val="en-US"/>
              </w:rPr>
            </w:pPr>
            <w:r w:rsidRPr="00F24660">
              <w:rPr>
                <w:rFonts w:ascii="Arial" w:hAnsi="Arial" w:cs="Arial"/>
                <w:b/>
                <w:bCs/>
                <w:sz w:val="20"/>
                <w:szCs w:val="20"/>
                <w:lang w:val="en-US"/>
              </w:rPr>
              <w:t>Group A1</w:t>
            </w:r>
          </w:p>
          <w:p w14:paraId="04ECB16D" w14:textId="77777777" w:rsidR="00C54578" w:rsidRPr="00F24660" w:rsidRDefault="00C54578" w:rsidP="00C54578">
            <w:pPr>
              <w:spacing w:after="0"/>
              <w:jc w:val="center"/>
              <w:rPr>
                <w:rFonts w:ascii="Arial" w:hAnsi="Arial" w:cs="Arial"/>
                <w:b/>
                <w:bCs/>
                <w:sz w:val="20"/>
                <w:szCs w:val="20"/>
                <w:lang w:val="en-US"/>
              </w:rPr>
            </w:pPr>
            <w:r w:rsidRPr="00F24660">
              <w:rPr>
                <w:rFonts w:ascii="Arial" w:hAnsi="Arial" w:cs="Arial"/>
                <w:b/>
                <w:bCs/>
                <w:sz w:val="20"/>
                <w:szCs w:val="20"/>
                <w:lang w:val="en-US"/>
              </w:rPr>
              <w:t>(n=11)</w:t>
            </w:r>
          </w:p>
          <w:p w14:paraId="075F49F0" w14:textId="77777777" w:rsidR="00C54578" w:rsidRPr="00F24660" w:rsidRDefault="00C54578" w:rsidP="00C54578">
            <w:pPr>
              <w:spacing w:after="0"/>
              <w:jc w:val="center"/>
              <w:rPr>
                <w:rFonts w:ascii="Arial" w:hAnsi="Arial" w:cs="Arial"/>
                <w:b/>
                <w:bCs/>
                <w:sz w:val="20"/>
                <w:szCs w:val="20"/>
                <w:lang w:val="en-US"/>
              </w:rPr>
            </w:pPr>
            <w:r w:rsidRPr="00F24660">
              <w:rPr>
                <w:rFonts w:ascii="Arial" w:hAnsi="Arial" w:cs="Arial"/>
                <w:b/>
                <w:bCs/>
                <w:sz w:val="20"/>
                <w:szCs w:val="20"/>
                <w:lang w:val="en-US"/>
              </w:rPr>
              <w:t>r</w:t>
            </w:r>
          </w:p>
        </w:tc>
        <w:tc>
          <w:tcPr>
            <w:tcW w:w="1080" w:type="dxa"/>
            <w:shd w:val="clear" w:color="auto" w:fill="auto"/>
          </w:tcPr>
          <w:p w14:paraId="6DA43D86" w14:textId="77777777" w:rsidR="00C54578" w:rsidRPr="00F24660" w:rsidRDefault="00C54578" w:rsidP="00C54578">
            <w:pPr>
              <w:spacing w:after="0"/>
              <w:ind w:right="-581"/>
              <w:rPr>
                <w:rFonts w:ascii="Arial" w:hAnsi="Arial" w:cs="Arial"/>
                <w:b/>
                <w:bCs/>
                <w:sz w:val="20"/>
                <w:szCs w:val="20"/>
                <w:lang w:val="en-US"/>
              </w:rPr>
            </w:pPr>
            <w:r w:rsidRPr="00F24660">
              <w:rPr>
                <w:rFonts w:ascii="Arial" w:hAnsi="Arial" w:cs="Arial"/>
                <w:b/>
                <w:bCs/>
                <w:sz w:val="20"/>
                <w:szCs w:val="20"/>
                <w:lang w:val="en-US"/>
              </w:rPr>
              <w:t>Group A2</w:t>
            </w:r>
          </w:p>
          <w:p w14:paraId="50D92681" w14:textId="77777777" w:rsidR="00C54578" w:rsidRPr="00F24660" w:rsidRDefault="00C54578" w:rsidP="00C54578">
            <w:pPr>
              <w:spacing w:after="0"/>
              <w:jc w:val="center"/>
              <w:rPr>
                <w:rFonts w:ascii="Arial" w:hAnsi="Arial" w:cs="Arial"/>
                <w:b/>
                <w:bCs/>
                <w:sz w:val="20"/>
                <w:szCs w:val="20"/>
                <w:lang w:val="en-US"/>
              </w:rPr>
            </w:pPr>
            <w:r w:rsidRPr="00F24660">
              <w:rPr>
                <w:rFonts w:ascii="Arial" w:hAnsi="Arial" w:cs="Arial"/>
                <w:b/>
                <w:bCs/>
                <w:sz w:val="20"/>
                <w:szCs w:val="20"/>
                <w:lang w:val="en-US"/>
              </w:rPr>
              <w:t>(n=38)</w:t>
            </w:r>
          </w:p>
          <w:p w14:paraId="35A70133" w14:textId="77777777" w:rsidR="00C54578" w:rsidRPr="00F24660" w:rsidRDefault="00C54578" w:rsidP="00C54578">
            <w:pPr>
              <w:spacing w:after="0"/>
              <w:jc w:val="center"/>
              <w:rPr>
                <w:rFonts w:ascii="Arial" w:hAnsi="Arial" w:cs="Arial"/>
                <w:b/>
                <w:bCs/>
                <w:sz w:val="20"/>
                <w:szCs w:val="20"/>
                <w:lang w:val="en-US"/>
              </w:rPr>
            </w:pPr>
            <w:r w:rsidRPr="00F24660">
              <w:rPr>
                <w:rFonts w:ascii="Arial" w:hAnsi="Arial" w:cs="Arial"/>
                <w:b/>
                <w:bCs/>
                <w:sz w:val="20"/>
                <w:szCs w:val="20"/>
                <w:lang w:val="en-US"/>
              </w:rPr>
              <w:t>r</w:t>
            </w:r>
          </w:p>
        </w:tc>
        <w:tc>
          <w:tcPr>
            <w:tcW w:w="1080" w:type="dxa"/>
          </w:tcPr>
          <w:p w14:paraId="62E5CF4D" w14:textId="77777777" w:rsidR="00C54578" w:rsidRPr="00F24660" w:rsidRDefault="00C54578" w:rsidP="00C54578">
            <w:pPr>
              <w:spacing w:after="0"/>
              <w:jc w:val="center"/>
              <w:rPr>
                <w:rFonts w:ascii="Arial" w:hAnsi="Arial" w:cs="Arial"/>
                <w:b/>
                <w:bCs/>
                <w:sz w:val="20"/>
                <w:szCs w:val="20"/>
                <w:lang w:val="en-US"/>
              </w:rPr>
            </w:pPr>
            <w:r w:rsidRPr="00F24660">
              <w:rPr>
                <w:rFonts w:ascii="Arial" w:hAnsi="Arial" w:cs="Arial"/>
                <w:b/>
                <w:bCs/>
                <w:sz w:val="20"/>
                <w:szCs w:val="20"/>
                <w:lang w:val="en-US"/>
              </w:rPr>
              <w:t>Group B</w:t>
            </w:r>
          </w:p>
          <w:p w14:paraId="254EABA5" w14:textId="77777777" w:rsidR="00C54578" w:rsidRPr="00F24660" w:rsidRDefault="00C54578" w:rsidP="00C54578">
            <w:pPr>
              <w:spacing w:after="0"/>
              <w:jc w:val="center"/>
              <w:rPr>
                <w:rFonts w:ascii="Arial" w:hAnsi="Arial" w:cs="Arial"/>
                <w:b/>
                <w:bCs/>
                <w:sz w:val="20"/>
                <w:szCs w:val="20"/>
                <w:lang w:val="en-US"/>
              </w:rPr>
            </w:pPr>
            <w:r w:rsidRPr="00F24660">
              <w:rPr>
                <w:rFonts w:ascii="Arial" w:hAnsi="Arial" w:cs="Arial"/>
                <w:b/>
                <w:bCs/>
                <w:sz w:val="20"/>
                <w:szCs w:val="20"/>
                <w:lang w:val="en-US"/>
              </w:rPr>
              <w:t>(n=14)</w:t>
            </w:r>
          </w:p>
          <w:p w14:paraId="561B9748" w14:textId="77777777" w:rsidR="00C54578" w:rsidRPr="00F24660" w:rsidRDefault="00C54578" w:rsidP="00C54578">
            <w:pPr>
              <w:spacing w:after="0"/>
              <w:jc w:val="center"/>
              <w:rPr>
                <w:rFonts w:ascii="Arial" w:hAnsi="Arial" w:cs="Arial"/>
                <w:b/>
                <w:bCs/>
                <w:sz w:val="20"/>
                <w:szCs w:val="20"/>
                <w:lang w:val="en-US"/>
              </w:rPr>
            </w:pPr>
            <w:r w:rsidRPr="00F24660">
              <w:rPr>
                <w:rFonts w:ascii="Arial" w:hAnsi="Arial" w:cs="Arial"/>
                <w:b/>
                <w:bCs/>
                <w:sz w:val="20"/>
                <w:szCs w:val="20"/>
                <w:lang w:val="en-US"/>
              </w:rPr>
              <w:t>r</w:t>
            </w:r>
          </w:p>
        </w:tc>
      </w:tr>
      <w:tr w:rsidR="00C54578" w:rsidRPr="00F24660" w14:paraId="542A57C5" w14:textId="77777777" w:rsidTr="00B67313">
        <w:trPr>
          <w:jc w:val="center"/>
        </w:trPr>
        <w:tc>
          <w:tcPr>
            <w:tcW w:w="2515" w:type="dxa"/>
            <w:shd w:val="clear" w:color="auto" w:fill="auto"/>
          </w:tcPr>
          <w:p w14:paraId="18D7C609" w14:textId="7C4FE7EF" w:rsidR="00C54578" w:rsidRPr="00F24660" w:rsidRDefault="00C54578" w:rsidP="00C54578">
            <w:pPr>
              <w:rPr>
                <w:rFonts w:ascii="Arial" w:hAnsi="Arial" w:cs="Arial"/>
                <w:sz w:val="20"/>
                <w:szCs w:val="20"/>
                <w:lang w:val="en-US"/>
              </w:rPr>
            </w:pPr>
            <w:r w:rsidRPr="00F24660">
              <w:rPr>
                <w:rFonts w:ascii="Arial" w:hAnsi="Arial" w:cs="Arial"/>
                <w:bCs/>
                <w:sz w:val="20"/>
                <w:szCs w:val="20"/>
                <w:lang w:val="en-US"/>
              </w:rPr>
              <w:t>Homocysteine 1</w:t>
            </w:r>
            <w:r w:rsidR="00B67313" w:rsidRPr="00B67313">
              <w:rPr>
                <w:rFonts w:ascii="Arial" w:hAnsi="Arial" w:cs="Arial"/>
                <w:bCs/>
                <w:sz w:val="20"/>
                <w:szCs w:val="20"/>
                <w:vertAlign w:val="superscript"/>
                <w:lang w:val="en-US"/>
              </w:rPr>
              <w:t>st</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2970" w:type="dxa"/>
            <w:shd w:val="clear" w:color="auto" w:fill="auto"/>
          </w:tcPr>
          <w:p w14:paraId="28D4FF3E" w14:textId="2081C83E" w:rsidR="00C54578" w:rsidRPr="00F24660" w:rsidRDefault="00C54578" w:rsidP="00C54578">
            <w:pPr>
              <w:rPr>
                <w:rFonts w:ascii="Arial" w:hAnsi="Arial" w:cs="Arial"/>
                <w:bCs/>
                <w:sz w:val="20"/>
                <w:szCs w:val="20"/>
                <w:lang w:val="en-US"/>
              </w:rPr>
            </w:pPr>
            <w:r w:rsidRPr="00F24660">
              <w:rPr>
                <w:rFonts w:ascii="Arial" w:hAnsi="Arial" w:cs="Arial"/>
                <w:bCs/>
                <w:sz w:val="20"/>
                <w:szCs w:val="20"/>
                <w:lang w:val="en-US"/>
              </w:rPr>
              <w:t>P</w:t>
            </w:r>
            <w:r w:rsidR="00B67313">
              <w:rPr>
                <w:rFonts w:ascii="Arial" w:hAnsi="Arial" w:cs="Arial"/>
                <w:bCs/>
                <w:sz w:val="20"/>
                <w:szCs w:val="20"/>
                <w:lang w:val="en-US"/>
              </w:rPr>
              <w:t xml:space="preserve">lasma </w:t>
            </w:r>
            <w:r w:rsidRPr="00F24660">
              <w:rPr>
                <w:rFonts w:ascii="Arial" w:hAnsi="Arial" w:cs="Arial"/>
                <w:bCs/>
                <w:sz w:val="20"/>
                <w:szCs w:val="20"/>
                <w:lang w:val="en-US"/>
              </w:rPr>
              <w:t>F</w:t>
            </w:r>
            <w:r w:rsidR="00B67313">
              <w:rPr>
                <w:rFonts w:ascii="Arial" w:hAnsi="Arial" w:cs="Arial"/>
                <w:bCs/>
                <w:sz w:val="20"/>
                <w:szCs w:val="20"/>
                <w:lang w:val="en-US"/>
              </w:rPr>
              <w:t>olate</w:t>
            </w:r>
            <w:r w:rsidRPr="00F24660">
              <w:rPr>
                <w:rFonts w:ascii="Arial" w:hAnsi="Arial" w:cs="Arial"/>
                <w:bCs/>
                <w:sz w:val="20"/>
                <w:szCs w:val="20"/>
                <w:lang w:val="en-US"/>
              </w:rPr>
              <w:t xml:space="preserve"> 1</w:t>
            </w:r>
            <w:r w:rsidR="00B67313" w:rsidRPr="00B67313">
              <w:rPr>
                <w:rFonts w:ascii="Arial" w:hAnsi="Arial" w:cs="Arial"/>
                <w:bCs/>
                <w:sz w:val="20"/>
                <w:szCs w:val="20"/>
                <w:vertAlign w:val="superscript"/>
                <w:lang w:val="en-US"/>
              </w:rPr>
              <w:t>st</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1170" w:type="dxa"/>
            <w:shd w:val="clear" w:color="auto" w:fill="auto"/>
          </w:tcPr>
          <w:p w14:paraId="0E50BB4D"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0.06</w:t>
            </w:r>
          </w:p>
        </w:tc>
        <w:tc>
          <w:tcPr>
            <w:tcW w:w="1080" w:type="dxa"/>
            <w:shd w:val="clear" w:color="auto" w:fill="auto"/>
          </w:tcPr>
          <w:p w14:paraId="4A2E4147"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0.07</w:t>
            </w:r>
          </w:p>
        </w:tc>
        <w:tc>
          <w:tcPr>
            <w:tcW w:w="1080" w:type="dxa"/>
          </w:tcPr>
          <w:p w14:paraId="6B8B257F"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0.53</w:t>
            </w:r>
          </w:p>
        </w:tc>
      </w:tr>
      <w:tr w:rsidR="00C54578" w:rsidRPr="00F24660" w14:paraId="2F712FDC" w14:textId="77777777" w:rsidTr="00B67313">
        <w:trPr>
          <w:jc w:val="center"/>
        </w:trPr>
        <w:tc>
          <w:tcPr>
            <w:tcW w:w="2515" w:type="dxa"/>
            <w:shd w:val="clear" w:color="auto" w:fill="auto"/>
          </w:tcPr>
          <w:p w14:paraId="77760A4A" w14:textId="53E110D7" w:rsidR="00C54578" w:rsidRPr="00F24660" w:rsidRDefault="00C54578" w:rsidP="00C54578">
            <w:pPr>
              <w:rPr>
                <w:rFonts w:ascii="Arial" w:hAnsi="Arial" w:cs="Arial"/>
                <w:bCs/>
                <w:sz w:val="20"/>
                <w:szCs w:val="20"/>
                <w:lang w:val="en-US"/>
              </w:rPr>
            </w:pPr>
            <w:r w:rsidRPr="00F24660">
              <w:rPr>
                <w:rFonts w:ascii="Arial" w:hAnsi="Arial" w:cs="Arial"/>
                <w:bCs/>
                <w:sz w:val="20"/>
                <w:szCs w:val="20"/>
                <w:lang w:val="en-US"/>
              </w:rPr>
              <w:t>Homocysteine 1</w:t>
            </w:r>
            <w:r w:rsidR="00B67313" w:rsidRPr="00B67313">
              <w:rPr>
                <w:rFonts w:ascii="Arial" w:hAnsi="Arial" w:cs="Arial"/>
                <w:bCs/>
                <w:sz w:val="20"/>
                <w:szCs w:val="20"/>
                <w:vertAlign w:val="superscript"/>
                <w:lang w:val="en-US"/>
              </w:rPr>
              <w:t>st</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2970" w:type="dxa"/>
            <w:shd w:val="clear" w:color="auto" w:fill="auto"/>
          </w:tcPr>
          <w:p w14:paraId="06759E0A" w14:textId="10488BEB" w:rsidR="00C54578" w:rsidRPr="00F24660" w:rsidRDefault="00C54578" w:rsidP="00C54578">
            <w:pPr>
              <w:rPr>
                <w:rFonts w:ascii="Arial" w:hAnsi="Arial" w:cs="Arial"/>
                <w:bCs/>
                <w:sz w:val="20"/>
                <w:szCs w:val="20"/>
                <w:lang w:val="en-US"/>
              </w:rPr>
            </w:pPr>
            <w:r w:rsidRPr="00F24660">
              <w:rPr>
                <w:rFonts w:ascii="Arial" w:hAnsi="Arial" w:cs="Arial"/>
                <w:bCs/>
                <w:sz w:val="20"/>
                <w:szCs w:val="20"/>
                <w:lang w:val="en-US"/>
              </w:rPr>
              <w:t>I</w:t>
            </w:r>
            <w:r w:rsidR="00B67313">
              <w:rPr>
                <w:rFonts w:ascii="Arial" w:hAnsi="Arial" w:cs="Arial"/>
                <w:bCs/>
                <w:sz w:val="20"/>
                <w:szCs w:val="20"/>
                <w:lang w:val="en-US"/>
              </w:rPr>
              <w:t xml:space="preserve">ntracellular </w:t>
            </w:r>
            <w:r w:rsidRPr="00F24660">
              <w:rPr>
                <w:rFonts w:ascii="Arial" w:hAnsi="Arial" w:cs="Arial"/>
                <w:bCs/>
                <w:sz w:val="20"/>
                <w:szCs w:val="20"/>
                <w:lang w:val="en-US"/>
              </w:rPr>
              <w:t>F</w:t>
            </w:r>
            <w:r w:rsidR="00B67313">
              <w:rPr>
                <w:rFonts w:ascii="Arial" w:hAnsi="Arial" w:cs="Arial"/>
                <w:bCs/>
                <w:sz w:val="20"/>
                <w:szCs w:val="20"/>
                <w:lang w:val="en-US"/>
              </w:rPr>
              <w:t>olate</w:t>
            </w:r>
            <w:r w:rsidRPr="00F24660">
              <w:rPr>
                <w:rFonts w:ascii="Arial" w:hAnsi="Arial" w:cs="Arial"/>
                <w:bCs/>
                <w:sz w:val="20"/>
                <w:szCs w:val="20"/>
                <w:lang w:val="en-US"/>
              </w:rPr>
              <w:t xml:space="preserve"> 1</w:t>
            </w:r>
            <w:r w:rsidR="00B67313" w:rsidRPr="00B67313">
              <w:rPr>
                <w:rFonts w:ascii="Arial" w:hAnsi="Arial" w:cs="Arial"/>
                <w:bCs/>
                <w:sz w:val="20"/>
                <w:szCs w:val="20"/>
                <w:vertAlign w:val="superscript"/>
                <w:lang w:val="en-US"/>
              </w:rPr>
              <w:t>st</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1170" w:type="dxa"/>
            <w:shd w:val="clear" w:color="auto" w:fill="auto"/>
          </w:tcPr>
          <w:p w14:paraId="693CA180"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0.47</w:t>
            </w:r>
          </w:p>
        </w:tc>
        <w:tc>
          <w:tcPr>
            <w:tcW w:w="1080" w:type="dxa"/>
            <w:shd w:val="clear" w:color="auto" w:fill="auto"/>
          </w:tcPr>
          <w:p w14:paraId="560C8A5C"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0.29</w:t>
            </w:r>
          </w:p>
        </w:tc>
        <w:tc>
          <w:tcPr>
            <w:tcW w:w="1080" w:type="dxa"/>
          </w:tcPr>
          <w:p w14:paraId="3A24C39D"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0.53</w:t>
            </w:r>
          </w:p>
        </w:tc>
      </w:tr>
      <w:tr w:rsidR="00C54578" w:rsidRPr="00F24660" w14:paraId="60FB2C98" w14:textId="77777777" w:rsidTr="00B67313">
        <w:trPr>
          <w:jc w:val="center"/>
        </w:trPr>
        <w:tc>
          <w:tcPr>
            <w:tcW w:w="2515" w:type="dxa"/>
            <w:shd w:val="clear" w:color="auto" w:fill="auto"/>
          </w:tcPr>
          <w:p w14:paraId="2445CBE3" w14:textId="638A836E" w:rsidR="00C54578" w:rsidRPr="00F24660" w:rsidRDefault="00C54578" w:rsidP="00C54578">
            <w:pPr>
              <w:ind w:right="-581"/>
              <w:rPr>
                <w:rFonts w:ascii="Arial" w:hAnsi="Arial" w:cs="Arial"/>
                <w:bCs/>
                <w:sz w:val="20"/>
                <w:szCs w:val="20"/>
                <w:lang w:val="en-US"/>
              </w:rPr>
            </w:pPr>
            <w:r w:rsidRPr="00F24660">
              <w:rPr>
                <w:rFonts w:ascii="Arial" w:hAnsi="Arial" w:cs="Arial"/>
                <w:bCs/>
                <w:sz w:val="20"/>
                <w:szCs w:val="20"/>
                <w:lang w:val="en-US"/>
              </w:rPr>
              <w:t>Homocysteine 1</w:t>
            </w:r>
            <w:r w:rsidR="00B67313" w:rsidRPr="00B67313">
              <w:rPr>
                <w:rFonts w:ascii="Arial" w:hAnsi="Arial" w:cs="Arial"/>
                <w:bCs/>
                <w:sz w:val="20"/>
                <w:szCs w:val="20"/>
                <w:vertAlign w:val="superscript"/>
                <w:lang w:val="en-US"/>
              </w:rPr>
              <w:t>st</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2970" w:type="dxa"/>
            <w:shd w:val="clear" w:color="auto" w:fill="auto"/>
          </w:tcPr>
          <w:p w14:paraId="24AB8973" w14:textId="2701EF5D" w:rsidR="00C54578" w:rsidRPr="00F24660" w:rsidRDefault="00C54578" w:rsidP="00C54578">
            <w:pPr>
              <w:rPr>
                <w:rFonts w:ascii="Arial" w:hAnsi="Arial" w:cs="Arial"/>
                <w:bCs/>
                <w:sz w:val="20"/>
                <w:szCs w:val="20"/>
                <w:lang w:val="en-US"/>
              </w:rPr>
            </w:pPr>
            <w:r w:rsidRPr="00F24660">
              <w:rPr>
                <w:rFonts w:ascii="Arial" w:hAnsi="Arial" w:cs="Arial"/>
                <w:bCs/>
                <w:sz w:val="20"/>
                <w:szCs w:val="20"/>
                <w:lang w:val="en-US"/>
              </w:rPr>
              <w:t>Estradiol 1</w:t>
            </w:r>
            <w:r w:rsidR="00B67313" w:rsidRPr="00B67313">
              <w:rPr>
                <w:rFonts w:ascii="Arial" w:hAnsi="Arial" w:cs="Arial"/>
                <w:bCs/>
                <w:sz w:val="20"/>
                <w:szCs w:val="20"/>
                <w:vertAlign w:val="superscript"/>
                <w:lang w:val="en-US"/>
              </w:rPr>
              <w:t>st</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1170" w:type="dxa"/>
            <w:shd w:val="clear" w:color="auto" w:fill="auto"/>
          </w:tcPr>
          <w:p w14:paraId="63C4CD47"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0.28</w:t>
            </w:r>
          </w:p>
        </w:tc>
        <w:tc>
          <w:tcPr>
            <w:tcW w:w="1080" w:type="dxa"/>
            <w:shd w:val="clear" w:color="auto" w:fill="auto"/>
          </w:tcPr>
          <w:p w14:paraId="10040818"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0.15</w:t>
            </w:r>
          </w:p>
        </w:tc>
        <w:tc>
          <w:tcPr>
            <w:tcW w:w="1080" w:type="dxa"/>
          </w:tcPr>
          <w:p w14:paraId="05B73865"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0.08</w:t>
            </w:r>
          </w:p>
        </w:tc>
      </w:tr>
      <w:tr w:rsidR="00C54578" w:rsidRPr="00F24660" w14:paraId="6180B733" w14:textId="77777777" w:rsidTr="00B67313">
        <w:trPr>
          <w:jc w:val="center"/>
        </w:trPr>
        <w:tc>
          <w:tcPr>
            <w:tcW w:w="2515" w:type="dxa"/>
            <w:shd w:val="clear" w:color="auto" w:fill="auto"/>
          </w:tcPr>
          <w:p w14:paraId="1EEA9C03" w14:textId="690AEF48" w:rsidR="00C54578" w:rsidRPr="00F24660" w:rsidRDefault="00C54578" w:rsidP="00C54578">
            <w:pPr>
              <w:ind w:right="-581"/>
              <w:rPr>
                <w:rFonts w:ascii="Arial" w:hAnsi="Arial" w:cs="Arial"/>
                <w:bCs/>
                <w:sz w:val="20"/>
                <w:szCs w:val="20"/>
                <w:lang w:val="en-US"/>
              </w:rPr>
            </w:pPr>
            <w:r w:rsidRPr="00F24660">
              <w:rPr>
                <w:rFonts w:ascii="Arial" w:hAnsi="Arial" w:cs="Arial"/>
                <w:bCs/>
                <w:sz w:val="20"/>
                <w:szCs w:val="20"/>
                <w:lang w:val="en-US"/>
              </w:rPr>
              <w:t>Homocysteine 2</w:t>
            </w:r>
            <w:r w:rsidR="00B67313" w:rsidRPr="00B67313">
              <w:rPr>
                <w:rFonts w:ascii="Arial" w:hAnsi="Arial" w:cs="Arial"/>
                <w:bCs/>
                <w:sz w:val="20"/>
                <w:szCs w:val="20"/>
                <w:vertAlign w:val="superscript"/>
                <w:lang w:val="en-US"/>
              </w:rPr>
              <w:t>nd</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2970" w:type="dxa"/>
            <w:shd w:val="clear" w:color="auto" w:fill="auto"/>
          </w:tcPr>
          <w:p w14:paraId="296FDBEF" w14:textId="393AFCD3" w:rsidR="00C54578" w:rsidRPr="00F24660" w:rsidRDefault="00C54578" w:rsidP="00C54578">
            <w:pPr>
              <w:rPr>
                <w:rFonts w:ascii="Arial" w:hAnsi="Arial" w:cs="Arial"/>
                <w:bCs/>
                <w:sz w:val="20"/>
                <w:szCs w:val="20"/>
                <w:lang w:val="en-US"/>
              </w:rPr>
            </w:pPr>
            <w:r w:rsidRPr="00F24660">
              <w:rPr>
                <w:rFonts w:ascii="Arial" w:hAnsi="Arial" w:cs="Arial"/>
                <w:bCs/>
                <w:sz w:val="20"/>
                <w:szCs w:val="20"/>
                <w:lang w:val="en-US"/>
              </w:rPr>
              <w:t>Estradiol 2</w:t>
            </w:r>
            <w:r w:rsidR="00B67313" w:rsidRPr="00B67313">
              <w:rPr>
                <w:rFonts w:ascii="Arial" w:hAnsi="Arial" w:cs="Arial"/>
                <w:bCs/>
                <w:sz w:val="20"/>
                <w:szCs w:val="20"/>
                <w:vertAlign w:val="superscript"/>
                <w:lang w:val="en-US"/>
              </w:rPr>
              <w:t>nd</w:t>
            </w:r>
            <w:r w:rsidR="00B67313">
              <w:rPr>
                <w:rFonts w:ascii="Arial" w:hAnsi="Arial" w:cs="Arial"/>
                <w:bCs/>
                <w:sz w:val="20"/>
                <w:szCs w:val="20"/>
                <w:lang w:val="en-US"/>
              </w:rPr>
              <w:t xml:space="preserve"> </w:t>
            </w:r>
            <w:r w:rsidRPr="00F24660">
              <w:rPr>
                <w:rFonts w:ascii="Arial" w:hAnsi="Arial" w:cs="Arial"/>
                <w:bCs/>
                <w:sz w:val="20"/>
                <w:szCs w:val="20"/>
                <w:lang w:val="en-US"/>
              </w:rPr>
              <w:t>sample</w:t>
            </w:r>
          </w:p>
        </w:tc>
        <w:tc>
          <w:tcPr>
            <w:tcW w:w="1170" w:type="dxa"/>
            <w:shd w:val="clear" w:color="auto" w:fill="auto"/>
          </w:tcPr>
          <w:p w14:paraId="4355262F"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0.09</w:t>
            </w:r>
          </w:p>
        </w:tc>
        <w:tc>
          <w:tcPr>
            <w:tcW w:w="1080" w:type="dxa"/>
            <w:shd w:val="clear" w:color="auto" w:fill="auto"/>
          </w:tcPr>
          <w:p w14:paraId="34A6A20E"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0.15</w:t>
            </w:r>
          </w:p>
        </w:tc>
        <w:tc>
          <w:tcPr>
            <w:tcW w:w="1080" w:type="dxa"/>
          </w:tcPr>
          <w:p w14:paraId="77A3C9C6"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0.29</w:t>
            </w:r>
          </w:p>
        </w:tc>
      </w:tr>
    </w:tbl>
    <w:p w14:paraId="2F4AF54C" w14:textId="77777777" w:rsidR="00F24660" w:rsidRDefault="00C54578" w:rsidP="00C54578">
      <w:pPr>
        <w:spacing w:after="0"/>
        <w:rPr>
          <w:sz w:val="18"/>
          <w:szCs w:val="18"/>
          <w:lang w:val="en-US"/>
        </w:rPr>
      </w:pPr>
      <w:r w:rsidRPr="00C54578">
        <w:rPr>
          <w:sz w:val="18"/>
          <w:szCs w:val="18"/>
          <w:lang w:val="en-US"/>
        </w:rPr>
        <w:t xml:space="preserve">                </w:t>
      </w:r>
    </w:p>
    <w:p w14:paraId="6A3EA1B0" w14:textId="68BE3F7F" w:rsidR="00C54578" w:rsidRPr="00F24660" w:rsidRDefault="00C54578" w:rsidP="00B67313">
      <w:pPr>
        <w:spacing w:after="0"/>
        <w:jc w:val="both"/>
        <w:rPr>
          <w:rFonts w:ascii="Arial" w:hAnsi="Arial" w:cs="Arial"/>
          <w:color w:val="000000" w:themeColor="text1"/>
          <w:lang w:val="en-US"/>
        </w:rPr>
      </w:pPr>
      <w:r w:rsidRPr="00C54578">
        <w:rPr>
          <w:sz w:val="18"/>
          <w:szCs w:val="18"/>
          <w:lang w:val="en-US"/>
        </w:rPr>
        <w:t xml:space="preserve"> </w:t>
      </w:r>
      <w:r w:rsidR="00F24660" w:rsidRPr="00F24660">
        <w:rPr>
          <w:rFonts w:ascii="Arial" w:hAnsi="Arial" w:cs="Arial"/>
          <w:b/>
          <w:color w:val="000000" w:themeColor="text1"/>
          <w:lang w:val="en-US"/>
        </w:rPr>
        <w:t>Table 3</w:t>
      </w:r>
      <w:r w:rsidR="00F24660" w:rsidRPr="00F24660">
        <w:rPr>
          <w:rFonts w:ascii="Arial" w:hAnsi="Arial" w:cs="Arial"/>
          <w:color w:val="000000" w:themeColor="text1"/>
          <w:lang w:val="en-US"/>
        </w:rPr>
        <w:t xml:space="preserve">. </w:t>
      </w:r>
      <w:r w:rsidR="00F24660" w:rsidRPr="00F24660">
        <w:rPr>
          <w:rFonts w:ascii="Arial" w:hAnsi="Arial" w:cs="Arial"/>
          <w:b/>
          <w:bCs/>
          <w:color w:val="000000" w:themeColor="text1"/>
          <w:lang w:val="en-US"/>
        </w:rPr>
        <w:t>Correlation between the levels of estradiol, folic acid and hom</w:t>
      </w:r>
      <w:r w:rsidR="00B67313">
        <w:rPr>
          <w:rFonts w:ascii="Arial" w:hAnsi="Arial" w:cs="Arial"/>
          <w:b/>
          <w:bCs/>
          <w:color w:val="000000" w:themeColor="text1"/>
          <w:lang w:val="en-US"/>
        </w:rPr>
        <w:t>o</w:t>
      </w:r>
      <w:r w:rsidR="00F24660" w:rsidRPr="00F24660">
        <w:rPr>
          <w:rFonts w:ascii="Arial" w:hAnsi="Arial" w:cs="Arial"/>
          <w:b/>
          <w:bCs/>
          <w:color w:val="000000" w:themeColor="text1"/>
          <w:lang w:val="en-US"/>
        </w:rPr>
        <w:t>cysteine</w:t>
      </w:r>
      <w:r w:rsidR="00F24660" w:rsidRPr="00F24660">
        <w:rPr>
          <w:rFonts w:ascii="Arial" w:hAnsi="Arial" w:cs="Arial"/>
          <w:color w:val="000000" w:themeColor="text1"/>
          <w:lang w:val="en-US"/>
        </w:rPr>
        <w:t xml:space="preserve">. </w:t>
      </w:r>
      <w:r w:rsidRPr="00F24660">
        <w:rPr>
          <w:rFonts w:ascii="Arial" w:hAnsi="Arial" w:cs="Arial"/>
          <w:color w:val="000000" w:themeColor="text1"/>
          <w:lang w:val="en-US"/>
        </w:rPr>
        <w:t>Group A1: patients who became pregnant after the treatment</w:t>
      </w:r>
      <w:r w:rsidR="00F24660">
        <w:rPr>
          <w:rFonts w:ascii="Arial" w:hAnsi="Arial" w:cs="Arial"/>
          <w:color w:val="000000" w:themeColor="text1"/>
          <w:lang w:val="en-US"/>
        </w:rPr>
        <w:t xml:space="preserve">. </w:t>
      </w:r>
      <w:r w:rsidRPr="00F24660">
        <w:rPr>
          <w:rFonts w:ascii="Arial" w:hAnsi="Arial" w:cs="Arial"/>
          <w:color w:val="000000" w:themeColor="text1"/>
          <w:lang w:val="en-US"/>
        </w:rPr>
        <w:t>Group A2: patients that did not achieved pregnancy. Group B: control group (patients of our egg donor program).</w:t>
      </w:r>
    </w:p>
    <w:p w14:paraId="7FCDBE57" w14:textId="77777777" w:rsidR="00C54578" w:rsidRPr="00562E29" w:rsidRDefault="00C54578" w:rsidP="00C54578">
      <w:pPr>
        <w:rPr>
          <w:lang w:val="en-US"/>
        </w:rPr>
      </w:pPr>
    </w:p>
    <w:p w14:paraId="130C14E8" w14:textId="77777777" w:rsidR="00C54578" w:rsidRPr="00562E29" w:rsidRDefault="00C54578" w:rsidP="00C54578">
      <w:pPr>
        <w:rPr>
          <w:lang w:val="en-US"/>
        </w:rPr>
      </w:pPr>
    </w:p>
    <w:p w14:paraId="5320C9D6" w14:textId="77777777" w:rsidR="00C54578" w:rsidRPr="00562E29" w:rsidRDefault="00C54578" w:rsidP="00C54578">
      <w:pPr>
        <w:rPr>
          <w:lang w:val="en-US"/>
        </w:rPr>
      </w:pPr>
    </w:p>
    <w:p w14:paraId="2BEBFA53" w14:textId="77777777" w:rsidR="00C54578" w:rsidRPr="005E15A9" w:rsidRDefault="00C54578" w:rsidP="00C54578">
      <w:pPr>
        <w:rPr>
          <w:rFonts w:ascii="Arial" w:hAnsi="Arial" w:cs="Arial"/>
          <w:lang w:val="en-US"/>
        </w:rPr>
      </w:pPr>
      <w:r w:rsidRPr="005E15A9">
        <w:rPr>
          <w:rFonts w:ascii="Arial" w:hAnsi="Arial" w:cs="Arial"/>
          <w:lang w:val="en-US"/>
        </w:rPr>
        <w:t xml:space="preserve">             </w:t>
      </w:r>
      <w:r w:rsidRPr="005E15A9">
        <w:rPr>
          <w:rFonts w:ascii="Arial" w:hAnsi="Arial" w:cs="Arial"/>
          <w:b/>
          <w:lang w:val="en-US"/>
        </w:rPr>
        <w:t>Table 4.</w:t>
      </w:r>
      <w:r w:rsidRPr="005E15A9">
        <w:rPr>
          <w:rFonts w:ascii="Arial" w:hAnsi="Arial" w:cs="Arial"/>
          <w:lang w:val="en-US"/>
        </w:rPr>
        <w:t xml:space="preserve">  Incidence of MTHFR polymorphisms in groups A1, A2 and B.</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797"/>
        <w:gridCol w:w="1980"/>
        <w:gridCol w:w="1646"/>
      </w:tblGrid>
      <w:tr w:rsidR="00C54578" w:rsidRPr="00F24660" w14:paraId="69AB14DB" w14:textId="77777777" w:rsidTr="00F24660">
        <w:trPr>
          <w:jc w:val="center"/>
        </w:trPr>
        <w:tc>
          <w:tcPr>
            <w:tcW w:w="2672" w:type="dxa"/>
            <w:shd w:val="clear" w:color="auto" w:fill="auto"/>
          </w:tcPr>
          <w:p w14:paraId="16EF04FE" w14:textId="77777777" w:rsidR="00C54578" w:rsidRPr="00F24660" w:rsidRDefault="00C54578" w:rsidP="00F24660">
            <w:pPr>
              <w:jc w:val="center"/>
              <w:rPr>
                <w:rFonts w:ascii="Arial" w:hAnsi="Arial" w:cs="Arial"/>
                <w:b/>
                <w:bCs/>
                <w:sz w:val="20"/>
                <w:szCs w:val="20"/>
                <w:lang w:val="en-US"/>
              </w:rPr>
            </w:pPr>
            <w:r w:rsidRPr="00F24660">
              <w:rPr>
                <w:rFonts w:ascii="Arial" w:hAnsi="Arial" w:cs="Arial"/>
                <w:b/>
                <w:bCs/>
                <w:sz w:val="20"/>
                <w:szCs w:val="20"/>
                <w:lang w:val="en-US"/>
              </w:rPr>
              <w:t>MTHFR polymorphism</w:t>
            </w:r>
          </w:p>
        </w:tc>
        <w:tc>
          <w:tcPr>
            <w:tcW w:w="1797" w:type="dxa"/>
            <w:shd w:val="clear" w:color="auto" w:fill="auto"/>
          </w:tcPr>
          <w:p w14:paraId="6A9F38A5" w14:textId="77777777" w:rsidR="00C54578" w:rsidRPr="00F24660" w:rsidRDefault="00C54578" w:rsidP="00C54578">
            <w:pPr>
              <w:jc w:val="center"/>
              <w:rPr>
                <w:rFonts w:ascii="Arial" w:hAnsi="Arial" w:cs="Arial"/>
                <w:b/>
                <w:bCs/>
                <w:sz w:val="20"/>
                <w:szCs w:val="20"/>
                <w:lang w:val="en-US"/>
              </w:rPr>
            </w:pPr>
            <w:r w:rsidRPr="00F24660">
              <w:rPr>
                <w:rFonts w:ascii="Arial" w:hAnsi="Arial" w:cs="Arial"/>
                <w:b/>
                <w:bCs/>
                <w:sz w:val="20"/>
                <w:szCs w:val="20"/>
                <w:lang w:val="en-US"/>
              </w:rPr>
              <w:t>C/C</w:t>
            </w:r>
          </w:p>
        </w:tc>
        <w:tc>
          <w:tcPr>
            <w:tcW w:w="1980" w:type="dxa"/>
            <w:shd w:val="clear" w:color="auto" w:fill="auto"/>
          </w:tcPr>
          <w:p w14:paraId="794D10DE" w14:textId="77777777" w:rsidR="00C54578" w:rsidRPr="00F24660" w:rsidRDefault="00C54578" w:rsidP="00C54578">
            <w:pPr>
              <w:jc w:val="center"/>
              <w:rPr>
                <w:rFonts w:ascii="Arial" w:hAnsi="Arial" w:cs="Arial"/>
                <w:b/>
                <w:bCs/>
                <w:sz w:val="20"/>
                <w:szCs w:val="20"/>
                <w:lang w:val="en-US"/>
              </w:rPr>
            </w:pPr>
            <w:r w:rsidRPr="00F24660">
              <w:rPr>
                <w:rFonts w:ascii="Arial" w:hAnsi="Arial" w:cs="Arial"/>
                <w:b/>
                <w:bCs/>
                <w:sz w:val="20"/>
                <w:szCs w:val="20"/>
                <w:lang w:val="en-US"/>
              </w:rPr>
              <w:t>C/T</w:t>
            </w:r>
          </w:p>
        </w:tc>
        <w:tc>
          <w:tcPr>
            <w:tcW w:w="1646" w:type="dxa"/>
            <w:shd w:val="clear" w:color="auto" w:fill="auto"/>
          </w:tcPr>
          <w:p w14:paraId="1C8D0950" w14:textId="77777777" w:rsidR="00C54578" w:rsidRPr="00F24660" w:rsidRDefault="00C54578" w:rsidP="00C54578">
            <w:pPr>
              <w:jc w:val="center"/>
              <w:rPr>
                <w:rFonts w:ascii="Arial" w:hAnsi="Arial" w:cs="Arial"/>
                <w:b/>
                <w:bCs/>
                <w:sz w:val="20"/>
                <w:szCs w:val="20"/>
                <w:lang w:val="en-US"/>
              </w:rPr>
            </w:pPr>
            <w:r w:rsidRPr="00F24660">
              <w:rPr>
                <w:rFonts w:ascii="Arial" w:hAnsi="Arial" w:cs="Arial"/>
                <w:b/>
                <w:bCs/>
                <w:sz w:val="20"/>
                <w:szCs w:val="20"/>
                <w:lang w:val="en-US"/>
              </w:rPr>
              <w:t>T/T</w:t>
            </w:r>
          </w:p>
        </w:tc>
      </w:tr>
      <w:tr w:rsidR="00C54578" w:rsidRPr="00F24660" w14:paraId="61BD9C65" w14:textId="77777777" w:rsidTr="00F24660">
        <w:trPr>
          <w:jc w:val="center"/>
        </w:trPr>
        <w:tc>
          <w:tcPr>
            <w:tcW w:w="2672" w:type="dxa"/>
            <w:shd w:val="clear" w:color="auto" w:fill="auto"/>
          </w:tcPr>
          <w:p w14:paraId="634C0ABF" w14:textId="77777777" w:rsidR="00C54578" w:rsidRPr="00F24660" w:rsidRDefault="00C54578" w:rsidP="00C54578">
            <w:pPr>
              <w:ind w:right="-581"/>
              <w:rPr>
                <w:rFonts w:ascii="Arial" w:hAnsi="Arial" w:cs="Arial"/>
                <w:b/>
                <w:bCs/>
                <w:sz w:val="20"/>
                <w:szCs w:val="20"/>
                <w:lang w:val="en-US"/>
              </w:rPr>
            </w:pPr>
            <w:r w:rsidRPr="00F24660">
              <w:rPr>
                <w:rFonts w:ascii="Arial" w:hAnsi="Arial" w:cs="Arial"/>
                <w:b/>
                <w:bCs/>
                <w:color w:val="000000"/>
                <w:sz w:val="20"/>
                <w:szCs w:val="20"/>
                <w:lang w:val="en-US"/>
              </w:rPr>
              <w:t>Group A1 (n=11)</w:t>
            </w:r>
          </w:p>
        </w:tc>
        <w:tc>
          <w:tcPr>
            <w:tcW w:w="1797" w:type="dxa"/>
            <w:shd w:val="clear" w:color="auto" w:fill="auto"/>
          </w:tcPr>
          <w:p w14:paraId="77451E85" w14:textId="77777777" w:rsidR="00C54578" w:rsidRPr="00F24660" w:rsidRDefault="00C54578" w:rsidP="00C54578">
            <w:pPr>
              <w:jc w:val="center"/>
              <w:rPr>
                <w:rFonts w:ascii="Arial" w:hAnsi="Arial" w:cs="Arial"/>
                <w:color w:val="000000"/>
                <w:sz w:val="20"/>
                <w:szCs w:val="20"/>
                <w:lang w:val="en-US"/>
              </w:rPr>
            </w:pPr>
            <w:r w:rsidRPr="00F24660">
              <w:rPr>
                <w:rFonts w:ascii="Arial" w:hAnsi="Arial" w:cs="Arial"/>
                <w:color w:val="000000"/>
                <w:sz w:val="20"/>
                <w:szCs w:val="20"/>
                <w:lang w:val="en-US"/>
              </w:rPr>
              <w:t>4 (36.3%)</w:t>
            </w:r>
          </w:p>
        </w:tc>
        <w:tc>
          <w:tcPr>
            <w:tcW w:w="1980" w:type="dxa"/>
            <w:shd w:val="clear" w:color="auto" w:fill="auto"/>
          </w:tcPr>
          <w:p w14:paraId="31B0CC0E" w14:textId="77777777" w:rsidR="00C54578" w:rsidRPr="00F24660" w:rsidRDefault="00C54578" w:rsidP="00C54578">
            <w:pPr>
              <w:jc w:val="center"/>
              <w:rPr>
                <w:rFonts w:ascii="Arial" w:hAnsi="Arial" w:cs="Arial"/>
                <w:color w:val="000000"/>
                <w:sz w:val="20"/>
                <w:szCs w:val="20"/>
                <w:lang w:val="en-US"/>
              </w:rPr>
            </w:pPr>
            <w:r w:rsidRPr="00F24660">
              <w:rPr>
                <w:rFonts w:ascii="Arial" w:hAnsi="Arial" w:cs="Arial"/>
                <w:color w:val="000000"/>
                <w:sz w:val="20"/>
                <w:szCs w:val="20"/>
                <w:lang w:val="en-US"/>
              </w:rPr>
              <w:t>4 (36.3%)</w:t>
            </w:r>
          </w:p>
        </w:tc>
        <w:tc>
          <w:tcPr>
            <w:tcW w:w="1646" w:type="dxa"/>
            <w:shd w:val="clear" w:color="auto" w:fill="auto"/>
          </w:tcPr>
          <w:p w14:paraId="6690F2C0" w14:textId="77777777" w:rsidR="00C54578" w:rsidRPr="00F24660" w:rsidRDefault="00C54578" w:rsidP="00C54578">
            <w:pPr>
              <w:jc w:val="center"/>
              <w:rPr>
                <w:rFonts w:ascii="Arial" w:hAnsi="Arial" w:cs="Arial"/>
                <w:color w:val="000000"/>
                <w:sz w:val="20"/>
                <w:szCs w:val="20"/>
                <w:lang w:val="en-US"/>
              </w:rPr>
            </w:pPr>
            <w:r w:rsidRPr="00F24660">
              <w:rPr>
                <w:rFonts w:ascii="Arial" w:hAnsi="Arial" w:cs="Arial"/>
                <w:color w:val="000000"/>
                <w:sz w:val="20"/>
                <w:szCs w:val="20"/>
                <w:lang w:val="en-US"/>
              </w:rPr>
              <w:t>3 (27.4%)</w:t>
            </w:r>
          </w:p>
        </w:tc>
      </w:tr>
      <w:tr w:rsidR="00C54578" w:rsidRPr="00F24660" w14:paraId="62C4D350" w14:textId="77777777" w:rsidTr="00F24660">
        <w:trPr>
          <w:jc w:val="center"/>
        </w:trPr>
        <w:tc>
          <w:tcPr>
            <w:tcW w:w="2672" w:type="dxa"/>
            <w:shd w:val="clear" w:color="auto" w:fill="auto"/>
          </w:tcPr>
          <w:p w14:paraId="4225B711" w14:textId="77777777" w:rsidR="00C54578" w:rsidRPr="00F24660" w:rsidRDefault="00C54578" w:rsidP="00C54578">
            <w:pPr>
              <w:ind w:right="-581"/>
              <w:rPr>
                <w:rFonts w:ascii="Arial" w:hAnsi="Arial" w:cs="Arial"/>
                <w:b/>
                <w:bCs/>
                <w:sz w:val="20"/>
                <w:szCs w:val="20"/>
                <w:lang w:val="en-US"/>
              </w:rPr>
            </w:pPr>
            <w:r w:rsidRPr="00F24660">
              <w:rPr>
                <w:rFonts w:ascii="Arial" w:hAnsi="Arial" w:cs="Arial"/>
                <w:b/>
                <w:bCs/>
                <w:color w:val="000000"/>
                <w:sz w:val="20"/>
                <w:szCs w:val="20"/>
                <w:lang w:val="en-US"/>
              </w:rPr>
              <w:t>Group A2 (n=36)</w:t>
            </w:r>
          </w:p>
        </w:tc>
        <w:tc>
          <w:tcPr>
            <w:tcW w:w="1797" w:type="dxa"/>
            <w:shd w:val="clear" w:color="auto" w:fill="auto"/>
          </w:tcPr>
          <w:p w14:paraId="3BECE1FD" w14:textId="77777777" w:rsidR="00C54578" w:rsidRPr="00F24660" w:rsidRDefault="00C54578" w:rsidP="00C54578">
            <w:pPr>
              <w:jc w:val="center"/>
              <w:rPr>
                <w:rFonts w:ascii="Arial" w:hAnsi="Arial" w:cs="Arial"/>
                <w:color w:val="000000"/>
                <w:sz w:val="20"/>
                <w:szCs w:val="20"/>
                <w:lang w:val="en-US"/>
              </w:rPr>
            </w:pPr>
            <w:r w:rsidRPr="00F24660">
              <w:rPr>
                <w:rFonts w:ascii="Arial" w:hAnsi="Arial" w:cs="Arial"/>
                <w:color w:val="000000"/>
                <w:sz w:val="20"/>
                <w:szCs w:val="20"/>
                <w:lang w:val="en-US"/>
              </w:rPr>
              <w:t>11 (30.5%)</w:t>
            </w:r>
          </w:p>
        </w:tc>
        <w:tc>
          <w:tcPr>
            <w:tcW w:w="1980" w:type="dxa"/>
            <w:shd w:val="clear" w:color="auto" w:fill="auto"/>
          </w:tcPr>
          <w:p w14:paraId="09A68673" w14:textId="77777777" w:rsidR="00C54578" w:rsidRPr="00F24660" w:rsidRDefault="00C54578" w:rsidP="00C54578">
            <w:pPr>
              <w:jc w:val="center"/>
              <w:rPr>
                <w:rFonts w:ascii="Arial" w:hAnsi="Arial" w:cs="Arial"/>
                <w:color w:val="000000"/>
                <w:sz w:val="20"/>
                <w:szCs w:val="20"/>
                <w:lang w:val="en-US"/>
              </w:rPr>
            </w:pPr>
            <w:r w:rsidRPr="00F24660">
              <w:rPr>
                <w:rFonts w:ascii="Arial" w:hAnsi="Arial" w:cs="Arial"/>
                <w:color w:val="000000"/>
                <w:sz w:val="20"/>
                <w:szCs w:val="20"/>
                <w:lang w:val="en-US"/>
              </w:rPr>
              <w:t>21 (58.3%)</w:t>
            </w:r>
          </w:p>
        </w:tc>
        <w:tc>
          <w:tcPr>
            <w:tcW w:w="1646" w:type="dxa"/>
            <w:shd w:val="clear" w:color="auto" w:fill="auto"/>
          </w:tcPr>
          <w:p w14:paraId="54808D98" w14:textId="77777777" w:rsidR="00C54578" w:rsidRPr="00F24660" w:rsidRDefault="00C54578" w:rsidP="00C54578">
            <w:pPr>
              <w:jc w:val="center"/>
              <w:rPr>
                <w:rFonts w:ascii="Arial" w:hAnsi="Arial" w:cs="Arial"/>
                <w:color w:val="000000"/>
                <w:sz w:val="20"/>
                <w:szCs w:val="20"/>
                <w:lang w:val="en-US"/>
              </w:rPr>
            </w:pPr>
            <w:r w:rsidRPr="00F24660">
              <w:rPr>
                <w:rFonts w:ascii="Arial" w:hAnsi="Arial" w:cs="Arial"/>
                <w:color w:val="000000"/>
                <w:sz w:val="20"/>
                <w:szCs w:val="20"/>
                <w:lang w:val="en-US"/>
              </w:rPr>
              <w:t>4 (11.2%)</w:t>
            </w:r>
          </w:p>
        </w:tc>
      </w:tr>
      <w:tr w:rsidR="00C54578" w:rsidRPr="00F24660" w14:paraId="6F01130D" w14:textId="77777777" w:rsidTr="00F24660">
        <w:trPr>
          <w:jc w:val="center"/>
        </w:trPr>
        <w:tc>
          <w:tcPr>
            <w:tcW w:w="2672" w:type="dxa"/>
            <w:shd w:val="clear" w:color="auto" w:fill="auto"/>
          </w:tcPr>
          <w:p w14:paraId="33EB8EC3" w14:textId="77777777" w:rsidR="00C54578" w:rsidRPr="00F24660" w:rsidRDefault="00C54578" w:rsidP="00C54578">
            <w:pPr>
              <w:rPr>
                <w:rFonts w:ascii="Arial" w:hAnsi="Arial" w:cs="Arial"/>
                <w:sz w:val="20"/>
                <w:szCs w:val="20"/>
                <w:lang w:val="en-US"/>
              </w:rPr>
            </w:pPr>
            <w:r w:rsidRPr="00F24660">
              <w:rPr>
                <w:rFonts w:ascii="Arial" w:hAnsi="Arial" w:cs="Arial"/>
                <w:b/>
                <w:bCs/>
                <w:sz w:val="20"/>
                <w:szCs w:val="20"/>
                <w:lang w:val="en-US"/>
              </w:rPr>
              <w:t>Group B (n=13)</w:t>
            </w:r>
          </w:p>
        </w:tc>
        <w:tc>
          <w:tcPr>
            <w:tcW w:w="1797" w:type="dxa"/>
            <w:shd w:val="clear" w:color="auto" w:fill="auto"/>
          </w:tcPr>
          <w:p w14:paraId="6ED09B7D"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5 (38.0%)</w:t>
            </w:r>
          </w:p>
        </w:tc>
        <w:tc>
          <w:tcPr>
            <w:tcW w:w="1980" w:type="dxa"/>
            <w:shd w:val="clear" w:color="auto" w:fill="auto"/>
          </w:tcPr>
          <w:p w14:paraId="53EA03A5"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7 (54.0%)</w:t>
            </w:r>
          </w:p>
        </w:tc>
        <w:tc>
          <w:tcPr>
            <w:tcW w:w="1646" w:type="dxa"/>
            <w:shd w:val="clear" w:color="auto" w:fill="auto"/>
          </w:tcPr>
          <w:p w14:paraId="539AA6E2" w14:textId="77777777" w:rsidR="00C54578" w:rsidRPr="00F24660" w:rsidRDefault="00C54578" w:rsidP="00C54578">
            <w:pPr>
              <w:jc w:val="center"/>
              <w:rPr>
                <w:rFonts w:ascii="Arial" w:hAnsi="Arial" w:cs="Arial"/>
                <w:sz w:val="20"/>
                <w:szCs w:val="20"/>
                <w:lang w:val="en-US"/>
              </w:rPr>
            </w:pPr>
            <w:r w:rsidRPr="00F24660">
              <w:rPr>
                <w:rFonts w:ascii="Arial" w:hAnsi="Arial" w:cs="Arial"/>
                <w:sz w:val="20"/>
                <w:szCs w:val="20"/>
                <w:lang w:val="en-US"/>
              </w:rPr>
              <w:t>1 (8.0%)</w:t>
            </w:r>
          </w:p>
        </w:tc>
      </w:tr>
    </w:tbl>
    <w:p w14:paraId="17AFCC53" w14:textId="77777777" w:rsidR="00F24660" w:rsidRDefault="00C54578" w:rsidP="00F24660">
      <w:pPr>
        <w:rPr>
          <w:rFonts w:ascii="Arial" w:hAnsi="Arial" w:cs="Arial"/>
          <w:lang w:val="en-US"/>
        </w:rPr>
      </w:pPr>
      <w:r w:rsidRPr="00C54578">
        <w:rPr>
          <w:sz w:val="20"/>
          <w:szCs w:val="20"/>
          <w:lang w:val="en-US"/>
        </w:rPr>
        <w:tab/>
        <w:t xml:space="preserve">  </w:t>
      </w:r>
      <w:r w:rsidR="00F24660" w:rsidRPr="005E15A9">
        <w:rPr>
          <w:rFonts w:ascii="Arial" w:hAnsi="Arial" w:cs="Arial"/>
          <w:lang w:val="en-US"/>
        </w:rPr>
        <w:t xml:space="preserve">             </w:t>
      </w:r>
    </w:p>
    <w:p w14:paraId="6D3C71AF" w14:textId="3A0534FF" w:rsidR="00171B61" w:rsidRPr="00F24660" w:rsidRDefault="00F24660" w:rsidP="00F24660">
      <w:pPr>
        <w:spacing w:after="0"/>
        <w:jc w:val="both"/>
        <w:rPr>
          <w:rFonts w:ascii="Arial" w:hAnsi="Arial" w:cs="Arial"/>
          <w:color w:val="000000" w:themeColor="text1"/>
          <w:lang w:val="en-US"/>
        </w:rPr>
      </w:pPr>
      <w:r w:rsidRPr="005E15A9">
        <w:rPr>
          <w:rFonts w:ascii="Arial" w:hAnsi="Arial" w:cs="Arial"/>
          <w:b/>
          <w:lang w:val="en-US"/>
        </w:rPr>
        <w:t>Table 4.</w:t>
      </w:r>
      <w:r w:rsidRPr="005E15A9">
        <w:rPr>
          <w:rFonts w:ascii="Arial" w:hAnsi="Arial" w:cs="Arial"/>
          <w:lang w:val="en-US"/>
        </w:rPr>
        <w:t xml:space="preserve"> </w:t>
      </w:r>
      <w:r w:rsidRPr="00F24660">
        <w:rPr>
          <w:rFonts w:ascii="Arial" w:hAnsi="Arial" w:cs="Arial"/>
          <w:b/>
          <w:bCs/>
          <w:lang w:val="en-US"/>
        </w:rPr>
        <w:t>Incidence of MTHFR polymorphisms in groups A1, A2 and B.</w:t>
      </w:r>
      <w:r w:rsidRPr="00F24660">
        <w:rPr>
          <w:rFonts w:ascii="Arial" w:hAnsi="Arial" w:cs="Arial"/>
          <w:b/>
          <w:bCs/>
          <w:color w:val="000000" w:themeColor="text1"/>
          <w:lang w:val="en-US"/>
        </w:rPr>
        <w:t xml:space="preserve"> </w:t>
      </w:r>
      <w:r w:rsidRPr="00F24660">
        <w:rPr>
          <w:rFonts w:ascii="Arial" w:hAnsi="Arial" w:cs="Arial"/>
          <w:color w:val="000000" w:themeColor="text1"/>
          <w:lang w:val="en-US"/>
        </w:rPr>
        <w:t>Group A1</w:t>
      </w:r>
      <w:r>
        <w:rPr>
          <w:rFonts w:ascii="Arial" w:hAnsi="Arial" w:cs="Arial"/>
          <w:color w:val="000000" w:themeColor="text1"/>
          <w:lang w:val="en-US"/>
        </w:rPr>
        <w:t>:</w:t>
      </w:r>
      <w:r w:rsidRPr="00F24660">
        <w:rPr>
          <w:rFonts w:ascii="Arial" w:hAnsi="Arial" w:cs="Arial"/>
          <w:color w:val="000000" w:themeColor="text1"/>
          <w:lang w:val="en-US"/>
        </w:rPr>
        <w:t xml:space="preserve"> patients who became pregnant after the treatment</w:t>
      </w:r>
      <w:r>
        <w:rPr>
          <w:rFonts w:ascii="Arial" w:hAnsi="Arial" w:cs="Arial"/>
          <w:color w:val="000000" w:themeColor="text1"/>
          <w:lang w:val="en-US"/>
        </w:rPr>
        <w:t xml:space="preserve">. </w:t>
      </w:r>
      <w:r w:rsidRPr="00F24660">
        <w:rPr>
          <w:rFonts w:ascii="Arial" w:hAnsi="Arial" w:cs="Arial"/>
          <w:color w:val="000000" w:themeColor="text1"/>
          <w:lang w:val="en-US"/>
        </w:rPr>
        <w:t>Group A2: patients that did not achieved pregnancy. Group B: control group (patients of our egg donor program)</w:t>
      </w:r>
      <w:r>
        <w:rPr>
          <w:rFonts w:ascii="Arial" w:hAnsi="Arial" w:cs="Arial"/>
          <w:color w:val="000000" w:themeColor="text1"/>
          <w:lang w:val="en-US"/>
        </w:rPr>
        <w:t>.</w:t>
      </w:r>
    </w:p>
    <w:sectPr w:rsidR="00171B61" w:rsidRPr="00F24660" w:rsidSect="00327B9D">
      <w:footerReference w:type="default" r:id="rId9"/>
      <w:pgSz w:w="11900" w:h="16840"/>
      <w:pgMar w:top="1296" w:right="1440" w:bottom="1296"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9B43" w14:textId="77777777" w:rsidR="000E1DFF" w:rsidRDefault="000E1DFF" w:rsidP="008A4650">
      <w:pPr>
        <w:spacing w:after="0" w:line="240" w:lineRule="auto"/>
      </w:pPr>
      <w:r>
        <w:separator/>
      </w:r>
    </w:p>
  </w:endnote>
  <w:endnote w:type="continuationSeparator" w:id="0">
    <w:p w14:paraId="57119ECE" w14:textId="77777777" w:rsidR="000E1DFF" w:rsidRDefault="000E1DFF" w:rsidP="008A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394261"/>
      <w:docPartObj>
        <w:docPartGallery w:val="Page Numbers (Bottom of Page)"/>
        <w:docPartUnique/>
      </w:docPartObj>
    </w:sdtPr>
    <w:sdtEndPr/>
    <w:sdtContent>
      <w:p w14:paraId="13E2AAD2" w14:textId="55924D09" w:rsidR="005C38A9" w:rsidRDefault="005C38A9">
        <w:pPr>
          <w:pStyle w:val="Footer"/>
          <w:jc w:val="right"/>
        </w:pPr>
        <w:r>
          <w:fldChar w:fldCharType="begin"/>
        </w:r>
        <w:r>
          <w:instrText>PAGE   \* MERGEFORMAT</w:instrText>
        </w:r>
        <w:r>
          <w:fldChar w:fldCharType="separate"/>
        </w:r>
        <w:r w:rsidRPr="00C72D6B">
          <w:rPr>
            <w:noProof/>
            <w:lang w:val="es-ES"/>
          </w:rPr>
          <w:t>5</w:t>
        </w:r>
        <w:r>
          <w:fldChar w:fldCharType="end"/>
        </w:r>
      </w:p>
    </w:sdtContent>
  </w:sdt>
  <w:p w14:paraId="099906B7" w14:textId="77777777" w:rsidR="005C38A9" w:rsidRDefault="005C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6738" w14:textId="77777777" w:rsidR="000E1DFF" w:rsidRDefault="000E1DFF" w:rsidP="008A4650">
      <w:pPr>
        <w:spacing w:after="0" w:line="240" w:lineRule="auto"/>
      </w:pPr>
      <w:r>
        <w:separator/>
      </w:r>
    </w:p>
  </w:footnote>
  <w:footnote w:type="continuationSeparator" w:id="0">
    <w:p w14:paraId="346FA34D" w14:textId="77777777" w:rsidR="000E1DFF" w:rsidRDefault="000E1DFF" w:rsidP="008A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65F3E"/>
    <w:multiLevelType w:val="multilevel"/>
    <w:tmpl w:val="2458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5A"/>
    <w:rsid w:val="00000EE0"/>
    <w:rsid w:val="00000FF0"/>
    <w:rsid w:val="00005E56"/>
    <w:rsid w:val="00007010"/>
    <w:rsid w:val="00016407"/>
    <w:rsid w:val="000218A0"/>
    <w:rsid w:val="000257E9"/>
    <w:rsid w:val="00047820"/>
    <w:rsid w:val="0005613D"/>
    <w:rsid w:val="00057421"/>
    <w:rsid w:val="00057750"/>
    <w:rsid w:val="00057A5B"/>
    <w:rsid w:val="00065E6A"/>
    <w:rsid w:val="00070B48"/>
    <w:rsid w:val="00086552"/>
    <w:rsid w:val="00097E96"/>
    <w:rsid w:val="000B173D"/>
    <w:rsid w:val="000D39D8"/>
    <w:rsid w:val="000E1DFF"/>
    <w:rsid w:val="00110B80"/>
    <w:rsid w:val="00115583"/>
    <w:rsid w:val="00122E43"/>
    <w:rsid w:val="001230B9"/>
    <w:rsid w:val="00127972"/>
    <w:rsid w:val="001613F0"/>
    <w:rsid w:val="00161BCA"/>
    <w:rsid w:val="00161C6C"/>
    <w:rsid w:val="001649B1"/>
    <w:rsid w:val="00171AC0"/>
    <w:rsid w:val="00171B61"/>
    <w:rsid w:val="00173B9F"/>
    <w:rsid w:val="001B6C29"/>
    <w:rsid w:val="001E6303"/>
    <w:rsid w:val="00217AC0"/>
    <w:rsid w:val="00220E1C"/>
    <w:rsid w:val="002265E0"/>
    <w:rsid w:val="0023190D"/>
    <w:rsid w:val="00240AEB"/>
    <w:rsid w:val="002415FB"/>
    <w:rsid w:val="002542CA"/>
    <w:rsid w:val="00262A37"/>
    <w:rsid w:val="00266398"/>
    <w:rsid w:val="00293E4E"/>
    <w:rsid w:val="002A019E"/>
    <w:rsid w:val="002A35C1"/>
    <w:rsid w:val="002C0ECA"/>
    <w:rsid w:val="002C5011"/>
    <w:rsid w:val="002E3FF4"/>
    <w:rsid w:val="002F5748"/>
    <w:rsid w:val="002F6E45"/>
    <w:rsid w:val="0030289C"/>
    <w:rsid w:val="00307E1A"/>
    <w:rsid w:val="003145D4"/>
    <w:rsid w:val="00327B9D"/>
    <w:rsid w:val="00342B01"/>
    <w:rsid w:val="00344CCC"/>
    <w:rsid w:val="0034756A"/>
    <w:rsid w:val="00363A41"/>
    <w:rsid w:val="0038087F"/>
    <w:rsid w:val="00386D24"/>
    <w:rsid w:val="003C19A0"/>
    <w:rsid w:val="003F19A9"/>
    <w:rsid w:val="00413217"/>
    <w:rsid w:val="00432426"/>
    <w:rsid w:val="00436BB9"/>
    <w:rsid w:val="004378F0"/>
    <w:rsid w:val="00440EA3"/>
    <w:rsid w:val="00447D4F"/>
    <w:rsid w:val="00457CD9"/>
    <w:rsid w:val="00472063"/>
    <w:rsid w:val="004749A9"/>
    <w:rsid w:val="00490A4D"/>
    <w:rsid w:val="00491CBE"/>
    <w:rsid w:val="0049519A"/>
    <w:rsid w:val="00495830"/>
    <w:rsid w:val="004B7373"/>
    <w:rsid w:val="004C0072"/>
    <w:rsid w:val="004E544D"/>
    <w:rsid w:val="004F5DF8"/>
    <w:rsid w:val="0050103E"/>
    <w:rsid w:val="005021E9"/>
    <w:rsid w:val="00504B5F"/>
    <w:rsid w:val="005107A2"/>
    <w:rsid w:val="00525797"/>
    <w:rsid w:val="00537C15"/>
    <w:rsid w:val="00550701"/>
    <w:rsid w:val="00552A1A"/>
    <w:rsid w:val="0055565B"/>
    <w:rsid w:val="005559A9"/>
    <w:rsid w:val="00561828"/>
    <w:rsid w:val="005B2872"/>
    <w:rsid w:val="005B5BE1"/>
    <w:rsid w:val="005C38A9"/>
    <w:rsid w:val="005D0668"/>
    <w:rsid w:val="005D7F20"/>
    <w:rsid w:val="005E15A9"/>
    <w:rsid w:val="005E4E19"/>
    <w:rsid w:val="005F4E14"/>
    <w:rsid w:val="00604B63"/>
    <w:rsid w:val="0061777E"/>
    <w:rsid w:val="0062305F"/>
    <w:rsid w:val="00631BD6"/>
    <w:rsid w:val="0063301A"/>
    <w:rsid w:val="00635BD6"/>
    <w:rsid w:val="0064062D"/>
    <w:rsid w:val="00653626"/>
    <w:rsid w:val="0065737F"/>
    <w:rsid w:val="00687BE3"/>
    <w:rsid w:val="00690F5C"/>
    <w:rsid w:val="00695F80"/>
    <w:rsid w:val="006974DB"/>
    <w:rsid w:val="006A3A72"/>
    <w:rsid w:val="006A7798"/>
    <w:rsid w:val="006B3701"/>
    <w:rsid w:val="007004B8"/>
    <w:rsid w:val="00711E16"/>
    <w:rsid w:val="0071690E"/>
    <w:rsid w:val="00724BF7"/>
    <w:rsid w:val="0072515A"/>
    <w:rsid w:val="007354CF"/>
    <w:rsid w:val="0074060F"/>
    <w:rsid w:val="0074498B"/>
    <w:rsid w:val="007607BD"/>
    <w:rsid w:val="00784791"/>
    <w:rsid w:val="00797112"/>
    <w:rsid w:val="0079749B"/>
    <w:rsid w:val="007A5F01"/>
    <w:rsid w:val="007A6D7B"/>
    <w:rsid w:val="007D246F"/>
    <w:rsid w:val="007E70BE"/>
    <w:rsid w:val="008012CB"/>
    <w:rsid w:val="00811A37"/>
    <w:rsid w:val="008121C2"/>
    <w:rsid w:val="00824988"/>
    <w:rsid w:val="00836D5B"/>
    <w:rsid w:val="008447CC"/>
    <w:rsid w:val="008601BF"/>
    <w:rsid w:val="008A34E5"/>
    <w:rsid w:val="008A4650"/>
    <w:rsid w:val="008B0A09"/>
    <w:rsid w:val="008B5463"/>
    <w:rsid w:val="008B6949"/>
    <w:rsid w:val="008C5305"/>
    <w:rsid w:val="008C7251"/>
    <w:rsid w:val="008F7416"/>
    <w:rsid w:val="0090468A"/>
    <w:rsid w:val="00907923"/>
    <w:rsid w:val="00931D43"/>
    <w:rsid w:val="00933E1A"/>
    <w:rsid w:val="00937A46"/>
    <w:rsid w:val="00941F23"/>
    <w:rsid w:val="00953FFE"/>
    <w:rsid w:val="00961BB8"/>
    <w:rsid w:val="00970665"/>
    <w:rsid w:val="009815B0"/>
    <w:rsid w:val="0099114F"/>
    <w:rsid w:val="00997BFF"/>
    <w:rsid w:val="009C703A"/>
    <w:rsid w:val="009D0099"/>
    <w:rsid w:val="009D4E5A"/>
    <w:rsid w:val="00A0231F"/>
    <w:rsid w:val="00A044C3"/>
    <w:rsid w:val="00A07915"/>
    <w:rsid w:val="00A30E59"/>
    <w:rsid w:val="00A437E6"/>
    <w:rsid w:val="00A47BEF"/>
    <w:rsid w:val="00A50DF1"/>
    <w:rsid w:val="00A51555"/>
    <w:rsid w:val="00A53DDE"/>
    <w:rsid w:val="00A76376"/>
    <w:rsid w:val="00A775C2"/>
    <w:rsid w:val="00A90097"/>
    <w:rsid w:val="00A90CBF"/>
    <w:rsid w:val="00AD0003"/>
    <w:rsid w:val="00AE0115"/>
    <w:rsid w:val="00AE3186"/>
    <w:rsid w:val="00B467F3"/>
    <w:rsid w:val="00B52E72"/>
    <w:rsid w:val="00B56BAA"/>
    <w:rsid w:val="00B67313"/>
    <w:rsid w:val="00B8093B"/>
    <w:rsid w:val="00B83A96"/>
    <w:rsid w:val="00BB54FD"/>
    <w:rsid w:val="00BF46C5"/>
    <w:rsid w:val="00C0013A"/>
    <w:rsid w:val="00C14347"/>
    <w:rsid w:val="00C16CF0"/>
    <w:rsid w:val="00C21BD5"/>
    <w:rsid w:val="00C24B33"/>
    <w:rsid w:val="00C25B19"/>
    <w:rsid w:val="00C27FCE"/>
    <w:rsid w:val="00C3013B"/>
    <w:rsid w:val="00C54578"/>
    <w:rsid w:val="00C556B8"/>
    <w:rsid w:val="00C620C2"/>
    <w:rsid w:val="00C64137"/>
    <w:rsid w:val="00C72D6B"/>
    <w:rsid w:val="00CA2CB4"/>
    <w:rsid w:val="00CC68C7"/>
    <w:rsid w:val="00CF5E6C"/>
    <w:rsid w:val="00D34AA0"/>
    <w:rsid w:val="00D36470"/>
    <w:rsid w:val="00D77C20"/>
    <w:rsid w:val="00DA316F"/>
    <w:rsid w:val="00DA4C8D"/>
    <w:rsid w:val="00DC02A9"/>
    <w:rsid w:val="00DD1F9D"/>
    <w:rsid w:val="00DD4F6D"/>
    <w:rsid w:val="00DF0AE0"/>
    <w:rsid w:val="00DF5C7C"/>
    <w:rsid w:val="00E05245"/>
    <w:rsid w:val="00E2291C"/>
    <w:rsid w:val="00E370DA"/>
    <w:rsid w:val="00E40F96"/>
    <w:rsid w:val="00E46F67"/>
    <w:rsid w:val="00E54EE0"/>
    <w:rsid w:val="00E83128"/>
    <w:rsid w:val="00E85F0B"/>
    <w:rsid w:val="00E963B7"/>
    <w:rsid w:val="00EA17B6"/>
    <w:rsid w:val="00EB071B"/>
    <w:rsid w:val="00EB4134"/>
    <w:rsid w:val="00EC30AE"/>
    <w:rsid w:val="00EC6D55"/>
    <w:rsid w:val="00ED16DC"/>
    <w:rsid w:val="00ED71BC"/>
    <w:rsid w:val="00EE652D"/>
    <w:rsid w:val="00F13E13"/>
    <w:rsid w:val="00F24660"/>
    <w:rsid w:val="00F32C5F"/>
    <w:rsid w:val="00F34EBE"/>
    <w:rsid w:val="00F50BF1"/>
    <w:rsid w:val="00F53EA2"/>
    <w:rsid w:val="00F73703"/>
    <w:rsid w:val="00F74E71"/>
    <w:rsid w:val="00F93F65"/>
    <w:rsid w:val="00FA547F"/>
    <w:rsid w:val="00FA5601"/>
    <w:rsid w:val="00FB1991"/>
    <w:rsid w:val="00FC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9555"/>
  <w15:docId w15:val="{E885E4D9-39A1-3E4B-8E0E-777EB85A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5A"/>
    <w:pPr>
      <w:spacing w:after="200" w:line="276" w:lineRule="auto"/>
    </w:pPr>
    <w:rPr>
      <w:rFonts w:ascii="Calibri" w:eastAsia="Calibri" w:hAnsi="Calibri" w:cs="Times New Roman"/>
      <w:sz w:val="22"/>
      <w:szCs w:val="22"/>
      <w:lang w:val="es-MX"/>
    </w:rPr>
  </w:style>
  <w:style w:type="paragraph" w:styleId="Heading1">
    <w:name w:val="heading 1"/>
    <w:basedOn w:val="Normal"/>
    <w:link w:val="Heading1Char"/>
    <w:uiPriority w:val="9"/>
    <w:qFormat/>
    <w:rsid w:val="00047820"/>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C545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3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4E5A"/>
    <w:rPr>
      <w:color w:val="0000FF"/>
      <w:u w:val="single"/>
    </w:rPr>
  </w:style>
  <w:style w:type="character" w:customStyle="1" w:styleId="UnresolvedMention1">
    <w:name w:val="Unresolved Mention1"/>
    <w:basedOn w:val="DefaultParagraphFont"/>
    <w:uiPriority w:val="99"/>
    <w:semiHidden/>
    <w:unhideWhenUsed/>
    <w:rsid w:val="00491CBE"/>
    <w:rPr>
      <w:color w:val="605E5C"/>
      <w:shd w:val="clear" w:color="auto" w:fill="E1DFDD"/>
    </w:rPr>
  </w:style>
  <w:style w:type="character" w:styleId="CommentReference">
    <w:name w:val="annotation reference"/>
    <w:basedOn w:val="DefaultParagraphFont"/>
    <w:uiPriority w:val="99"/>
    <w:semiHidden/>
    <w:unhideWhenUsed/>
    <w:rsid w:val="00363A41"/>
    <w:rPr>
      <w:sz w:val="16"/>
      <w:szCs w:val="16"/>
    </w:rPr>
  </w:style>
  <w:style w:type="paragraph" w:styleId="CommentText">
    <w:name w:val="annotation text"/>
    <w:basedOn w:val="Normal"/>
    <w:link w:val="CommentTextChar"/>
    <w:uiPriority w:val="99"/>
    <w:semiHidden/>
    <w:unhideWhenUsed/>
    <w:rsid w:val="00363A41"/>
    <w:pPr>
      <w:spacing w:line="240" w:lineRule="auto"/>
    </w:pPr>
    <w:rPr>
      <w:sz w:val="20"/>
      <w:szCs w:val="20"/>
    </w:rPr>
  </w:style>
  <w:style w:type="character" w:customStyle="1" w:styleId="CommentTextChar">
    <w:name w:val="Comment Text Char"/>
    <w:basedOn w:val="DefaultParagraphFont"/>
    <w:link w:val="CommentText"/>
    <w:uiPriority w:val="99"/>
    <w:semiHidden/>
    <w:rsid w:val="00363A41"/>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363A41"/>
    <w:rPr>
      <w:b/>
      <w:bCs/>
    </w:rPr>
  </w:style>
  <w:style w:type="character" w:customStyle="1" w:styleId="CommentSubjectChar">
    <w:name w:val="Comment Subject Char"/>
    <w:basedOn w:val="CommentTextChar"/>
    <w:link w:val="CommentSubject"/>
    <w:uiPriority w:val="99"/>
    <w:semiHidden/>
    <w:rsid w:val="00363A41"/>
    <w:rPr>
      <w:rFonts w:ascii="Calibri" w:eastAsia="Calibri" w:hAnsi="Calibri" w:cs="Times New Roman"/>
      <w:b/>
      <w:bCs/>
      <w:sz w:val="20"/>
      <w:szCs w:val="20"/>
      <w:lang w:val="es-MX"/>
    </w:rPr>
  </w:style>
  <w:style w:type="paragraph" w:styleId="BalloonText">
    <w:name w:val="Balloon Text"/>
    <w:basedOn w:val="Normal"/>
    <w:link w:val="BalloonTextChar"/>
    <w:uiPriority w:val="99"/>
    <w:semiHidden/>
    <w:unhideWhenUsed/>
    <w:rsid w:val="00363A4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3A41"/>
    <w:rPr>
      <w:rFonts w:ascii="Times New Roman" w:eastAsia="Calibri" w:hAnsi="Times New Roman" w:cs="Times New Roman"/>
      <w:sz w:val="18"/>
      <w:szCs w:val="18"/>
      <w:lang w:val="es-MX"/>
    </w:rPr>
  </w:style>
  <w:style w:type="paragraph" w:styleId="BlockText">
    <w:name w:val="Block Text"/>
    <w:basedOn w:val="Normal"/>
    <w:rsid w:val="004F5DF8"/>
    <w:pPr>
      <w:spacing w:after="0" w:line="240" w:lineRule="auto"/>
      <w:ind w:left="-851" w:right="-851"/>
    </w:pPr>
    <w:rPr>
      <w:rFonts w:ascii="Arial" w:eastAsia="Times New Roman" w:hAnsi="Arial" w:cs="Arial"/>
      <w:b/>
      <w:bCs/>
      <w:sz w:val="24"/>
      <w:szCs w:val="24"/>
      <w:lang w:val="es-ES_tradnl" w:eastAsia="es-ES"/>
    </w:rPr>
  </w:style>
  <w:style w:type="character" w:customStyle="1" w:styleId="apple-converted-space">
    <w:name w:val="apple-converted-space"/>
    <w:basedOn w:val="DefaultParagraphFont"/>
    <w:rsid w:val="00047820"/>
  </w:style>
  <w:style w:type="character" w:styleId="Emphasis">
    <w:name w:val="Emphasis"/>
    <w:basedOn w:val="DefaultParagraphFont"/>
    <w:uiPriority w:val="20"/>
    <w:qFormat/>
    <w:rsid w:val="00047820"/>
    <w:rPr>
      <w:i/>
      <w:iCs/>
    </w:rPr>
  </w:style>
  <w:style w:type="character" w:styleId="Strong">
    <w:name w:val="Strong"/>
    <w:basedOn w:val="DefaultParagraphFont"/>
    <w:uiPriority w:val="22"/>
    <w:qFormat/>
    <w:rsid w:val="00047820"/>
    <w:rPr>
      <w:b/>
      <w:bCs/>
    </w:rPr>
  </w:style>
  <w:style w:type="character" w:customStyle="1" w:styleId="Heading1Char">
    <w:name w:val="Heading 1 Char"/>
    <w:basedOn w:val="DefaultParagraphFont"/>
    <w:link w:val="Heading1"/>
    <w:uiPriority w:val="9"/>
    <w:rsid w:val="00047820"/>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47820"/>
  </w:style>
  <w:style w:type="character" w:customStyle="1" w:styleId="highlight">
    <w:name w:val="highlight"/>
    <w:basedOn w:val="DefaultParagraphFont"/>
    <w:rsid w:val="00EA17B6"/>
  </w:style>
  <w:style w:type="character" w:customStyle="1" w:styleId="Heading3Char">
    <w:name w:val="Heading 3 Char"/>
    <w:basedOn w:val="DefaultParagraphFont"/>
    <w:link w:val="Heading3"/>
    <w:uiPriority w:val="9"/>
    <w:semiHidden/>
    <w:rsid w:val="002E3FF4"/>
    <w:rPr>
      <w:rFonts w:asciiTheme="majorHAnsi" w:eastAsiaTheme="majorEastAsia" w:hAnsiTheme="majorHAnsi" w:cstheme="majorBidi"/>
      <w:color w:val="1F3763" w:themeColor="accent1" w:themeShade="7F"/>
      <w:lang w:val="es-MX"/>
    </w:rPr>
  </w:style>
  <w:style w:type="character" w:customStyle="1" w:styleId="mixed-citation">
    <w:name w:val="mixed-citation"/>
    <w:basedOn w:val="DefaultParagraphFont"/>
    <w:rsid w:val="0005613D"/>
  </w:style>
  <w:style w:type="character" w:customStyle="1" w:styleId="ref-journal">
    <w:name w:val="ref-journal"/>
    <w:basedOn w:val="DefaultParagraphFont"/>
    <w:rsid w:val="0005613D"/>
  </w:style>
  <w:style w:type="character" w:customStyle="1" w:styleId="ref-vol">
    <w:name w:val="ref-vol"/>
    <w:basedOn w:val="DefaultParagraphFont"/>
    <w:rsid w:val="0005613D"/>
  </w:style>
  <w:style w:type="character" w:customStyle="1" w:styleId="nowrap">
    <w:name w:val="nowrap"/>
    <w:basedOn w:val="DefaultParagraphFont"/>
    <w:rsid w:val="0005613D"/>
  </w:style>
  <w:style w:type="table" w:styleId="TableGrid">
    <w:name w:val="Table Grid"/>
    <w:basedOn w:val="TableNormal"/>
    <w:uiPriority w:val="59"/>
    <w:rsid w:val="00C14347"/>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0668"/>
    <w:pPr>
      <w:spacing w:after="0" w:line="240" w:lineRule="auto"/>
      <w:jc w:val="center"/>
    </w:pPr>
    <w:rPr>
      <w:rFonts w:ascii="Times New Roman" w:eastAsia="Times New Roman" w:hAnsi="Times New Roman"/>
      <w:sz w:val="20"/>
      <w:szCs w:val="20"/>
      <w:lang w:eastAsia="es-MX"/>
    </w:rPr>
  </w:style>
  <w:style w:type="character" w:customStyle="1" w:styleId="BodyTextChar">
    <w:name w:val="Body Text Char"/>
    <w:basedOn w:val="DefaultParagraphFont"/>
    <w:link w:val="BodyText"/>
    <w:rsid w:val="005D0668"/>
    <w:rPr>
      <w:rFonts w:ascii="Times New Roman" w:eastAsia="Times New Roman" w:hAnsi="Times New Roman" w:cs="Times New Roman"/>
      <w:sz w:val="20"/>
      <w:szCs w:val="20"/>
      <w:lang w:val="es-MX" w:eastAsia="es-MX"/>
    </w:rPr>
  </w:style>
  <w:style w:type="paragraph" w:styleId="ListParagraph">
    <w:name w:val="List Paragraph"/>
    <w:basedOn w:val="Normal"/>
    <w:uiPriority w:val="34"/>
    <w:qFormat/>
    <w:rsid w:val="00057421"/>
    <w:pPr>
      <w:ind w:left="720"/>
      <w:contextualSpacing/>
    </w:pPr>
  </w:style>
  <w:style w:type="character" w:styleId="FollowedHyperlink">
    <w:name w:val="FollowedHyperlink"/>
    <w:basedOn w:val="DefaultParagraphFont"/>
    <w:uiPriority w:val="99"/>
    <w:semiHidden/>
    <w:unhideWhenUsed/>
    <w:rsid w:val="008012CB"/>
    <w:rPr>
      <w:color w:val="954F72" w:themeColor="followedHyperlink"/>
      <w:u w:val="single"/>
    </w:rPr>
  </w:style>
  <w:style w:type="paragraph" w:styleId="Header">
    <w:name w:val="header"/>
    <w:basedOn w:val="Normal"/>
    <w:link w:val="HeaderChar"/>
    <w:uiPriority w:val="99"/>
    <w:unhideWhenUsed/>
    <w:rsid w:val="008A465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4650"/>
    <w:rPr>
      <w:rFonts w:ascii="Calibri" w:eastAsia="Calibri" w:hAnsi="Calibri" w:cs="Times New Roman"/>
      <w:sz w:val="22"/>
      <w:szCs w:val="22"/>
      <w:lang w:val="es-MX"/>
    </w:rPr>
  </w:style>
  <w:style w:type="paragraph" w:styleId="Footer">
    <w:name w:val="footer"/>
    <w:basedOn w:val="Normal"/>
    <w:link w:val="FooterChar"/>
    <w:uiPriority w:val="99"/>
    <w:unhideWhenUsed/>
    <w:rsid w:val="008A4650"/>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4650"/>
    <w:rPr>
      <w:rFonts w:ascii="Calibri" w:eastAsia="Calibri" w:hAnsi="Calibri" w:cs="Times New Roman"/>
      <w:sz w:val="22"/>
      <w:szCs w:val="22"/>
      <w:lang w:val="es-MX"/>
    </w:rPr>
  </w:style>
  <w:style w:type="character" w:styleId="LineNumber">
    <w:name w:val="line number"/>
    <w:basedOn w:val="DefaultParagraphFont"/>
    <w:uiPriority w:val="99"/>
    <w:semiHidden/>
    <w:unhideWhenUsed/>
    <w:rsid w:val="00C27FCE"/>
  </w:style>
  <w:style w:type="character" w:customStyle="1" w:styleId="Heading2Char">
    <w:name w:val="Heading 2 Char"/>
    <w:basedOn w:val="DefaultParagraphFont"/>
    <w:link w:val="Heading2"/>
    <w:uiPriority w:val="9"/>
    <w:semiHidden/>
    <w:rsid w:val="00C54578"/>
    <w:rPr>
      <w:rFonts w:asciiTheme="majorHAnsi" w:eastAsiaTheme="majorEastAsia" w:hAnsiTheme="majorHAnsi" w:cstheme="majorBidi"/>
      <w:color w:val="2F5496"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695">
      <w:bodyDiv w:val="1"/>
      <w:marLeft w:val="0"/>
      <w:marRight w:val="0"/>
      <w:marTop w:val="0"/>
      <w:marBottom w:val="0"/>
      <w:divBdr>
        <w:top w:val="none" w:sz="0" w:space="0" w:color="auto"/>
        <w:left w:val="none" w:sz="0" w:space="0" w:color="auto"/>
        <w:bottom w:val="none" w:sz="0" w:space="0" w:color="auto"/>
        <w:right w:val="none" w:sz="0" w:space="0" w:color="auto"/>
      </w:divBdr>
    </w:div>
    <w:div w:id="9840180">
      <w:bodyDiv w:val="1"/>
      <w:marLeft w:val="0"/>
      <w:marRight w:val="0"/>
      <w:marTop w:val="0"/>
      <w:marBottom w:val="0"/>
      <w:divBdr>
        <w:top w:val="none" w:sz="0" w:space="0" w:color="auto"/>
        <w:left w:val="none" w:sz="0" w:space="0" w:color="auto"/>
        <w:bottom w:val="none" w:sz="0" w:space="0" w:color="auto"/>
        <w:right w:val="none" w:sz="0" w:space="0" w:color="auto"/>
      </w:divBdr>
    </w:div>
    <w:div w:id="10574461">
      <w:bodyDiv w:val="1"/>
      <w:marLeft w:val="0"/>
      <w:marRight w:val="0"/>
      <w:marTop w:val="0"/>
      <w:marBottom w:val="0"/>
      <w:divBdr>
        <w:top w:val="none" w:sz="0" w:space="0" w:color="auto"/>
        <w:left w:val="none" w:sz="0" w:space="0" w:color="auto"/>
        <w:bottom w:val="none" w:sz="0" w:space="0" w:color="auto"/>
        <w:right w:val="none" w:sz="0" w:space="0" w:color="auto"/>
      </w:divBdr>
    </w:div>
    <w:div w:id="10693736">
      <w:bodyDiv w:val="1"/>
      <w:marLeft w:val="0"/>
      <w:marRight w:val="0"/>
      <w:marTop w:val="0"/>
      <w:marBottom w:val="0"/>
      <w:divBdr>
        <w:top w:val="none" w:sz="0" w:space="0" w:color="auto"/>
        <w:left w:val="none" w:sz="0" w:space="0" w:color="auto"/>
        <w:bottom w:val="none" w:sz="0" w:space="0" w:color="auto"/>
        <w:right w:val="none" w:sz="0" w:space="0" w:color="auto"/>
      </w:divBdr>
    </w:div>
    <w:div w:id="49891525">
      <w:bodyDiv w:val="1"/>
      <w:marLeft w:val="0"/>
      <w:marRight w:val="0"/>
      <w:marTop w:val="0"/>
      <w:marBottom w:val="0"/>
      <w:divBdr>
        <w:top w:val="none" w:sz="0" w:space="0" w:color="auto"/>
        <w:left w:val="none" w:sz="0" w:space="0" w:color="auto"/>
        <w:bottom w:val="none" w:sz="0" w:space="0" w:color="auto"/>
        <w:right w:val="none" w:sz="0" w:space="0" w:color="auto"/>
      </w:divBdr>
    </w:div>
    <w:div w:id="74716906">
      <w:bodyDiv w:val="1"/>
      <w:marLeft w:val="0"/>
      <w:marRight w:val="0"/>
      <w:marTop w:val="0"/>
      <w:marBottom w:val="0"/>
      <w:divBdr>
        <w:top w:val="none" w:sz="0" w:space="0" w:color="auto"/>
        <w:left w:val="none" w:sz="0" w:space="0" w:color="auto"/>
        <w:bottom w:val="none" w:sz="0" w:space="0" w:color="auto"/>
        <w:right w:val="none" w:sz="0" w:space="0" w:color="auto"/>
      </w:divBdr>
    </w:div>
    <w:div w:id="96028899">
      <w:bodyDiv w:val="1"/>
      <w:marLeft w:val="0"/>
      <w:marRight w:val="0"/>
      <w:marTop w:val="0"/>
      <w:marBottom w:val="0"/>
      <w:divBdr>
        <w:top w:val="none" w:sz="0" w:space="0" w:color="auto"/>
        <w:left w:val="none" w:sz="0" w:space="0" w:color="auto"/>
        <w:bottom w:val="none" w:sz="0" w:space="0" w:color="auto"/>
        <w:right w:val="none" w:sz="0" w:space="0" w:color="auto"/>
      </w:divBdr>
    </w:div>
    <w:div w:id="119762058">
      <w:bodyDiv w:val="1"/>
      <w:marLeft w:val="0"/>
      <w:marRight w:val="0"/>
      <w:marTop w:val="0"/>
      <w:marBottom w:val="0"/>
      <w:divBdr>
        <w:top w:val="none" w:sz="0" w:space="0" w:color="auto"/>
        <w:left w:val="none" w:sz="0" w:space="0" w:color="auto"/>
        <w:bottom w:val="none" w:sz="0" w:space="0" w:color="auto"/>
        <w:right w:val="none" w:sz="0" w:space="0" w:color="auto"/>
      </w:divBdr>
    </w:div>
    <w:div w:id="153373539">
      <w:bodyDiv w:val="1"/>
      <w:marLeft w:val="0"/>
      <w:marRight w:val="0"/>
      <w:marTop w:val="0"/>
      <w:marBottom w:val="0"/>
      <w:divBdr>
        <w:top w:val="none" w:sz="0" w:space="0" w:color="auto"/>
        <w:left w:val="none" w:sz="0" w:space="0" w:color="auto"/>
        <w:bottom w:val="none" w:sz="0" w:space="0" w:color="auto"/>
        <w:right w:val="none" w:sz="0" w:space="0" w:color="auto"/>
      </w:divBdr>
    </w:div>
    <w:div w:id="186673937">
      <w:bodyDiv w:val="1"/>
      <w:marLeft w:val="0"/>
      <w:marRight w:val="0"/>
      <w:marTop w:val="0"/>
      <w:marBottom w:val="0"/>
      <w:divBdr>
        <w:top w:val="none" w:sz="0" w:space="0" w:color="auto"/>
        <w:left w:val="none" w:sz="0" w:space="0" w:color="auto"/>
        <w:bottom w:val="none" w:sz="0" w:space="0" w:color="auto"/>
        <w:right w:val="none" w:sz="0" w:space="0" w:color="auto"/>
      </w:divBdr>
    </w:div>
    <w:div w:id="228422394">
      <w:bodyDiv w:val="1"/>
      <w:marLeft w:val="0"/>
      <w:marRight w:val="0"/>
      <w:marTop w:val="0"/>
      <w:marBottom w:val="0"/>
      <w:divBdr>
        <w:top w:val="none" w:sz="0" w:space="0" w:color="auto"/>
        <w:left w:val="none" w:sz="0" w:space="0" w:color="auto"/>
        <w:bottom w:val="none" w:sz="0" w:space="0" w:color="auto"/>
        <w:right w:val="none" w:sz="0" w:space="0" w:color="auto"/>
      </w:divBdr>
    </w:div>
    <w:div w:id="283387027">
      <w:bodyDiv w:val="1"/>
      <w:marLeft w:val="0"/>
      <w:marRight w:val="0"/>
      <w:marTop w:val="0"/>
      <w:marBottom w:val="0"/>
      <w:divBdr>
        <w:top w:val="none" w:sz="0" w:space="0" w:color="auto"/>
        <w:left w:val="none" w:sz="0" w:space="0" w:color="auto"/>
        <w:bottom w:val="none" w:sz="0" w:space="0" w:color="auto"/>
        <w:right w:val="none" w:sz="0" w:space="0" w:color="auto"/>
      </w:divBdr>
    </w:div>
    <w:div w:id="312371679">
      <w:bodyDiv w:val="1"/>
      <w:marLeft w:val="0"/>
      <w:marRight w:val="0"/>
      <w:marTop w:val="0"/>
      <w:marBottom w:val="0"/>
      <w:divBdr>
        <w:top w:val="none" w:sz="0" w:space="0" w:color="auto"/>
        <w:left w:val="none" w:sz="0" w:space="0" w:color="auto"/>
        <w:bottom w:val="none" w:sz="0" w:space="0" w:color="auto"/>
        <w:right w:val="none" w:sz="0" w:space="0" w:color="auto"/>
      </w:divBdr>
    </w:div>
    <w:div w:id="354422812">
      <w:bodyDiv w:val="1"/>
      <w:marLeft w:val="0"/>
      <w:marRight w:val="0"/>
      <w:marTop w:val="0"/>
      <w:marBottom w:val="0"/>
      <w:divBdr>
        <w:top w:val="none" w:sz="0" w:space="0" w:color="auto"/>
        <w:left w:val="none" w:sz="0" w:space="0" w:color="auto"/>
        <w:bottom w:val="none" w:sz="0" w:space="0" w:color="auto"/>
        <w:right w:val="none" w:sz="0" w:space="0" w:color="auto"/>
      </w:divBdr>
    </w:div>
    <w:div w:id="370301762">
      <w:bodyDiv w:val="1"/>
      <w:marLeft w:val="0"/>
      <w:marRight w:val="0"/>
      <w:marTop w:val="0"/>
      <w:marBottom w:val="0"/>
      <w:divBdr>
        <w:top w:val="none" w:sz="0" w:space="0" w:color="auto"/>
        <w:left w:val="none" w:sz="0" w:space="0" w:color="auto"/>
        <w:bottom w:val="none" w:sz="0" w:space="0" w:color="auto"/>
        <w:right w:val="none" w:sz="0" w:space="0" w:color="auto"/>
      </w:divBdr>
    </w:div>
    <w:div w:id="376242398">
      <w:bodyDiv w:val="1"/>
      <w:marLeft w:val="0"/>
      <w:marRight w:val="0"/>
      <w:marTop w:val="0"/>
      <w:marBottom w:val="0"/>
      <w:divBdr>
        <w:top w:val="none" w:sz="0" w:space="0" w:color="auto"/>
        <w:left w:val="none" w:sz="0" w:space="0" w:color="auto"/>
        <w:bottom w:val="none" w:sz="0" w:space="0" w:color="auto"/>
        <w:right w:val="none" w:sz="0" w:space="0" w:color="auto"/>
      </w:divBdr>
    </w:div>
    <w:div w:id="378940532">
      <w:bodyDiv w:val="1"/>
      <w:marLeft w:val="0"/>
      <w:marRight w:val="0"/>
      <w:marTop w:val="0"/>
      <w:marBottom w:val="0"/>
      <w:divBdr>
        <w:top w:val="none" w:sz="0" w:space="0" w:color="auto"/>
        <w:left w:val="none" w:sz="0" w:space="0" w:color="auto"/>
        <w:bottom w:val="none" w:sz="0" w:space="0" w:color="auto"/>
        <w:right w:val="none" w:sz="0" w:space="0" w:color="auto"/>
      </w:divBdr>
    </w:div>
    <w:div w:id="402988541">
      <w:bodyDiv w:val="1"/>
      <w:marLeft w:val="0"/>
      <w:marRight w:val="0"/>
      <w:marTop w:val="0"/>
      <w:marBottom w:val="0"/>
      <w:divBdr>
        <w:top w:val="none" w:sz="0" w:space="0" w:color="auto"/>
        <w:left w:val="none" w:sz="0" w:space="0" w:color="auto"/>
        <w:bottom w:val="none" w:sz="0" w:space="0" w:color="auto"/>
        <w:right w:val="none" w:sz="0" w:space="0" w:color="auto"/>
      </w:divBdr>
    </w:div>
    <w:div w:id="451093429">
      <w:bodyDiv w:val="1"/>
      <w:marLeft w:val="0"/>
      <w:marRight w:val="0"/>
      <w:marTop w:val="0"/>
      <w:marBottom w:val="0"/>
      <w:divBdr>
        <w:top w:val="none" w:sz="0" w:space="0" w:color="auto"/>
        <w:left w:val="none" w:sz="0" w:space="0" w:color="auto"/>
        <w:bottom w:val="none" w:sz="0" w:space="0" w:color="auto"/>
        <w:right w:val="none" w:sz="0" w:space="0" w:color="auto"/>
      </w:divBdr>
    </w:div>
    <w:div w:id="465776305">
      <w:bodyDiv w:val="1"/>
      <w:marLeft w:val="0"/>
      <w:marRight w:val="0"/>
      <w:marTop w:val="0"/>
      <w:marBottom w:val="0"/>
      <w:divBdr>
        <w:top w:val="none" w:sz="0" w:space="0" w:color="auto"/>
        <w:left w:val="none" w:sz="0" w:space="0" w:color="auto"/>
        <w:bottom w:val="none" w:sz="0" w:space="0" w:color="auto"/>
        <w:right w:val="none" w:sz="0" w:space="0" w:color="auto"/>
      </w:divBdr>
    </w:div>
    <w:div w:id="466437804">
      <w:bodyDiv w:val="1"/>
      <w:marLeft w:val="0"/>
      <w:marRight w:val="0"/>
      <w:marTop w:val="0"/>
      <w:marBottom w:val="0"/>
      <w:divBdr>
        <w:top w:val="none" w:sz="0" w:space="0" w:color="auto"/>
        <w:left w:val="none" w:sz="0" w:space="0" w:color="auto"/>
        <w:bottom w:val="none" w:sz="0" w:space="0" w:color="auto"/>
        <w:right w:val="none" w:sz="0" w:space="0" w:color="auto"/>
      </w:divBdr>
    </w:div>
    <w:div w:id="478227412">
      <w:bodyDiv w:val="1"/>
      <w:marLeft w:val="0"/>
      <w:marRight w:val="0"/>
      <w:marTop w:val="0"/>
      <w:marBottom w:val="0"/>
      <w:divBdr>
        <w:top w:val="none" w:sz="0" w:space="0" w:color="auto"/>
        <w:left w:val="none" w:sz="0" w:space="0" w:color="auto"/>
        <w:bottom w:val="none" w:sz="0" w:space="0" w:color="auto"/>
        <w:right w:val="none" w:sz="0" w:space="0" w:color="auto"/>
      </w:divBdr>
      <w:divsChild>
        <w:div w:id="1052462261">
          <w:marLeft w:val="0"/>
          <w:marRight w:val="0"/>
          <w:marTop w:val="0"/>
          <w:marBottom w:val="0"/>
          <w:divBdr>
            <w:top w:val="none" w:sz="0" w:space="0" w:color="auto"/>
            <w:left w:val="none" w:sz="0" w:space="0" w:color="auto"/>
            <w:bottom w:val="none" w:sz="0" w:space="0" w:color="auto"/>
            <w:right w:val="none" w:sz="0" w:space="0" w:color="auto"/>
          </w:divBdr>
        </w:div>
        <w:div w:id="1557276382">
          <w:marLeft w:val="0"/>
          <w:marRight w:val="0"/>
          <w:marTop w:val="0"/>
          <w:marBottom w:val="0"/>
          <w:divBdr>
            <w:top w:val="none" w:sz="0" w:space="0" w:color="auto"/>
            <w:left w:val="none" w:sz="0" w:space="0" w:color="auto"/>
            <w:bottom w:val="none" w:sz="0" w:space="0" w:color="auto"/>
            <w:right w:val="none" w:sz="0" w:space="0" w:color="auto"/>
          </w:divBdr>
        </w:div>
        <w:div w:id="2000840448">
          <w:marLeft w:val="0"/>
          <w:marRight w:val="0"/>
          <w:marTop w:val="0"/>
          <w:marBottom w:val="0"/>
          <w:divBdr>
            <w:top w:val="none" w:sz="0" w:space="0" w:color="auto"/>
            <w:left w:val="none" w:sz="0" w:space="0" w:color="auto"/>
            <w:bottom w:val="none" w:sz="0" w:space="0" w:color="auto"/>
            <w:right w:val="none" w:sz="0" w:space="0" w:color="auto"/>
          </w:divBdr>
        </w:div>
        <w:div w:id="2113209117">
          <w:marLeft w:val="0"/>
          <w:marRight w:val="0"/>
          <w:marTop w:val="0"/>
          <w:marBottom w:val="0"/>
          <w:divBdr>
            <w:top w:val="none" w:sz="0" w:space="0" w:color="auto"/>
            <w:left w:val="none" w:sz="0" w:space="0" w:color="auto"/>
            <w:bottom w:val="none" w:sz="0" w:space="0" w:color="auto"/>
            <w:right w:val="none" w:sz="0" w:space="0" w:color="auto"/>
          </w:divBdr>
        </w:div>
        <w:div w:id="2129466791">
          <w:marLeft w:val="0"/>
          <w:marRight w:val="0"/>
          <w:marTop w:val="0"/>
          <w:marBottom w:val="0"/>
          <w:divBdr>
            <w:top w:val="none" w:sz="0" w:space="0" w:color="auto"/>
            <w:left w:val="none" w:sz="0" w:space="0" w:color="auto"/>
            <w:bottom w:val="none" w:sz="0" w:space="0" w:color="auto"/>
            <w:right w:val="none" w:sz="0" w:space="0" w:color="auto"/>
          </w:divBdr>
        </w:div>
      </w:divsChild>
    </w:div>
    <w:div w:id="502473395">
      <w:bodyDiv w:val="1"/>
      <w:marLeft w:val="0"/>
      <w:marRight w:val="0"/>
      <w:marTop w:val="0"/>
      <w:marBottom w:val="0"/>
      <w:divBdr>
        <w:top w:val="none" w:sz="0" w:space="0" w:color="auto"/>
        <w:left w:val="none" w:sz="0" w:space="0" w:color="auto"/>
        <w:bottom w:val="none" w:sz="0" w:space="0" w:color="auto"/>
        <w:right w:val="none" w:sz="0" w:space="0" w:color="auto"/>
      </w:divBdr>
    </w:div>
    <w:div w:id="543716852">
      <w:bodyDiv w:val="1"/>
      <w:marLeft w:val="0"/>
      <w:marRight w:val="0"/>
      <w:marTop w:val="0"/>
      <w:marBottom w:val="0"/>
      <w:divBdr>
        <w:top w:val="none" w:sz="0" w:space="0" w:color="auto"/>
        <w:left w:val="none" w:sz="0" w:space="0" w:color="auto"/>
        <w:bottom w:val="none" w:sz="0" w:space="0" w:color="auto"/>
        <w:right w:val="none" w:sz="0" w:space="0" w:color="auto"/>
      </w:divBdr>
    </w:div>
    <w:div w:id="631520909">
      <w:bodyDiv w:val="1"/>
      <w:marLeft w:val="0"/>
      <w:marRight w:val="0"/>
      <w:marTop w:val="0"/>
      <w:marBottom w:val="0"/>
      <w:divBdr>
        <w:top w:val="none" w:sz="0" w:space="0" w:color="auto"/>
        <w:left w:val="none" w:sz="0" w:space="0" w:color="auto"/>
        <w:bottom w:val="none" w:sz="0" w:space="0" w:color="auto"/>
        <w:right w:val="none" w:sz="0" w:space="0" w:color="auto"/>
      </w:divBdr>
    </w:div>
    <w:div w:id="656111263">
      <w:bodyDiv w:val="1"/>
      <w:marLeft w:val="0"/>
      <w:marRight w:val="0"/>
      <w:marTop w:val="0"/>
      <w:marBottom w:val="0"/>
      <w:divBdr>
        <w:top w:val="none" w:sz="0" w:space="0" w:color="auto"/>
        <w:left w:val="none" w:sz="0" w:space="0" w:color="auto"/>
        <w:bottom w:val="none" w:sz="0" w:space="0" w:color="auto"/>
        <w:right w:val="none" w:sz="0" w:space="0" w:color="auto"/>
      </w:divBdr>
    </w:div>
    <w:div w:id="656231841">
      <w:bodyDiv w:val="1"/>
      <w:marLeft w:val="0"/>
      <w:marRight w:val="0"/>
      <w:marTop w:val="0"/>
      <w:marBottom w:val="0"/>
      <w:divBdr>
        <w:top w:val="none" w:sz="0" w:space="0" w:color="auto"/>
        <w:left w:val="none" w:sz="0" w:space="0" w:color="auto"/>
        <w:bottom w:val="none" w:sz="0" w:space="0" w:color="auto"/>
        <w:right w:val="none" w:sz="0" w:space="0" w:color="auto"/>
      </w:divBdr>
    </w:div>
    <w:div w:id="676736738">
      <w:bodyDiv w:val="1"/>
      <w:marLeft w:val="0"/>
      <w:marRight w:val="0"/>
      <w:marTop w:val="0"/>
      <w:marBottom w:val="0"/>
      <w:divBdr>
        <w:top w:val="none" w:sz="0" w:space="0" w:color="auto"/>
        <w:left w:val="none" w:sz="0" w:space="0" w:color="auto"/>
        <w:bottom w:val="none" w:sz="0" w:space="0" w:color="auto"/>
        <w:right w:val="none" w:sz="0" w:space="0" w:color="auto"/>
      </w:divBdr>
    </w:div>
    <w:div w:id="689794109">
      <w:bodyDiv w:val="1"/>
      <w:marLeft w:val="0"/>
      <w:marRight w:val="0"/>
      <w:marTop w:val="0"/>
      <w:marBottom w:val="0"/>
      <w:divBdr>
        <w:top w:val="none" w:sz="0" w:space="0" w:color="auto"/>
        <w:left w:val="none" w:sz="0" w:space="0" w:color="auto"/>
        <w:bottom w:val="none" w:sz="0" w:space="0" w:color="auto"/>
        <w:right w:val="none" w:sz="0" w:space="0" w:color="auto"/>
      </w:divBdr>
    </w:div>
    <w:div w:id="782041878">
      <w:bodyDiv w:val="1"/>
      <w:marLeft w:val="0"/>
      <w:marRight w:val="0"/>
      <w:marTop w:val="0"/>
      <w:marBottom w:val="0"/>
      <w:divBdr>
        <w:top w:val="none" w:sz="0" w:space="0" w:color="auto"/>
        <w:left w:val="none" w:sz="0" w:space="0" w:color="auto"/>
        <w:bottom w:val="none" w:sz="0" w:space="0" w:color="auto"/>
        <w:right w:val="none" w:sz="0" w:space="0" w:color="auto"/>
      </w:divBdr>
    </w:div>
    <w:div w:id="790710246">
      <w:bodyDiv w:val="1"/>
      <w:marLeft w:val="0"/>
      <w:marRight w:val="0"/>
      <w:marTop w:val="0"/>
      <w:marBottom w:val="0"/>
      <w:divBdr>
        <w:top w:val="none" w:sz="0" w:space="0" w:color="auto"/>
        <w:left w:val="none" w:sz="0" w:space="0" w:color="auto"/>
        <w:bottom w:val="none" w:sz="0" w:space="0" w:color="auto"/>
        <w:right w:val="none" w:sz="0" w:space="0" w:color="auto"/>
      </w:divBdr>
      <w:divsChild>
        <w:div w:id="161922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8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1385">
      <w:bodyDiv w:val="1"/>
      <w:marLeft w:val="0"/>
      <w:marRight w:val="0"/>
      <w:marTop w:val="0"/>
      <w:marBottom w:val="0"/>
      <w:divBdr>
        <w:top w:val="none" w:sz="0" w:space="0" w:color="auto"/>
        <w:left w:val="none" w:sz="0" w:space="0" w:color="auto"/>
        <w:bottom w:val="none" w:sz="0" w:space="0" w:color="auto"/>
        <w:right w:val="none" w:sz="0" w:space="0" w:color="auto"/>
      </w:divBdr>
      <w:divsChild>
        <w:div w:id="1343899351">
          <w:marLeft w:val="0"/>
          <w:marRight w:val="0"/>
          <w:marTop w:val="0"/>
          <w:marBottom w:val="0"/>
          <w:divBdr>
            <w:top w:val="none" w:sz="0" w:space="0" w:color="auto"/>
            <w:left w:val="none" w:sz="0" w:space="0" w:color="auto"/>
            <w:bottom w:val="none" w:sz="0" w:space="0" w:color="auto"/>
            <w:right w:val="none" w:sz="0" w:space="0" w:color="auto"/>
          </w:divBdr>
          <w:divsChild>
            <w:div w:id="1522356565">
              <w:marLeft w:val="0"/>
              <w:marRight w:val="0"/>
              <w:marTop w:val="0"/>
              <w:marBottom w:val="0"/>
              <w:divBdr>
                <w:top w:val="none" w:sz="0" w:space="0" w:color="auto"/>
                <w:left w:val="none" w:sz="0" w:space="0" w:color="auto"/>
                <w:bottom w:val="none" w:sz="0" w:space="0" w:color="auto"/>
                <w:right w:val="none" w:sz="0" w:space="0" w:color="auto"/>
              </w:divBdr>
              <w:divsChild>
                <w:div w:id="2125271280">
                  <w:marLeft w:val="0"/>
                  <w:marRight w:val="0"/>
                  <w:marTop w:val="0"/>
                  <w:marBottom w:val="0"/>
                  <w:divBdr>
                    <w:top w:val="none" w:sz="0" w:space="0" w:color="auto"/>
                    <w:left w:val="none" w:sz="0" w:space="0" w:color="auto"/>
                    <w:bottom w:val="none" w:sz="0" w:space="0" w:color="auto"/>
                    <w:right w:val="none" w:sz="0" w:space="0" w:color="auto"/>
                  </w:divBdr>
                  <w:divsChild>
                    <w:div w:id="847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3681">
      <w:bodyDiv w:val="1"/>
      <w:marLeft w:val="0"/>
      <w:marRight w:val="0"/>
      <w:marTop w:val="0"/>
      <w:marBottom w:val="0"/>
      <w:divBdr>
        <w:top w:val="none" w:sz="0" w:space="0" w:color="auto"/>
        <w:left w:val="none" w:sz="0" w:space="0" w:color="auto"/>
        <w:bottom w:val="none" w:sz="0" w:space="0" w:color="auto"/>
        <w:right w:val="none" w:sz="0" w:space="0" w:color="auto"/>
      </w:divBdr>
    </w:div>
    <w:div w:id="861742921">
      <w:bodyDiv w:val="1"/>
      <w:marLeft w:val="0"/>
      <w:marRight w:val="0"/>
      <w:marTop w:val="0"/>
      <w:marBottom w:val="0"/>
      <w:divBdr>
        <w:top w:val="none" w:sz="0" w:space="0" w:color="auto"/>
        <w:left w:val="none" w:sz="0" w:space="0" w:color="auto"/>
        <w:bottom w:val="none" w:sz="0" w:space="0" w:color="auto"/>
        <w:right w:val="none" w:sz="0" w:space="0" w:color="auto"/>
      </w:divBdr>
    </w:div>
    <w:div w:id="887959129">
      <w:bodyDiv w:val="1"/>
      <w:marLeft w:val="0"/>
      <w:marRight w:val="0"/>
      <w:marTop w:val="0"/>
      <w:marBottom w:val="0"/>
      <w:divBdr>
        <w:top w:val="none" w:sz="0" w:space="0" w:color="auto"/>
        <w:left w:val="none" w:sz="0" w:space="0" w:color="auto"/>
        <w:bottom w:val="none" w:sz="0" w:space="0" w:color="auto"/>
        <w:right w:val="none" w:sz="0" w:space="0" w:color="auto"/>
      </w:divBdr>
    </w:div>
    <w:div w:id="904725118">
      <w:bodyDiv w:val="1"/>
      <w:marLeft w:val="0"/>
      <w:marRight w:val="0"/>
      <w:marTop w:val="0"/>
      <w:marBottom w:val="0"/>
      <w:divBdr>
        <w:top w:val="none" w:sz="0" w:space="0" w:color="auto"/>
        <w:left w:val="none" w:sz="0" w:space="0" w:color="auto"/>
        <w:bottom w:val="none" w:sz="0" w:space="0" w:color="auto"/>
        <w:right w:val="none" w:sz="0" w:space="0" w:color="auto"/>
      </w:divBdr>
    </w:div>
    <w:div w:id="906114026">
      <w:bodyDiv w:val="1"/>
      <w:marLeft w:val="0"/>
      <w:marRight w:val="0"/>
      <w:marTop w:val="0"/>
      <w:marBottom w:val="0"/>
      <w:divBdr>
        <w:top w:val="none" w:sz="0" w:space="0" w:color="auto"/>
        <w:left w:val="none" w:sz="0" w:space="0" w:color="auto"/>
        <w:bottom w:val="none" w:sz="0" w:space="0" w:color="auto"/>
        <w:right w:val="none" w:sz="0" w:space="0" w:color="auto"/>
      </w:divBdr>
      <w:divsChild>
        <w:div w:id="1610233796">
          <w:marLeft w:val="0"/>
          <w:marRight w:val="0"/>
          <w:marTop w:val="166"/>
          <w:marBottom w:val="166"/>
          <w:divBdr>
            <w:top w:val="none" w:sz="0" w:space="0" w:color="auto"/>
            <w:left w:val="none" w:sz="0" w:space="0" w:color="auto"/>
            <w:bottom w:val="none" w:sz="0" w:space="0" w:color="auto"/>
            <w:right w:val="none" w:sz="0" w:space="0" w:color="auto"/>
          </w:divBdr>
        </w:div>
        <w:div w:id="1808276690">
          <w:marLeft w:val="0"/>
          <w:marRight w:val="0"/>
          <w:marTop w:val="166"/>
          <w:marBottom w:val="166"/>
          <w:divBdr>
            <w:top w:val="none" w:sz="0" w:space="0" w:color="auto"/>
            <w:left w:val="none" w:sz="0" w:space="0" w:color="auto"/>
            <w:bottom w:val="none" w:sz="0" w:space="0" w:color="auto"/>
            <w:right w:val="none" w:sz="0" w:space="0" w:color="auto"/>
          </w:divBdr>
        </w:div>
        <w:div w:id="1879587476">
          <w:marLeft w:val="0"/>
          <w:marRight w:val="0"/>
          <w:marTop w:val="166"/>
          <w:marBottom w:val="166"/>
          <w:divBdr>
            <w:top w:val="none" w:sz="0" w:space="0" w:color="auto"/>
            <w:left w:val="none" w:sz="0" w:space="0" w:color="auto"/>
            <w:bottom w:val="none" w:sz="0" w:space="0" w:color="auto"/>
            <w:right w:val="none" w:sz="0" w:space="0" w:color="auto"/>
          </w:divBdr>
        </w:div>
      </w:divsChild>
    </w:div>
    <w:div w:id="925840625">
      <w:bodyDiv w:val="1"/>
      <w:marLeft w:val="0"/>
      <w:marRight w:val="0"/>
      <w:marTop w:val="0"/>
      <w:marBottom w:val="0"/>
      <w:divBdr>
        <w:top w:val="none" w:sz="0" w:space="0" w:color="auto"/>
        <w:left w:val="none" w:sz="0" w:space="0" w:color="auto"/>
        <w:bottom w:val="none" w:sz="0" w:space="0" w:color="auto"/>
        <w:right w:val="none" w:sz="0" w:space="0" w:color="auto"/>
      </w:divBdr>
    </w:div>
    <w:div w:id="949969387">
      <w:bodyDiv w:val="1"/>
      <w:marLeft w:val="0"/>
      <w:marRight w:val="0"/>
      <w:marTop w:val="0"/>
      <w:marBottom w:val="0"/>
      <w:divBdr>
        <w:top w:val="none" w:sz="0" w:space="0" w:color="auto"/>
        <w:left w:val="none" w:sz="0" w:space="0" w:color="auto"/>
        <w:bottom w:val="none" w:sz="0" w:space="0" w:color="auto"/>
        <w:right w:val="none" w:sz="0" w:space="0" w:color="auto"/>
      </w:divBdr>
    </w:div>
    <w:div w:id="959797804">
      <w:bodyDiv w:val="1"/>
      <w:marLeft w:val="0"/>
      <w:marRight w:val="0"/>
      <w:marTop w:val="0"/>
      <w:marBottom w:val="0"/>
      <w:divBdr>
        <w:top w:val="none" w:sz="0" w:space="0" w:color="auto"/>
        <w:left w:val="none" w:sz="0" w:space="0" w:color="auto"/>
        <w:bottom w:val="none" w:sz="0" w:space="0" w:color="auto"/>
        <w:right w:val="none" w:sz="0" w:space="0" w:color="auto"/>
      </w:divBdr>
    </w:div>
    <w:div w:id="990905927">
      <w:bodyDiv w:val="1"/>
      <w:marLeft w:val="0"/>
      <w:marRight w:val="0"/>
      <w:marTop w:val="0"/>
      <w:marBottom w:val="0"/>
      <w:divBdr>
        <w:top w:val="none" w:sz="0" w:space="0" w:color="auto"/>
        <w:left w:val="none" w:sz="0" w:space="0" w:color="auto"/>
        <w:bottom w:val="none" w:sz="0" w:space="0" w:color="auto"/>
        <w:right w:val="none" w:sz="0" w:space="0" w:color="auto"/>
      </w:divBdr>
    </w:div>
    <w:div w:id="1034427939">
      <w:bodyDiv w:val="1"/>
      <w:marLeft w:val="0"/>
      <w:marRight w:val="0"/>
      <w:marTop w:val="0"/>
      <w:marBottom w:val="0"/>
      <w:divBdr>
        <w:top w:val="none" w:sz="0" w:space="0" w:color="auto"/>
        <w:left w:val="none" w:sz="0" w:space="0" w:color="auto"/>
        <w:bottom w:val="none" w:sz="0" w:space="0" w:color="auto"/>
        <w:right w:val="none" w:sz="0" w:space="0" w:color="auto"/>
      </w:divBdr>
    </w:div>
    <w:div w:id="1072463131">
      <w:bodyDiv w:val="1"/>
      <w:marLeft w:val="0"/>
      <w:marRight w:val="0"/>
      <w:marTop w:val="0"/>
      <w:marBottom w:val="0"/>
      <w:divBdr>
        <w:top w:val="none" w:sz="0" w:space="0" w:color="auto"/>
        <w:left w:val="none" w:sz="0" w:space="0" w:color="auto"/>
        <w:bottom w:val="none" w:sz="0" w:space="0" w:color="auto"/>
        <w:right w:val="none" w:sz="0" w:space="0" w:color="auto"/>
      </w:divBdr>
    </w:div>
    <w:div w:id="1084036038">
      <w:bodyDiv w:val="1"/>
      <w:marLeft w:val="0"/>
      <w:marRight w:val="0"/>
      <w:marTop w:val="0"/>
      <w:marBottom w:val="0"/>
      <w:divBdr>
        <w:top w:val="none" w:sz="0" w:space="0" w:color="auto"/>
        <w:left w:val="none" w:sz="0" w:space="0" w:color="auto"/>
        <w:bottom w:val="none" w:sz="0" w:space="0" w:color="auto"/>
        <w:right w:val="none" w:sz="0" w:space="0" w:color="auto"/>
      </w:divBdr>
    </w:div>
    <w:div w:id="1099718255">
      <w:bodyDiv w:val="1"/>
      <w:marLeft w:val="0"/>
      <w:marRight w:val="0"/>
      <w:marTop w:val="0"/>
      <w:marBottom w:val="0"/>
      <w:divBdr>
        <w:top w:val="none" w:sz="0" w:space="0" w:color="auto"/>
        <w:left w:val="none" w:sz="0" w:space="0" w:color="auto"/>
        <w:bottom w:val="none" w:sz="0" w:space="0" w:color="auto"/>
        <w:right w:val="none" w:sz="0" w:space="0" w:color="auto"/>
      </w:divBdr>
    </w:div>
    <w:div w:id="1131628639">
      <w:bodyDiv w:val="1"/>
      <w:marLeft w:val="0"/>
      <w:marRight w:val="0"/>
      <w:marTop w:val="0"/>
      <w:marBottom w:val="0"/>
      <w:divBdr>
        <w:top w:val="none" w:sz="0" w:space="0" w:color="auto"/>
        <w:left w:val="none" w:sz="0" w:space="0" w:color="auto"/>
        <w:bottom w:val="none" w:sz="0" w:space="0" w:color="auto"/>
        <w:right w:val="none" w:sz="0" w:space="0" w:color="auto"/>
      </w:divBdr>
    </w:div>
    <w:div w:id="1174567885">
      <w:bodyDiv w:val="1"/>
      <w:marLeft w:val="0"/>
      <w:marRight w:val="0"/>
      <w:marTop w:val="0"/>
      <w:marBottom w:val="0"/>
      <w:divBdr>
        <w:top w:val="none" w:sz="0" w:space="0" w:color="auto"/>
        <w:left w:val="none" w:sz="0" w:space="0" w:color="auto"/>
        <w:bottom w:val="none" w:sz="0" w:space="0" w:color="auto"/>
        <w:right w:val="none" w:sz="0" w:space="0" w:color="auto"/>
      </w:divBdr>
    </w:div>
    <w:div w:id="1182360134">
      <w:bodyDiv w:val="1"/>
      <w:marLeft w:val="0"/>
      <w:marRight w:val="0"/>
      <w:marTop w:val="0"/>
      <w:marBottom w:val="0"/>
      <w:divBdr>
        <w:top w:val="none" w:sz="0" w:space="0" w:color="auto"/>
        <w:left w:val="none" w:sz="0" w:space="0" w:color="auto"/>
        <w:bottom w:val="none" w:sz="0" w:space="0" w:color="auto"/>
        <w:right w:val="none" w:sz="0" w:space="0" w:color="auto"/>
      </w:divBdr>
    </w:div>
    <w:div w:id="1203397491">
      <w:bodyDiv w:val="1"/>
      <w:marLeft w:val="0"/>
      <w:marRight w:val="0"/>
      <w:marTop w:val="0"/>
      <w:marBottom w:val="0"/>
      <w:divBdr>
        <w:top w:val="none" w:sz="0" w:space="0" w:color="auto"/>
        <w:left w:val="none" w:sz="0" w:space="0" w:color="auto"/>
        <w:bottom w:val="none" w:sz="0" w:space="0" w:color="auto"/>
        <w:right w:val="none" w:sz="0" w:space="0" w:color="auto"/>
      </w:divBdr>
    </w:div>
    <w:div w:id="1214653094">
      <w:bodyDiv w:val="1"/>
      <w:marLeft w:val="0"/>
      <w:marRight w:val="0"/>
      <w:marTop w:val="0"/>
      <w:marBottom w:val="0"/>
      <w:divBdr>
        <w:top w:val="none" w:sz="0" w:space="0" w:color="auto"/>
        <w:left w:val="none" w:sz="0" w:space="0" w:color="auto"/>
        <w:bottom w:val="none" w:sz="0" w:space="0" w:color="auto"/>
        <w:right w:val="none" w:sz="0" w:space="0" w:color="auto"/>
      </w:divBdr>
    </w:div>
    <w:div w:id="1216697961">
      <w:bodyDiv w:val="1"/>
      <w:marLeft w:val="0"/>
      <w:marRight w:val="0"/>
      <w:marTop w:val="0"/>
      <w:marBottom w:val="0"/>
      <w:divBdr>
        <w:top w:val="none" w:sz="0" w:space="0" w:color="auto"/>
        <w:left w:val="none" w:sz="0" w:space="0" w:color="auto"/>
        <w:bottom w:val="none" w:sz="0" w:space="0" w:color="auto"/>
        <w:right w:val="none" w:sz="0" w:space="0" w:color="auto"/>
      </w:divBdr>
    </w:div>
    <w:div w:id="1222979150">
      <w:bodyDiv w:val="1"/>
      <w:marLeft w:val="0"/>
      <w:marRight w:val="0"/>
      <w:marTop w:val="0"/>
      <w:marBottom w:val="0"/>
      <w:divBdr>
        <w:top w:val="none" w:sz="0" w:space="0" w:color="auto"/>
        <w:left w:val="none" w:sz="0" w:space="0" w:color="auto"/>
        <w:bottom w:val="none" w:sz="0" w:space="0" w:color="auto"/>
        <w:right w:val="none" w:sz="0" w:space="0" w:color="auto"/>
      </w:divBdr>
      <w:divsChild>
        <w:div w:id="191550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1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436">
      <w:bodyDiv w:val="1"/>
      <w:marLeft w:val="0"/>
      <w:marRight w:val="0"/>
      <w:marTop w:val="0"/>
      <w:marBottom w:val="0"/>
      <w:divBdr>
        <w:top w:val="none" w:sz="0" w:space="0" w:color="auto"/>
        <w:left w:val="none" w:sz="0" w:space="0" w:color="auto"/>
        <w:bottom w:val="none" w:sz="0" w:space="0" w:color="auto"/>
        <w:right w:val="none" w:sz="0" w:space="0" w:color="auto"/>
      </w:divBdr>
    </w:div>
    <w:div w:id="1311445952">
      <w:bodyDiv w:val="1"/>
      <w:marLeft w:val="0"/>
      <w:marRight w:val="0"/>
      <w:marTop w:val="0"/>
      <w:marBottom w:val="0"/>
      <w:divBdr>
        <w:top w:val="none" w:sz="0" w:space="0" w:color="auto"/>
        <w:left w:val="none" w:sz="0" w:space="0" w:color="auto"/>
        <w:bottom w:val="none" w:sz="0" w:space="0" w:color="auto"/>
        <w:right w:val="none" w:sz="0" w:space="0" w:color="auto"/>
      </w:divBdr>
    </w:div>
    <w:div w:id="1324121206">
      <w:bodyDiv w:val="1"/>
      <w:marLeft w:val="0"/>
      <w:marRight w:val="0"/>
      <w:marTop w:val="0"/>
      <w:marBottom w:val="0"/>
      <w:divBdr>
        <w:top w:val="none" w:sz="0" w:space="0" w:color="auto"/>
        <w:left w:val="none" w:sz="0" w:space="0" w:color="auto"/>
        <w:bottom w:val="none" w:sz="0" w:space="0" w:color="auto"/>
        <w:right w:val="none" w:sz="0" w:space="0" w:color="auto"/>
      </w:divBdr>
      <w:divsChild>
        <w:div w:id="939142740">
          <w:marLeft w:val="0"/>
          <w:marRight w:val="0"/>
          <w:marTop w:val="0"/>
          <w:marBottom w:val="0"/>
          <w:divBdr>
            <w:top w:val="none" w:sz="0" w:space="0" w:color="auto"/>
            <w:left w:val="none" w:sz="0" w:space="0" w:color="auto"/>
            <w:bottom w:val="none" w:sz="0" w:space="0" w:color="auto"/>
            <w:right w:val="none" w:sz="0" w:space="0" w:color="auto"/>
          </w:divBdr>
        </w:div>
        <w:div w:id="1438482236">
          <w:marLeft w:val="0"/>
          <w:marRight w:val="0"/>
          <w:marTop w:val="0"/>
          <w:marBottom w:val="0"/>
          <w:divBdr>
            <w:top w:val="none" w:sz="0" w:space="0" w:color="auto"/>
            <w:left w:val="none" w:sz="0" w:space="0" w:color="auto"/>
            <w:bottom w:val="none" w:sz="0" w:space="0" w:color="auto"/>
            <w:right w:val="none" w:sz="0" w:space="0" w:color="auto"/>
          </w:divBdr>
        </w:div>
      </w:divsChild>
    </w:div>
    <w:div w:id="1353990399">
      <w:bodyDiv w:val="1"/>
      <w:marLeft w:val="0"/>
      <w:marRight w:val="0"/>
      <w:marTop w:val="0"/>
      <w:marBottom w:val="0"/>
      <w:divBdr>
        <w:top w:val="none" w:sz="0" w:space="0" w:color="auto"/>
        <w:left w:val="none" w:sz="0" w:space="0" w:color="auto"/>
        <w:bottom w:val="none" w:sz="0" w:space="0" w:color="auto"/>
        <w:right w:val="none" w:sz="0" w:space="0" w:color="auto"/>
      </w:divBdr>
    </w:div>
    <w:div w:id="1384409143">
      <w:bodyDiv w:val="1"/>
      <w:marLeft w:val="0"/>
      <w:marRight w:val="0"/>
      <w:marTop w:val="0"/>
      <w:marBottom w:val="0"/>
      <w:divBdr>
        <w:top w:val="none" w:sz="0" w:space="0" w:color="auto"/>
        <w:left w:val="none" w:sz="0" w:space="0" w:color="auto"/>
        <w:bottom w:val="none" w:sz="0" w:space="0" w:color="auto"/>
        <w:right w:val="none" w:sz="0" w:space="0" w:color="auto"/>
      </w:divBdr>
      <w:divsChild>
        <w:div w:id="127631271">
          <w:marLeft w:val="0"/>
          <w:marRight w:val="0"/>
          <w:marTop w:val="0"/>
          <w:marBottom w:val="0"/>
          <w:divBdr>
            <w:top w:val="none" w:sz="0" w:space="0" w:color="auto"/>
            <w:left w:val="none" w:sz="0" w:space="0" w:color="auto"/>
            <w:bottom w:val="none" w:sz="0" w:space="0" w:color="auto"/>
            <w:right w:val="none" w:sz="0" w:space="0" w:color="auto"/>
          </w:divBdr>
          <w:divsChild>
            <w:div w:id="465853240">
              <w:marLeft w:val="0"/>
              <w:marRight w:val="0"/>
              <w:marTop w:val="0"/>
              <w:marBottom w:val="0"/>
              <w:divBdr>
                <w:top w:val="none" w:sz="0" w:space="0" w:color="auto"/>
                <w:left w:val="none" w:sz="0" w:space="0" w:color="auto"/>
                <w:bottom w:val="none" w:sz="0" w:space="0" w:color="auto"/>
                <w:right w:val="none" w:sz="0" w:space="0" w:color="auto"/>
              </w:divBdr>
              <w:divsChild>
                <w:div w:id="1542091027">
                  <w:marLeft w:val="0"/>
                  <w:marRight w:val="0"/>
                  <w:marTop w:val="0"/>
                  <w:marBottom w:val="0"/>
                  <w:divBdr>
                    <w:top w:val="none" w:sz="0" w:space="0" w:color="auto"/>
                    <w:left w:val="none" w:sz="0" w:space="0" w:color="auto"/>
                    <w:bottom w:val="none" w:sz="0" w:space="0" w:color="auto"/>
                    <w:right w:val="none" w:sz="0" w:space="0" w:color="auto"/>
                  </w:divBdr>
                  <w:divsChild>
                    <w:div w:id="765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2958">
      <w:bodyDiv w:val="1"/>
      <w:marLeft w:val="0"/>
      <w:marRight w:val="0"/>
      <w:marTop w:val="0"/>
      <w:marBottom w:val="0"/>
      <w:divBdr>
        <w:top w:val="none" w:sz="0" w:space="0" w:color="auto"/>
        <w:left w:val="none" w:sz="0" w:space="0" w:color="auto"/>
        <w:bottom w:val="none" w:sz="0" w:space="0" w:color="auto"/>
        <w:right w:val="none" w:sz="0" w:space="0" w:color="auto"/>
      </w:divBdr>
      <w:divsChild>
        <w:div w:id="393043523">
          <w:marLeft w:val="0"/>
          <w:marRight w:val="0"/>
          <w:marTop w:val="0"/>
          <w:marBottom w:val="0"/>
          <w:divBdr>
            <w:top w:val="none" w:sz="0" w:space="0" w:color="auto"/>
            <w:left w:val="none" w:sz="0" w:space="0" w:color="auto"/>
            <w:bottom w:val="none" w:sz="0" w:space="0" w:color="auto"/>
            <w:right w:val="none" w:sz="0" w:space="0" w:color="auto"/>
          </w:divBdr>
        </w:div>
      </w:divsChild>
    </w:div>
    <w:div w:id="1398817857">
      <w:bodyDiv w:val="1"/>
      <w:marLeft w:val="0"/>
      <w:marRight w:val="0"/>
      <w:marTop w:val="0"/>
      <w:marBottom w:val="0"/>
      <w:divBdr>
        <w:top w:val="none" w:sz="0" w:space="0" w:color="auto"/>
        <w:left w:val="none" w:sz="0" w:space="0" w:color="auto"/>
        <w:bottom w:val="none" w:sz="0" w:space="0" w:color="auto"/>
        <w:right w:val="none" w:sz="0" w:space="0" w:color="auto"/>
      </w:divBdr>
    </w:div>
    <w:div w:id="1405029888">
      <w:bodyDiv w:val="1"/>
      <w:marLeft w:val="0"/>
      <w:marRight w:val="0"/>
      <w:marTop w:val="0"/>
      <w:marBottom w:val="0"/>
      <w:divBdr>
        <w:top w:val="none" w:sz="0" w:space="0" w:color="auto"/>
        <w:left w:val="none" w:sz="0" w:space="0" w:color="auto"/>
        <w:bottom w:val="none" w:sz="0" w:space="0" w:color="auto"/>
        <w:right w:val="none" w:sz="0" w:space="0" w:color="auto"/>
      </w:divBdr>
      <w:divsChild>
        <w:div w:id="145633736">
          <w:marLeft w:val="0"/>
          <w:marRight w:val="0"/>
          <w:marTop w:val="0"/>
          <w:marBottom w:val="0"/>
          <w:divBdr>
            <w:top w:val="none" w:sz="0" w:space="0" w:color="auto"/>
            <w:left w:val="none" w:sz="0" w:space="0" w:color="auto"/>
            <w:bottom w:val="none" w:sz="0" w:space="0" w:color="auto"/>
            <w:right w:val="none" w:sz="0" w:space="0" w:color="auto"/>
          </w:divBdr>
        </w:div>
        <w:div w:id="183371388">
          <w:marLeft w:val="0"/>
          <w:marRight w:val="0"/>
          <w:marTop w:val="0"/>
          <w:marBottom w:val="0"/>
          <w:divBdr>
            <w:top w:val="none" w:sz="0" w:space="0" w:color="auto"/>
            <w:left w:val="none" w:sz="0" w:space="0" w:color="auto"/>
            <w:bottom w:val="none" w:sz="0" w:space="0" w:color="auto"/>
            <w:right w:val="none" w:sz="0" w:space="0" w:color="auto"/>
          </w:divBdr>
        </w:div>
        <w:div w:id="423963838">
          <w:marLeft w:val="0"/>
          <w:marRight w:val="0"/>
          <w:marTop w:val="0"/>
          <w:marBottom w:val="0"/>
          <w:divBdr>
            <w:top w:val="none" w:sz="0" w:space="0" w:color="auto"/>
            <w:left w:val="none" w:sz="0" w:space="0" w:color="auto"/>
            <w:bottom w:val="none" w:sz="0" w:space="0" w:color="auto"/>
            <w:right w:val="none" w:sz="0" w:space="0" w:color="auto"/>
          </w:divBdr>
        </w:div>
        <w:div w:id="1739085340">
          <w:marLeft w:val="0"/>
          <w:marRight w:val="0"/>
          <w:marTop w:val="0"/>
          <w:marBottom w:val="0"/>
          <w:divBdr>
            <w:top w:val="none" w:sz="0" w:space="0" w:color="auto"/>
            <w:left w:val="none" w:sz="0" w:space="0" w:color="auto"/>
            <w:bottom w:val="none" w:sz="0" w:space="0" w:color="auto"/>
            <w:right w:val="none" w:sz="0" w:space="0" w:color="auto"/>
          </w:divBdr>
        </w:div>
      </w:divsChild>
    </w:div>
    <w:div w:id="1439762505">
      <w:bodyDiv w:val="1"/>
      <w:marLeft w:val="0"/>
      <w:marRight w:val="0"/>
      <w:marTop w:val="0"/>
      <w:marBottom w:val="0"/>
      <w:divBdr>
        <w:top w:val="none" w:sz="0" w:space="0" w:color="auto"/>
        <w:left w:val="none" w:sz="0" w:space="0" w:color="auto"/>
        <w:bottom w:val="none" w:sz="0" w:space="0" w:color="auto"/>
        <w:right w:val="none" w:sz="0" w:space="0" w:color="auto"/>
      </w:divBdr>
    </w:div>
    <w:div w:id="1440761511">
      <w:bodyDiv w:val="1"/>
      <w:marLeft w:val="0"/>
      <w:marRight w:val="0"/>
      <w:marTop w:val="0"/>
      <w:marBottom w:val="0"/>
      <w:divBdr>
        <w:top w:val="none" w:sz="0" w:space="0" w:color="auto"/>
        <w:left w:val="none" w:sz="0" w:space="0" w:color="auto"/>
        <w:bottom w:val="none" w:sz="0" w:space="0" w:color="auto"/>
        <w:right w:val="none" w:sz="0" w:space="0" w:color="auto"/>
      </w:divBdr>
    </w:div>
    <w:div w:id="1456018594">
      <w:bodyDiv w:val="1"/>
      <w:marLeft w:val="0"/>
      <w:marRight w:val="0"/>
      <w:marTop w:val="0"/>
      <w:marBottom w:val="0"/>
      <w:divBdr>
        <w:top w:val="none" w:sz="0" w:space="0" w:color="auto"/>
        <w:left w:val="none" w:sz="0" w:space="0" w:color="auto"/>
        <w:bottom w:val="none" w:sz="0" w:space="0" w:color="auto"/>
        <w:right w:val="none" w:sz="0" w:space="0" w:color="auto"/>
      </w:divBdr>
    </w:div>
    <w:div w:id="1481312518">
      <w:bodyDiv w:val="1"/>
      <w:marLeft w:val="0"/>
      <w:marRight w:val="0"/>
      <w:marTop w:val="0"/>
      <w:marBottom w:val="0"/>
      <w:divBdr>
        <w:top w:val="none" w:sz="0" w:space="0" w:color="auto"/>
        <w:left w:val="none" w:sz="0" w:space="0" w:color="auto"/>
        <w:bottom w:val="none" w:sz="0" w:space="0" w:color="auto"/>
        <w:right w:val="none" w:sz="0" w:space="0" w:color="auto"/>
      </w:divBdr>
    </w:div>
    <w:div w:id="1488595300">
      <w:bodyDiv w:val="1"/>
      <w:marLeft w:val="0"/>
      <w:marRight w:val="0"/>
      <w:marTop w:val="0"/>
      <w:marBottom w:val="0"/>
      <w:divBdr>
        <w:top w:val="none" w:sz="0" w:space="0" w:color="auto"/>
        <w:left w:val="none" w:sz="0" w:space="0" w:color="auto"/>
        <w:bottom w:val="none" w:sz="0" w:space="0" w:color="auto"/>
        <w:right w:val="none" w:sz="0" w:space="0" w:color="auto"/>
      </w:divBdr>
    </w:div>
    <w:div w:id="1496411996">
      <w:bodyDiv w:val="1"/>
      <w:marLeft w:val="0"/>
      <w:marRight w:val="0"/>
      <w:marTop w:val="0"/>
      <w:marBottom w:val="0"/>
      <w:divBdr>
        <w:top w:val="none" w:sz="0" w:space="0" w:color="auto"/>
        <w:left w:val="none" w:sz="0" w:space="0" w:color="auto"/>
        <w:bottom w:val="none" w:sz="0" w:space="0" w:color="auto"/>
        <w:right w:val="none" w:sz="0" w:space="0" w:color="auto"/>
      </w:divBdr>
    </w:div>
    <w:div w:id="1508446881">
      <w:bodyDiv w:val="1"/>
      <w:marLeft w:val="0"/>
      <w:marRight w:val="0"/>
      <w:marTop w:val="0"/>
      <w:marBottom w:val="0"/>
      <w:divBdr>
        <w:top w:val="none" w:sz="0" w:space="0" w:color="auto"/>
        <w:left w:val="none" w:sz="0" w:space="0" w:color="auto"/>
        <w:bottom w:val="none" w:sz="0" w:space="0" w:color="auto"/>
        <w:right w:val="none" w:sz="0" w:space="0" w:color="auto"/>
      </w:divBdr>
    </w:div>
    <w:div w:id="1510952093">
      <w:bodyDiv w:val="1"/>
      <w:marLeft w:val="0"/>
      <w:marRight w:val="0"/>
      <w:marTop w:val="0"/>
      <w:marBottom w:val="0"/>
      <w:divBdr>
        <w:top w:val="none" w:sz="0" w:space="0" w:color="auto"/>
        <w:left w:val="none" w:sz="0" w:space="0" w:color="auto"/>
        <w:bottom w:val="none" w:sz="0" w:space="0" w:color="auto"/>
        <w:right w:val="none" w:sz="0" w:space="0" w:color="auto"/>
      </w:divBdr>
    </w:div>
    <w:div w:id="1545436152">
      <w:bodyDiv w:val="1"/>
      <w:marLeft w:val="0"/>
      <w:marRight w:val="0"/>
      <w:marTop w:val="0"/>
      <w:marBottom w:val="0"/>
      <w:divBdr>
        <w:top w:val="none" w:sz="0" w:space="0" w:color="auto"/>
        <w:left w:val="none" w:sz="0" w:space="0" w:color="auto"/>
        <w:bottom w:val="none" w:sz="0" w:space="0" w:color="auto"/>
        <w:right w:val="none" w:sz="0" w:space="0" w:color="auto"/>
      </w:divBdr>
    </w:div>
    <w:div w:id="1604260616">
      <w:bodyDiv w:val="1"/>
      <w:marLeft w:val="0"/>
      <w:marRight w:val="0"/>
      <w:marTop w:val="0"/>
      <w:marBottom w:val="0"/>
      <w:divBdr>
        <w:top w:val="none" w:sz="0" w:space="0" w:color="auto"/>
        <w:left w:val="none" w:sz="0" w:space="0" w:color="auto"/>
        <w:bottom w:val="none" w:sz="0" w:space="0" w:color="auto"/>
        <w:right w:val="none" w:sz="0" w:space="0" w:color="auto"/>
      </w:divBdr>
    </w:div>
    <w:div w:id="1623879593">
      <w:bodyDiv w:val="1"/>
      <w:marLeft w:val="0"/>
      <w:marRight w:val="0"/>
      <w:marTop w:val="0"/>
      <w:marBottom w:val="0"/>
      <w:divBdr>
        <w:top w:val="none" w:sz="0" w:space="0" w:color="auto"/>
        <w:left w:val="none" w:sz="0" w:space="0" w:color="auto"/>
        <w:bottom w:val="none" w:sz="0" w:space="0" w:color="auto"/>
        <w:right w:val="none" w:sz="0" w:space="0" w:color="auto"/>
      </w:divBdr>
    </w:div>
    <w:div w:id="1638758156">
      <w:bodyDiv w:val="1"/>
      <w:marLeft w:val="0"/>
      <w:marRight w:val="0"/>
      <w:marTop w:val="0"/>
      <w:marBottom w:val="0"/>
      <w:divBdr>
        <w:top w:val="none" w:sz="0" w:space="0" w:color="auto"/>
        <w:left w:val="none" w:sz="0" w:space="0" w:color="auto"/>
        <w:bottom w:val="none" w:sz="0" w:space="0" w:color="auto"/>
        <w:right w:val="none" w:sz="0" w:space="0" w:color="auto"/>
      </w:divBdr>
    </w:div>
    <w:div w:id="1655596702">
      <w:bodyDiv w:val="1"/>
      <w:marLeft w:val="0"/>
      <w:marRight w:val="0"/>
      <w:marTop w:val="0"/>
      <w:marBottom w:val="0"/>
      <w:divBdr>
        <w:top w:val="none" w:sz="0" w:space="0" w:color="auto"/>
        <w:left w:val="none" w:sz="0" w:space="0" w:color="auto"/>
        <w:bottom w:val="none" w:sz="0" w:space="0" w:color="auto"/>
        <w:right w:val="none" w:sz="0" w:space="0" w:color="auto"/>
      </w:divBdr>
    </w:div>
    <w:div w:id="1674454105">
      <w:bodyDiv w:val="1"/>
      <w:marLeft w:val="0"/>
      <w:marRight w:val="0"/>
      <w:marTop w:val="0"/>
      <w:marBottom w:val="0"/>
      <w:divBdr>
        <w:top w:val="none" w:sz="0" w:space="0" w:color="auto"/>
        <w:left w:val="none" w:sz="0" w:space="0" w:color="auto"/>
        <w:bottom w:val="none" w:sz="0" w:space="0" w:color="auto"/>
        <w:right w:val="none" w:sz="0" w:space="0" w:color="auto"/>
      </w:divBdr>
    </w:div>
    <w:div w:id="1687710851">
      <w:bodyDiv w:val="1"/>
      <w:marLeft w:val="0"/>
      <w:marRight w:val="0"/>
      <w:marTop w:val="0"/>
      <w:marBottom w:val="0"/>
      <w:divBdr>
        <w:top w:val="none" w:sz="0" w:space="0" w:color="auto"/>
        <w:left w:val="none" w:sz="0" w:space="0" w:color="auto"/>
        <w:bottom w:val="none" w:sz="0" w:space="0" w:color="auto"/>
        <w:right w:val="none" w:sz="0" w:space="0" w:color="auto"/>
      </w:divBdr>
    </w:div>
    <w:div w:id="1716392154">
      <w:bodyDiv w:val="1"/>
      <w:marLeft w:val="0"/>
      <w:marRight w:val="0"/>
      <w:marTop w:val="0"/>
      <w:marBottom w:val="0"/>
      <w:divBdr>
        <w:top w:val="none" w:sz="0" w:space="0" w:color="auto"/>
        <w:left w:val="none" w:sz="0" w:space="0" w:color="auto"/>
        <w:bottom w:val="none" w:sz="0" w:space="0" w:color="auto"/>
        <w:right w:val="none" w:sz="0" w:space="0" w:color="auto"/>
      </w:divBdr>
    </w:div>
    <w:div w:id="1729256495">
      <w:bodyDiv w:val="1"/>
      <w:marLeft w:val="0"/>
      <w:marRight w:val="0"/>
      <w:marTop w:val="0"/>
      <w:marBottom w:val="0"/>
      <w:divBdr>
        <w:top w:val="none" w:sz="0" w:space="0" w:color="auto"/>
        <w:left w:val="none" w:sz="0" w:space="0" w:color="auto"/>
        <w:bottom w:val="none" w:sz="0" w:space="0" w:color="auto"/>
        <w:right w:val="none" w:sz="0" w:space="0" w:color="auto"/>
      </w:divBdr>
    </w:div>
    <w:div w:id="1736001663">
      <w:bodyDiv w:val="1"/>
      <w:marLeft w:val="0"/>
      <w:marRight w:val="0"/>
      <w:marTop w:val="0"/>
      <w:marBottom w:val="0"/>
      <w:divBdr>
        <w:top w:val="none" w:sz="0" w:space="0" w:color="auto"/>
        <w:left w:val="none" w:sz="0" w:space="0" w:color="auto"/>
        <w:bottom w:val="none" w:sz="0" w:space="0" w:color="auto"/>
        <w:right w:val="none" w:sz="0" w:space="0" w:color="auto"/>
      </w:divBdr>
      <w:divsChild>
        <w:div w:id="1144278237">
          <w:marLeft w:val="0"/>
          <w:marRight w:val="0"/>
          <w:marTop w:val="0"/>
          <w:marBottom w:val="0"/>
          <w:divBdr>
            <w:top w:val="none" w:sz="0" w:space="0" w:color="auto"/>
            <w:left w:val="none" w:sz="0" w:space="0" w:color="auto"/>
            <w:bottom w:val="none" w:sz="0" w:space="0" w:color="auto"/>
            <w:right w:val="none" w:sz="0" w:space="0" w:color="auto"/>
          </w:divBdr>
        </w:div>
        <w:div w:id="1637564759">
          <w:marLeft w:val="0"/>
          <w:marRight w:val="0"/>
          <w:marTop w:val="0"/>
          <w:marBottom w:val="0"/>
          <w:divBdr>
            <w:top w:val="none" w:sz="0" w:space="0" w:color="auto"/>
            <w:left w:val="none" w:sz="0" w:space="0" w:color="auto"/>
            <w:bottom w:val="none" w:sz="0" w:space="0" w:color="auto"/>
            <w:right w:val="none" w:sz="0" w:space="0" w:color="auto"/>
          </w:divBdr>
        </w:div>
      </w:divsChild>
    </w:div>
    <w:div w:id="1767843802">
      <w:bodyDiv w:val="1"/>
      <w:marLeft w:val="0"/>
      <w:marRight w:val="0"/>
      <w:marTop w:val="0"/>
      <w:marBottom w:val="0"/>
      <w:divBdr>
        <w:top w:val="none" w:sz="0" w:space="0" w:color="auto"/>
        <w:left w:val="none" w:sz="0" w:space="0" w:color="auto"/>
        <w:bottom w:val="none" w:sz="0" w:space="0" w:color="auto"/>
        <w:right w:val="none" w:sz="0" w:space="0" w:color="auto"/>
      </w:divBdr>
    </w:div>
    <w:div w:id="1805537687">
      <w:bodyDiv w:val="1"/>
      <w:marLeft w:val="0"/>
      <w:marRight w:val="0"/>
      <w:marTop w:val="0"/>
      <w:marBottom w:val="0"/>
      <w:divBdr>
        <w:top w:val="none" w:sz="0" w:space="0" w:color="auto"/>
        <w:left w:val="none" w:sz="0" w:space="0" w:color="auto"/>
        <w:bottom w:val="none" w:sz="0" w:space="0" w:color="auto"/>
        <w:right w:val="none" w:sz="0" w:space="0" w:color="auto"/>
      </w:divBdr>
    </w:div>
    <w:div w:id="1846940600">
      <w:bodyDiv w:val="1"/>
      <w:marLeft w:val="0"/>
      <w:marRight w:val="0"/>
      <w:marTop w:val="0"/>
      <w:marBottom w:val="0"/>
      <w:divBdr>
        <w:top w:val="none" w:sz="0" w:space="0" w:color="auto"/>
        <w:left w:val="none" w:sz="0" w:space="0" w:color="auto"/>
        <w:bottom w:val="none" w:sz="0" w:space="0" w:color="auto"/>
        <w:right w:val="none" w:sz="0" w:space="0" w:color="auto"/>
      </w:divBdr>
    </w:div>
    <w:div w:id="1874877703">
      <w:bodyDiv w:val="1"/>
      <w:marLeft w:val="0"/>
      <w:marRight w:val="0"/>
      <w:marTop w:val="0"/>
      <w:marBottom w:val="0"/>
      <w:divBdr>
        <w:top w:val="none" w:sz="0" w:space="0" w:color="auto"/>
        <w:left w:val="none" w:sz="0" w:space="0" w:color="auto"/>
        <w:bottom w:val="none" w:sz="0" w:space="0" w:color="auto"/>
        <w:right w:val="none" w:sz="0" w:space="0" w:color="auto"/>
      </w:divBdr>
    </w:div>
    <w:div w:id="1880896936">
      <w:bodyDiv w:val="1"/>
      <w:marLeft w:val="0"/>
      <w:marRight w:val="0"/>
      <w:marTop w:val="0"/>
      <w:marBottom w:val="0"/>
      <w:divBdr>
        <w:top w:val="none" w:sz="0" w:space="0" w:color="auto"/>
        <w:left w:val="none" w:sz="0" w:space="0" w:color="auto"/>
        <w:bottom w:val="none" w:sz="0" w:space="0" w:color="auto"/>
        <w:right w:val="none" w:sz="0" w:space="0" w:color="auto"/>
      </w:divBdr>
    </w:div>
    <w:div w:id="1881284063">
      <w:bodyDiv w:val="1"/>
      <w:marLeft w:val="0"/>
      <w:marRight w:val="0"/>
      <w:marTop w:val="0"/>
      <w:marBottom w:val="0"/>
      <w:divBdr>
        <w:top w:val="none" w:sz="0" w:space="0" w:color="auto"/>
        <w:left w:val="none" w:sz="0" w:space="0" w:color="auto"/>
        <w:bottom w:val="none" w:sz="0" w:space="0" w:color="auto"/>
        <w:right w:val="none" w:sz="0" w:space="0" w:color="auto"/>
      </w:divBdr>
      <w:divsChild>
        <w:div w:id="1019696460">
          <w:marLeft w:val="0"/>
          <w:marRight w:val="0"/>
          <w:marTop w:val="0"/>
          <w:marBottom w:val="0"/>
          <w:divBdr>
            <w:top w:val="none" w:sz="0" w:space="0" w:color="auto"/>
            <w:left w:val="none" w:sz="0" w:space="0" w:color="auto"/>
            <w:bottom w:val="none" w:sz="0" w:space="0" w:color="auto"/>
            <w:right w:val="none" w:sz="0" w:space="0" w:color="auto"/>
          </w:divBdr>
          <w:divsChild>
            <w:div w:id="813831595">
              <w:marLeft w:val="0"/>
              <w:marRight w:val="0"/>
              <w:marTop w:val="0"/>
              <w:marBottom w:val="0"/>
              <w:divBdr>
                <w:top w:val="none" w:sz="0" w:space="0" w:color="auto"/>
                <w:left w:val="none" w:sz="0" w:space="0" w:color="auto"/>
                <w:bottom w:val="none" w:sz="0" w:space="0" w:color="auto"/>
                <w:right w:val="none" w:sz="0" w:space="0" w:color="auto"/>
              </w:divBdr>
              <w:divsChild>
                <w:div w:id="1982224501">
                  <w:marLeft w:val="0"/>
                  <w:marRight w:val="0"/>
                  <w:marTop w:val="0"/>
                  <w:marBottom w:val="0"/>
                  <w:divBdr>
                    <w:top w:val="none" w:sz="0" w:space="0" w:color="auto"/>
                    <w:left w:val="none" w:sz="0" w:space="0" w:color="auto"/>
                    <w:bottom w:val="none" w:sz="0" w:space="0" w:color="auto"/>
                    <w:right w:val="none" w:sz="0" w:space="0" w:color="auto"/>
                  </w:divBdr>
                  <w:divsChild>
                    <w:div w:id="1534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3936">
      <w:bodyDiv w:val="1"/>
      <w:marLeft w:val="0"/>
      <w:marRight w:val="0"/>
      <w:marTop w:val="0"/>
      <w:marBottom w:val="0"/>
      <w:divBdr>
        <w:top w:val="none" w:sz="0" w:space="0" w:color="auto"/>
        <w:left w:val="none" w:sz="0" w:space="0" w:color="auto"/>
        <w:bottom w:val="none" w:sz="0" w:space="0" w:color="auto"/>
        <w:right w:val="none" w:sz="0" w:space="0" w:color="auto"/>
      </w:divBdr>
    </w:div>
    <w:div w:id="1909150449">
      <w:bodyDiv w:val="1"/>
      <w:marLeft w:val="0"/>
      <w:marRight w:val="0"/>
      <w:marTop w:val="0"/>
      <w:marBottom w:val="0"/>
      <w:divBdr>
        <w:top w:val="none" w:sz="0" w:space="0" w:color="auto"/>
        <w:left w:val="none" w:sz="0" w:space="0" w:color="auto"/>
        <w:bottom w:val="none" w:sz="0" w:space="0" w:color="auto"/>
        <w:right w:val="none" w:sz="0" w:space="0" w:color="auto"/>
      </w:divBdr>
    </w:div>
    <w:div w:id="1945308563">
      <w:bodyDiv w:val="1"/>
      <w:marLeft w:val="0"/>
      <w:marRight w:val="0"/>
      <w:marTop w:val="0"/>
      <w:marBottom w:val="0"/>
      <w:divBdr>
        <w:top w:val="none" w:sz="0" w:space="0" w:color="auto"/>
        <w:left w:val="none" w:sz="0" w:space="0" w:color="auto"/>
        <w:bottom w:val="none" w:sz="0" w:space="0" w:color="auto"/>
        <w:right w:val="none" w:sz="0" w:space="0" w:color="auto"/>
      </w:divBdr>
    </w:div>
    <w:div w:id="1947034741">
      <w:bodyDiv w:val="1"/>
      <w:marLeft w:val="0"/>
      <w:marRight w:val="0"/>
      <w:marTop w:val="0"/>
      <w:marBottom w:val="0"/>
      <w:divBdr>
        <w:top w:val="none" w:sz="0" w:space="0" w:color="auto"/>
        <w:left w:val="none" w:sz="0" w:space="0" w:color="auto"/>
        <w:bottom w:val="none" w:sz="0" w:space="0" w:color="auto"/>
        <w:right w:val="none" w:sz="0" w:space="0" w:color="auto"/>
      </w:divBdr>
    </w:div>
    <w:div w:id="1959793633">
      <w:bodyDiv w:val="1"/>
      <w:marLeft w:val="0"/>
      <w:marRight w:val="0"/>
      <w:marTop w:val="0"/>
      <w:marBottom w:val="0"/>
      <w:divBdr>
        <w:top w:val="none" w:sz="0" w:space="0" w:color="auto"/>
        <w:left w:val="none" w:sz="0" w:space="0" w:color="auto"/>
        <w:bottom w:val="none" w:sz="0" w:space="0" w:color="auto"/>
        <w:right w:val="none" w:sz="0" w:space="0" w:color="auto"/>
      </w:divBdr>
      <w:divsChild>
        <w:div w:id="177431368">
          <w:marLeft w:val="0"/>
          <w:marRight w:val="0"/>
          <w:marTop w:val="0"/>
          <w:marBottom w:val="0"/>
          <w:divBdr>
            <w:top w:val="none" w:sz="0" w:space="0" w:color="auto"/>
            <w:left w:val="none" w:sz="0" w:space="0" w:color="auto"/>
            <w:bottom w:val="none" w:sz="0" w:space="0" w:color="auto"/>
            <w:right w:val="none" w:sz="0" w:space="0" w:color="auto"/>
          </w:divBdr>
        </w:div>
        <w:div w:id="2130202349">
          <w:marLeft w:val="0"/>
          <w:marRight w:val="0"/>
          <w:marTop w:val="0"/>
          <w:marBottom w:val="0"/>
          <w:divBdr>
            <w:top w:val="none" w:sz="0" w:space="0" w:color="auto"/>
            <w:left w:val="none" w:sz="0" w:space="0" w:color="auto"/>
            <w:bottom w:val="none" w:sz="0" w:space="0" w:color="auto"/>
            <w:right w:val="none" w:sz="0" w:space="0" w:color="auto"/>
          </w:divBdr>
        </w:div>
      </w:divsChild>
    </w:div>
    <w:div w:id="1959797865">
      <w:bodyDiv w:val="1"/>
      <w:marLeft w:val="0"/>
      <w:marRight w:val="0"/>
      <w:marTop w:val="0"/>
      <w:marBottom w:val="0"/>
      <w:divBdr>
        <w:top w:val="none" w:sz="0" w:space="0" w:color="auto"/>
        <w:left w:val="none" w:sz="0" w:space="0" w:color="auto"/>
        <w:bottom w:val="none" w:sz="0" w:space="0" w:color="auto"/>
        <w:right w:val="none" w:sz="0" w:space="0" w:color="auto"/>
      </w:divBdr>
      <w:divsChild>
        <w:div w:id="85611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7221">
      <w:bodyDiv w:val="1"/>
      <w:marLeft w:val="0"/>
      <w:marRight w:val="0"/>
      <w:marTop w:val="0"/>
      <w:marBottom w:val="0"/>
      <w:divBdr>
        <w:top w:val="none" w:sz="0" w:space="0" w:color="auto"/>
        <w:left w:val="none" w:sz="0" w:space="0" w:color="auto"/>
        <w:bottom w:val="none" w:sz="0" w:space="0" w:color="auto"/>
        <w:right w:val="none" w:sz="0" w:space="0" w:color="auto"/>
      </w:divBdr>
    </w:div>
    <w:div w:id="2026247403">
      <w:bodyDiv w:val="1"/>
      <w:marLeft w:val="0"/>
      <w:marRight w:val="0"/>
      <w:marTop w:val="0"/>
      <w:marBottom w:val="0"/>
      <w:divBdr>
        <w:top w:val="none" w:sz="0" w:space="0" w:color="auto"/>
        <w:left w:val="none" w:sz="0" w:space="0" w:color="auto"/>
        <w:bottom w:val="none" w:sz="0" w:space="0" w:color="auto"/>
        <w:right w:val="none" w:sz="0" w:space="0" w:color="auto"/>
      </w:divBdr>
    </w:div>
    <w:div w:id="2041347792">
      <w:bodyDiv w:val="1"/>
      <w:marLeft w:val="0"/>
      <w:marRight w:val="0"/>
      <w:marTop w:val="0"/>
      <w:marBottom w:val="0"/>
      <w:divBdr>
        <w:top w:val="none" w:sz="0" w:space="0" w:color="auto"/>
        <w:left w:val="none" w:sz="0" w:space="0" w:color="auto"/>
        <w:bottom w:val="none" w:sz="0" w:space="0" w:color="auto"/>
        <w:right w:val="none" w:sz="0" w:space="0" w:color="auto"/>
      </w:divBdr>
    </w:div>
    <w:div w:id="2093044557">
      <w:bodyDiv w:val="1"/>
      <w:marLeft w:val="0"/>
      <w:marRight w:val="0"/>
      <w:marTop w:val="0"/>
      <w:marBottom w:val="0"/>
      <w:divBdr>
        <w:top w:val="none" w:sz="0" w:space="0" w:color="auto"/>
        <w:left w:val="none" w:sz="0" w:space="0" w:color="auto"/>
        <w:bottom w:val="none" w:sz="0" w:space="0" w:color="auto"/>
        <w:right w:val="none" w:sz="0" w:space="0" w:color="auto"/>
      </w:divBdr>
    </w:div>
    <w:div w:id="2107573195">
      <w:bodyDiv w:val="1"/>
      <w:marLeft w:val="0"/>
      <w:marRight w:val="0"/>
      <w:marTop w:val="0"/>
      <w:marBottom w:val="0"/>
      <w:divBdr>
        <w:top w:val="none" w:sz="0" w:space="0" w:color="auto"/>
        <w:left w:val="none" w:sz="0" w:space="0" w:color="auto"/>
        <w:bottom w:val="none" w:sz="0" w:space="0" w:color="auto"/>
        <w:right w:val="none" w:sz="0" w:space="0" w:color="auto"/>
      </w:divBdr>
    </w:div>
    <w:div w:id="2109423697">
      <w:bodyDiv w:val="1"/>
      <w:marLeft w:val="0"/>
      <w:marRight w:val="0"/>
      <w:marTop w:val="0"/>
      <w:marBottom w:val="0"/>
      <w:divBdr>
        <w:top w:val="none" w:sz="0" w:space="0" w:color="auto"/>
        <w:left w:val="none" w:sz="0" w:space="0" w:color="auto"/>
        <w:bottom w:val="none" w:sz="0" w:space="0" w:color="auto"/>
        <w:right w:val="none" w:sz="0" w:space="0" w:color="auto"/>
      </w:divBdr>
    </w:div>
    <w:div w:id="2126263438">
      <w:bodyDiv w:val="1"/>
      <w:marLeft w:val="0"/>
      <w:marRight w:val="0"/>
      <w:marTop w:val="0"/>
      <w:marBottom w:val="0"/>
      <w:divBdr>
        <w:top w:val="none" w:sz="0" w:space="0" w:color="auto"/>
        <w:left w:val="none" w:sz="0" w:space="0" w:color="auto"/>
        <w:bottom w:val="none" w:sz="0" w:space="0" w:color="auto"/>
        <w:right w:val="none" w:sz="0" w:space="0" w:color="auto"/>
      </w:divBdr>
    </w:div>
    <w:div w:id="21311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pe.moralesm@uanl.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7BC3-90F7-B64D-A698-9208D327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15751</Words>
  <Characters>89781</Characters>
  <Application>Microsoft Office Word</Application>
  <DocSecurity>0</DocSecurity>
  <Lines>748</Lines>
  <Paragraphs>210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Buffone</dc:creator>
  <cp:lastModifiedBy>Microsoft Office User</cp:lastModifiedBy>
  <cp:revision>4</cp:revision>
  <cp:lastPrinted>2019-08-23T16:49:00Z</cp:lastPrinted>
  <dcterms:created xsi:type="dcterms:W3CDTF">2020-05-21T14:43:00Z</dcterms:created>
  <dcterms:modified xsi:type="dcterms:W3CDTF">2020-05-21T15:28:00Z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9b0d691e-d3c2-367d-808c-330334d81490</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http://www.zotero.org/styles/archives-of-gynecology-and-obstetrics</vt:lpwstr>
  </property>
  <property fmtid="{D5CDD505-2E9C-101B-9397-08002B2CF9AE}" pid="9" name="Mendeley Recent Style Name 2_1">
    <vt:lpwstr>Archives of Gynecology and Obstetrics</vt:lpwstr>
  </property>
  <property fmtid="{D5CDD505-2E9C-101B-9397-08002B2CF9AE}" pid="10" name="Mendeley Recent Style Id 3_1">
    <vt:lpwstr>http://www.zotero.org/styles/bmc-developmental-biology</vt:lpwstr>
  </property>
  <property fmtid="{D5CDD505-2E9C-101B-9397-08002B2CF9AE}" pid="11" name="Mendeley Recent Style Name 3_1">
    <vt:lpwstr>BMC Developmental Biology</vt:lpwstr>
  </property>
  <property fmtid="{D5CDD505-2E9C-101B-9397-08002B2CF9AE}" pid="12" name="Mendeley Recent Style Id 4_1">
    <vt:lpwstr>http://www.zotero.org/styles/cell-calcium</vt:lpwstr>
  </property>
  <property fmtid="{D5CDD505-2E9C-101B-9397-08002B2CF9AE}" pid="13" name="Mendeley Recent Style Name 4_1">
    <vt:lpwstr>Cell Calcium</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http://csl.mendeley.com/styles/473630051/nature-PICT</vt:lpwstr>
  </property>
  <property fmtid="{D5CDD505-2E9C-101B-9397-08002B2CF9AE}" pid="17" name="Mendeley Recent Style Name 6_1">
    <vt:lpwstr>Nature - Labo 314</vt:lpwstr>
  </property>
  <property fmtid="{D5CDD505-2E9C-101B-9397-08002B2CF9AE}" pid="18" name="Mendeley Recent Style Id 7_1">
    <vt:lpwstr>http://www.zotero.org/styles/taylor-and-francis-apa</vt:lpwstr>
  </property>
  <property fmtid="{D5CDD505-2E9C-101B-9397-08002B2CF9AE}" pid="19" name="Mendeley Recent Style Name 7_1">
    <vt:lpwstr>Taylor &amp; Francis - APA</vt:lpwstr>
  </property>
  <property fmtid="{D5CDD505-2E9C-101B-9397-08002B2CF9AE}" pid="20" name="Mendeley Recent Style Id 8_1">
    <vt:lpwstr>http://www.zotero.org/styles/journal-of-biological-chemistry</vt:lpwstr>
  </property>
  <property fmtid="{D5CDD505-2E9C-101B-9397-08002B2CF9AE}" pid="21" name="Mendeley Recent Style Name 8_1">
    <vt:lpwstr>The Journal of Biological Chemistry</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http://www.zotero.org/styles/archives-of-gynecology-and-obstetrics</vt:lpwstr>
  </property>
</Properties>
</file>