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53" w:rsidRPr="00A608CA" w:rsidRDefault="005C5953" w:rsidP="005C5953">
      <w:pPr>
        <w:spacing w:line="480" w:lineRule="auto"/>
        <w:rPr>
          <w:rFonts w:ascii="Times New Roman" w:hAnsi="Times New Roman"/>
          <w:b/>
          <w:i/>
          <w:sz w:val="24"/>
          <w:szCs w:val="24"/>
        </w:rPr>
      </w:pPr>
      <w:r>
        <w:rPr>
          <w:rFonts w:ascii="Times New Roman" w:hAnsi="Times New Roman"/>
          <w:b/>
          <w:i/>
          <w:sz w:val="24"/>
          <w:szCs w:val="24"/>
        </w:rPr>
        <w:t>Sup</w:t>
      </w:r>
      <w:r>
        <w:rPr>
          <w:rFonts w:ascii="Times New Roman" w:hAnsi="Times New Roman" w:hint="eastAsia"/>
          <w:b/>
          <w:i/>
          <w:sz w:val="24"/>
          <w:szCs w:val="24"/>
        </w:rPr>
        <w:t>plementary data</w:t>
      </w:r>
      <w:r w:rsidRPr="00A608CA">
        <w:rPr>
          <w:rFonts w:ascii="Times New Roman" w:hAnsi="Times New Roman"/>
          <w:b/>
          <w:i/>
          <w:sz w:val="24"/>
          <w:szCs w:val="24"/>
        </w:rPr>
        <w:t xml:space="preserve"> for</w:t>
      </w:r>
    </w:p>
    <w:p w:rsidR="005C5953" w:rsidRPr="004C3C2D" w:rsidRDefault="005C5953" w:rsidP="005C5953">
      <w:pPr>
        <w:wordWrap/>
        <w:spacing w:line="480" w:lineRule="auto"/>
        <w:rPr>
          <w:rFonts w:ascii="Times New Roman" w:hAnsi="Times New Roman" w:cs="Times New Roman"/>
          <w:sz w:val="22"/>
          <w:szCs w:val="20"/>
        </w:rPr>
      </w:pPr>
      <w:r w:rsidRPr="004C3C2D">
        <w:rPr>
          <w:rFonts w:ascii="Times New Roman" w:hAnsi="Times New Roman" w:cs="Times New Roman"/>
          <w:sz w:val="22"/>
          <w:szCs w:val="20"/>
        </w:rPr>
        <w:t>The Axin2-Snail axis promotes bone invasion by activating cancer-associated fibroblasts in oral squamous cell carcinoma</w:t>
      </w:r>
    </w:p>
    <w:p w:rsidR="005C5953" w:rsidRPr="004C3C2D" w:rsidRDefault="005C5953" w:rsidP="005C5953">
      <w:pPr>
        <w:wordWrap/>
        <w:spacing w:line="480" w:lineRule="auto"/>
        <w:rPr>
          <w:rFonts w:ascii="Times New Roman" w:hAnsi="Times New Roman" w:cs="Times New Roman"/>
          <w:sz w:val="22"/>
          <w:szCs w:val="20"/>
        </w:rPr>
      </w:pPr>
    </w:p>
    <w:p w:rsidR="005C5953" w:rsidRPr="004C3C2D" w:rsidRDefault="005C5953" w:rsidP="005C5953">
      <w:pPr>
        <w:wordWrap/>
        <w:spacing w:after="0" w:line="480" w:lineRule="auto"/>
        <w:rPr>
          <w:rFonts w:ascii="Times New Roman" w:hAnsi="Times New Roman" w:cs="Times New Roman"/>
          <w:sz w:val="22"/>
          <w:szCs w:val="20"/>
        </w:rPr>
      </w:pPr>
      <w:r w:rsidRPr="004C3C2D">
        <w:rPr>
          <w:rFonts w:ascii="Times New Roman" w:eastAsia="DengXian" w:hAnsi="Times New Roman" w:cs="Times New Roman"/>
          <w:sz w:val="22"/>
          <w:szCs w:val="20"/>
          <w:lang w:eastAsia="zh-CN"/>
        </w:rPr>
        <w:t>Yin-</w:t>
      </w:r>
      <w:proofErr w:type="spellStart"/>
      <w:r w:rsidRPr="004C3C2D">
        <w:rPr>
          <w:rFonts w:ascii="Times New Roman" w:eastAsia="DengXian" w:hAnsi="Times New Roman" w:cs="Times New Roman"/>
          <w:sz w:val="22"/>
          <w:szCs w:val="20"/>
          <w:lang w:eastAsia="zh-CN"/>
        </w:rPr>
        <w:t>Zhe</w:t>
      </w:r>
      <w:proofErr w:type="spellEnd"/>
      <w:r w:rsidRPr="004C3C2D">
        <w:rPr>
          <w:rFonts w:ascii="Times New Roman" w:eastAsia="DengXian" w:hAnsi="Times New Roman" w:cs="Times New Roman"/>
          <w:sz w:val="22"/>
          <w:szCs w:val="20"/>
          <w:lang w:eastAsia="zh-CN"/>
        </w:rPr>
        <w:t xml:space="preserve"> An</w:t>
      </w:r>
      <w:r w:rsidRPr="004C3C2D">
        <w:rPr>
          <w:rFonts w:ascii="Times New Roman" w:eastAsia="DengXian" w:hAnsi="Times New Roman" w:cs="Times New Roman"/>
          <w:sz w:val="22"/>
          <w:szCs w:val="20"/>
          <w:vertAlign w:val="superscript"/>
          <w:lang w:eastAsia="zh-CN"/>
        </w:rPr>
        <w:t>1</w:t>
      </w:r>
      <w:r w:rsidRPr="004C3C2D">
        <w:rPr>
          <w:rFonts w:ascii="Times New Roman" w:hAnsi="Times New Roman" w:cs="Times New Roman"/>
          <w:sz w:val="22"/>
          <w:szCs w:val="20"/>
          <w:vertAlign w:val="superscript"/>
        </w:rPr>
        <w:t>*</w:t>
      </w:r>
      <w:r w:rsidRPr="004C3C2D">
        <w:rPr>
          <w:rFonts w:ascii="Times New Roman" w:eastAsia="DengXian" w:hAnsi="Times New Roman" w:cs="Times New Roman"/>
          <w:sz w:val="22"/>
          <w:szCs w:val="20"/>
          <w:lang w:eastAsia="zh-CN"/>
        </w:rPr>
        <w:t xml:space="preserve">, </w:t>
      </w:r>
      <w:proofErr w:type="spellStart"/>
      <w:r w:rsidRPr="004C3C2D">
        <w:rPr>
          <w:rFonts w:ascii="Times New Roman" w:eastAsia="바탕" w:hAnsi="Times New Roman" w:cs="Times New Roman"/>
          <w:sz w:val="22"/>
          <w:szCs w:val="20"/>
        </w:rPr>
        <w:t>Eunae</w:t>
      </w:r>
      <w:proofErr w:type="spellEnd"/>
      <w:r w:rsidRPr="004C3C2D">
        <w:rPr>
          <w:rFonts w:ascii="Times New Roman" w:eastAsia="바탕" w:hAnsi="Times New Roman" w:cs="Times New Roman"/>
          <w:sz w:val="22"/>
          <w:szCs w:val="20"/>
        </w:rPr>
        <w:t xml:space="preserve"> Cho</w:t>
      </w:r>
      <w:r w:rsidRPr="004C3C2D">
        <w:rPr>
          <w:rFonts w:ascii="Times New Roman" w:eastAsia="바탕" w:hAnsi="Times New Roman" w:cs="Times New Roman"/>
          <w:sz w:val="22"/>
          <w:szCs w:val="20"/>
          <w:vertAlign w:val="superscript"/>
        </w:rPr>
        <w:t>2*</w:t>
      </w:r>
      <w:r w:rsidRPr="004C3C2D">
        <w:rPr>
          <w:rFonts w:ascii="Times New Roman" w:eastAsia="바탕" w:hAnsi="Times New Roman" w:cs="Times New Roman"/>
          <w:sz w:val="22"/>
          <w:szCs w:val="20"/>
        </w:rPr>
        <w:t xml:space="preserve">, </w:t>
      </w:r>
      <w:proofErr w:type="spellStart"/>
      <w:r w:rsidRPr="004C3C2D">
        <w:rPr>
          <w:rFonts w:ascii="Times New Roman" w:eastAsia="DengXian" w:hAnsi="Times New Roman" w:cs="Times New Roman"/>
          <w:sz w:val="22"/>
          <w:szCs w:val="20"/>
          <w:lang w:eastAsia="zh-CN"/>
        </w:rPr>
        <w:t>Junqi</w:t>
      </w:r>
      <w:proofErr w:type="spellEnd"/>
      <w:r w:rsidRPr="004C3C2D">
        <w:rPr>
          <w:rFonts w:ascii="Times New Roman" w:eastAsia="DengXian" w:hAnsi="Times New Roman" w:cs="Times New Roman"/>
          <w:sz w:val="22"/>
          <w:szCs w:val="20"/>
          <w:lang w:eastAsia="zh-CN"/>
        </w:rPr>
        <w:t xml:space="preserve"> ling</w:t>
      </w:r>
      <w:r w:rsidRPr="004C3C2D">
        <w:rPr>
          <w:rFonts w:ascii="Times New Roman" w:eastAsia="DengXian" w:hAnsi="Times New Roman" w:cs="Times New Roman"/>
          <w:sz w:val="22"/>
          <w:szCs w:val="20"/>
          <w:vertAlign w:val="superscript"/>
          <w:lang w:eastAsia="zh-CN"/>
        </w:rPr>
        <w:t>1</w:t>
      </w:r>
      <w:proofErr w:type="gramStart"/>
      <w:r w:rsidRPr="004C3C2D">
        <w:rPr>
          <w:rFonts w:ascii="Times New Roman" w:eastAsia="DengXian" w:hAnsi="Times New Roman" w:cs="Times New Roman"/>
          <w:sz w:val="22"/>
          <w:szCs w:val="20"/>
          <w:vertAlign w:val="superscript"/>
          <w:lang w:eastAsia="zh-CN"/>
        </w:rPr>
        <w:t>,</w:t>
      </w:r>
      <w:r w:rsidRPr="004C3C2D">
        <w:rPr>
          <w:rFonts w:ascii="Times New Roman" w:hAnsi="Times New Roman" w:cs="Times New Roman"/>
          <w:sz w:val="22"/>
          <w:szCs w:val="20"/>
          <w:vertAlign w:val="superscript"/>
        </w:rPr>
        <w:t>3</w:t>
      </w:r>
      <w:proofErr w:type="gramEnd"/>
      <w:r w:rsidRPr="004C3C2D">
        <w:rPr>
          <w:rFonts w:ascii="Times New Roman" w:hAnsi="Times New Roman" w:cs="Times New Roman"/>
          <w:sz w:val="22"/>
          <w:szCs w:val="20"/>
        </w:rPr>
        <w:t xml:space="preserve">, </w:t>
      </w:r>
      <w:proofErr w:type="spellStart"/>
      <w:r w:rsidRPr="004C3C2D">
        <w:rPr>
          <w:rFonts w:ascii="Times New Roman" w:eastAsia="DengXian" w:hAnsi="Times New Roman" w:cs="Times New Roman"/>
          <w:sz w:val="22"/>
          <w:szCs w:val="20"/>
          <w:lang w:eastAsia="zh-CN"/>
        </w:rPr>
        <w:t>Xianglan</w:t>
      </w:r>
      <w:proofErr w:type="spellEnd"/>
      <w:r w:rsidRPr="004C3C2D">
        <w:rPr>
          <w:rFonts w:ascii="Times New Roman" w:eastAsia="DengXian" w:hAnsi="Times New Roman" w:cs="Times New Roman"/>
          <w:sz w:val="22"/>
          <w:szCs w:val="20"/>
          <w:lang w:eastAsia="zh-CN"/>
        </w:rPr>
        <w:t xml:space="preserve"> Zhang</w:t>
      </w:r>
      <w:r w:rsidRPr="004C3C2D">
        <w:rPr>
          <w:rFonts w:ascii="Times New Roman" w:hAnsi="Times New Roman" w:cs="Times New Roman"/>
          <w:sz w:val="22"/>
          <w:szCs w:val="20"/>
          <w:vertAlign w:val="superscript"/>
        </w:rPr>
        <w:t>4</w:t>
      </w:r>
      <w:r w:rsidRPr="004C3C2D">
        <w:rPr>
          <w:rFonts w:ascii="Times New Roman" w:eastAsia="DengXian" w:hAnsi="Times New Roman" w:cs="Times New Roman"/>
          <w:sz w:val="22"/>
          <w:szCs w:val="20"/>
          <w:vertAlign w:val="superscript"/>
          <w:lang w:eastAsia="zh-CN"/>
        </w:rPr>
        <w:t>,</w:t>
      </w:r>
      <w:r w:rsidRPr="004C3C2D">
        <w:rPr>
          <w:rFonts w:ascii="Times New Roman" w:hAnsi="Times New Roman" w:cs="Times New Roman"/>
          <w:sz w:val="22"/>
          <w:szCs w:val="20"/>
          <w:vertAlign w:val="superscript"/>
        </w:rPr>
        <w:t>5</w:t>
      </w:r>
    </w:p>
    <w:p w:rsidR="005C5953" w:rsidRPr="004C3C2D" w:rsidRDefault="005C5953" w:rsidP="005C5953">
      <w:pPr>
        <w:wordWrap/>
        <w:spacing w:after="0" w:line="480" w:lineRule="auto"/>
        <w:rPr>
          <w:rFonts w:ascii="Times New Roman" w:hAnsi="Times New Roman" w:cs="Times New Roman"/>
          <w:sz w:val="22"/>
          <w:szCs w:val="20"/>
        </w:rPr>
      </w:pPr>
      <w:r w:rsidRPr="004C3C2D">
        <w:rPr>
          <w:rFonts w:ascii="Times New Roman" w:eastAsia="DengXian" w:hAnsi="Times New Roman" w:cs="Times New Roman"/>
          <w:sz w:val="22"/>
          <w:szCs w:val="20"/>
          <w:vertAlign w:val="superscript"/>
          <w:lang w:eastAsia="zh-CN"/>
        </w:rPr>
        <w:t>1</w:t>
      </w:r>
      <w:r w:rsidRPr="004C3C2D">
        <w:rPr>
          <w:rFonts w:ascii="Times New Roman" w:eastAsia="DengXian" w:hAnsi="Times New Roman" w:cs="Times New Roman"/>
          <w:sz w:val="22"/>
          <w:szCs w:val="20"/>
          <w:lang w:eastAsia="zh-CN"/>
        </w:rPr>
        <w:t>Key laboratory of Oral Medicine, Guangzhou Institute of Oral Disease, Affiliated Stomatology Hospital of Guangzhou Medical University, Guangzhou, Guangdong, China.</w:t>
      </w:r>
    </w:p>
    <w:p w:rsidR="005C5953" w:rsidRPr="004C3C2D" w:rsidRDefault="005C5953" w:rsidP="005C5953">
      <w:pPr>
        <w:wordWrap/>
        <w:spacing w:after="0" w:line="480" w:lineRule="auto"/>
        <w:rPr>
          <w:rFonts w:ascii="Times New Roman" w:hAnsi="Times New Roman" w:cs="Times New Roman"/>
          <w:sz w:val="22"/>
          <w:szCs w:val="20"/>
          <w:lang w:val="en"/>
        </w:rPr>
      </w:pPr>
      <w:proofErr w:type="gramStart"/>
      <w:r w:rsidRPr="004C3C2D">
        <w:rPr>
          <w:rFonts w:ascii="Times New Roman" w:hAnsi="Times New Roman" w:cs="Times New Roman"/>
          <w:sz w:val="22"/>
          <w:szCs w:val="20"/>
          <w:vertAlign w:val="superscript"/>
        </w:rPr>
        <w:t>2</w:t>
      </w:r>
      <w:r w:rsidRPr="004C3C2D">
        <w:rPr>
          <w:rFonts w:ascii="Times New Roman" w:hAnsi="Times New Roman" w:cs="Times New Roman"/>
          <w:sz w:val="22"/>
          <w:szCs w:val="20"/>
          <w:lang w:val="en"/>
        </w:rPr>
        <w:t xml:space="preserve">Department of Oral Pathology, Oral Cancer Research Institute, </w:t>
      </w:r>
      <w:proofErr w:type="spellStart"/>
      <w:r w:rsidRPr="004C3C2D">
        <w:rPr>
          <w:rFonts w:ascii="Times New Roman" w:hAnsi="Times New Roman" w:cs="Times New Roman"/>
          <w:sz w:val="22"/>
          <w:szCs w:val="20"/>
          <w:lang w:val="en"/>
        </w:rPr>
        <w:t>Yonsei</w:t>
      </w:r>
      <w:proofErr w:type="spellEnd"/>
      <w:r w:rsidRPr="004C3C2D">
        <w:rPr>
          <w:rFonts w:ascii="Times New Roman" w:hAnsi="Times New Roman" w:cs="Times New Roman"/>
          <w:sz w:val="22"/>
          <w:szCs w:val="20"/>
          <w:lang w:val="en"/>
        </w:rPr>
        <w:t xml:space="preserve"> University College of Dentistry, Seoul, Republic of Korea.</w:t>
      </w:r>
      <w:proofErr w:type="gramEnd"/>
    </w:p>
    <w:p w:rsidR="005C5953" w:rsidRPr="004C3C2D" w:rsidRDefault="005C5953" w:rsidP="005C5953">
      <w:pPr>
        <w:wordWrap/>
        <w:spacing w:after="0" w:line="480" w:lineRule="auto"/>
        <w:rPr>
          <w:rFonts w:ascii="Times New Roman" w:eastAsia="DengXian" w:hAnsi="Times New Roman" w:cs="Times New Roman"/>
          <w:sz w:val="22"/>
          <w:szCs w:val="20"/>
          <w:lang w:eastAsia="zh-CN"/>
        </w:rPr>
      </w:pPr>
      <w:r w:rsidRPr="004C3C2D">
        <w:rPr>
          <w:rFonts w:ascii="Times New Roman" w:hAnsi="Times New Roman" w:cs="Times New Roman"/>
          <w:sz w:val="22"/>
          <w:szCs w:val="20"/>
          <w:vertAlign w:val="superscript"/>
        </w:rPr>
        <w:t>3</w:t>
      </w:r>
      <w:r w:rsidRPr="004C3C2D">
        <w:rPr>
          <w:rFonts w:ascii="Times New Roman" w:eastAsia="DengXian" w:hAnsi="Times New Roman" w:cs="Times New Roman"/>
          <w:sz w:val="22"/>
          <w:szCs w:val="20"/>
          <w:lang w:eastAsia="zh-CN"/>
        </w:rPr>
        <w:t xml:space="preserve">Department of </w:t>
      </w:r>
      <w:proofErr w:type="spellStart"/>
      <w:r w:rsidRPr="004C3C2D">
        <w:rPr>
          <w:rFonts w:ascii="Times New Roman" w:eastAsia="DengXian" w:hAnsi="Times New Roman" w:cs="Times New Roman"/>
          <w:sz w:val="22"/>
          <w:szCs w:val="20"/>
          <w:lang w:eastAsia="zh-CN"/>
        </w:rPr>
        <w:t>Endodontics</w:t>
      </w:r>
      <w:proofErr w:type="spellEnd"/>
      <w:r w:rsidRPr="004C3C2D">
        <w:rPr>
          <w:rFonts w:ascii="Times New Roman" w:eastAsia="DengXian" w:hAnsi="Times New Roman" w:cs="Times New Roman"/>
          <w:sz w:val="22"/>
          <w:szCs w:val="20"/>
          <w:lang w:eastAsia="zh-CN"/>
        </w:rPr>
        <w:t xml:space="preserve">, </w:t>
      </w:r>
      <w:proofErr w:type="spellStart"/>
      <w:r w:rsidRPr="004C3C2D">
        <w:rPr>
          <w:rFonts w:ascii="Times New Roman" w:eastAsia="DengXian" w:hAnsi="Times New Roman" w:cs="Times New Roman"/>
          <w:sz w:val="22"/>
          <w:szCs w:val="20"/>
          <w:lang w:eastAsia="zh-CN"/>
        </w:rPr>
        <w:t>Guanghua</w:t>
      </w:r>
      <w:proofErr w:type="spellEnd"/>
      <w:r w:rsidRPr="004C3C2D">
        <w:rPr>
          <w:rFonts w:ascii="Times New Roman" w:eastAsia="DengXian" w:hAnsi="Times New Roman" w:cs="Times New Roman"/>
          <w:sz w:val="22"/>
          <w:szCs w:val="20"/>
          <w:lang w:eastAsia="zh-CN"/>
        </w:rPr>
        <w:t xml:space="preserve"> School of Stomatology, Guangdong Provincial Key Laboratory of Stomatology, Sun </w:t>
      </w:r>
      <w:proofErr w:type="spellStart"/>
      <w:r w:rsidRPr="004C3C2D">
        <w:rPr>
          <w:rFonts w:ascii="Times New Roman" w:eastAsia="DengXian" w:hAnsi="Times New Roman" w:cs="Times New Roman"/>
          <w:sz w:val="22"/>
          <w:szCs w:val="20"/>
          <w:lang w:eastAsia="zh-CN"/>
        </w:rPr>
        <w:t>Yat-Sen</w:t>
      </w:r>
      <w:proofErr w:type="spellEnd"/>
      <w:r w:rsidRPr="004C3C2D">
        <w:rPr>
          <w:rFonts w:ascii="Times New Roman" w:eastAsia="DengXian" w:hAnsi="Times New Roman" w:cs="Times New Roman"/>
          <w:sz w:val="22"/>
          <w:szCs w:val="20"/>
          <w:lang w:eastAsia="zh-CN"/>
        </w:rPr>
        <w:t xml:space="preserve"> University, Guangzhou, Guangdong 510055, P.R. China.</w:t>
      </w:r>
    </w:p>
    <w:p w:rsidR="005C5953" w:rsidRPr="004C3C2D" w:rsidRDefault="005C5953" w:rsidP="005C5953">
      <w:pPr>
        <w:wordWrap/>
        <w:spacing w:after="0" w:line="480" w:lineRule="auto"/>
        <w:rPr>
          <w:rFonts w:ascii="Times New Roman" w:hAnsi="Times New Roman" w:cs="Times New Roman"/>
          <w:sz w:val="22"/>
          <w:szCs w:val="20"/>
        </w:rPr>
      </w:pPr>
      <w:proofErr w:type="gramStart"/>
      <w:r w:rsidRPr="004C3C2D">
        <w:rPr>
          <w:rFonts w:ascii="Times New Roman" w:hAnsi="Times New Roman" w:cs="Times New Roman"/>
          <w:sz w:val="22"/>
          <w:szCs w:val="20"/>
          <w:vertAlign w:val="superscript"/>
        </w:rPr>
        <w:t>4</w:t>
      </w:r>
      <w:r w:rsidRPr="004C3C2D">
        <w:rPr>
          <w:rFonts w:ascii="Times New Roman" w:eastAsia="DengXian" w:hAnsi="Times New Roman" w:cs="Times New Roman"/>
          <w:sz w:val="22"/>
          <w:szCs w:val="20"/>
          <w:lang w:eastAsia="zh-CN"/>
        </w:rPr>
        <w:t xml:space="preserve">Department of Pathology, </w:t>
      </w:r>
      <w:proofErr w:type="spellStart"/>
      <w:r w:rsidRPr="004C3C2D">
        <w:rPr>
          <w:rFonts w:ascii="Times New Roman" w:eastAsia="DengXian" w:hAnsi="Times New Roman" w:cs="Times New Roman"/>
          <w:sz w:val="22"/>
          <w:szCs w:val="20"/>
          <w:lang w:eastAsia="zh-CN"/>
        </w:rPr>
        <w:t>Yanbian</w:t>
      </w:r>
      <w:proofErr w:type="spellEnd"/>
      <w:r w:rsidRPr="004C3C2D">
        <w:rPr>
          <w:rFonts w:ascii="Times New Roman" w:eastAsia="DengXian" w:hAnsi="Times New Roman" w:cs="Times New Roman"/>
          <w:sz w:val="22"/>
          <w:szCs w:val="20"/>
          <w:lang w:eastAsia="zh-CN"/>
        </w:rPr>
        <w:t xml:space="preserve"> University hospital, </w:t>
      </w:r>
      <w:proofErr w:type="spellStart"/>
      <w:r w:rsidRPr="004C3C2D">
        <w:rPr>
          <w:rFonts w:ascii="Times New Roman" w:eastAsia="DengXian" w:hAnsi="Times New Roman" w:cs="Times New Roman"/>
          <w:sz w:val="22"/>
          <w:szCs w:val="20"/>
          <w:lang w:eastAsia="zh-CN"/>
        </w:rPr>
        <w:t>Yanji</w:t>
      </w:r>
      <w:proofErr w:type="spellEnd"/>
      <w:r w:rsidRPr="004C3C2D">
        <w:rPr>
          <w:rFonts w:ascii="Times New Roman" w:eastAsia="DengXian" w:hAnsi="Times New Roman" w:cs="Times New Roman"/>
          <w:sz w:val="22"/>
          <w:szCs w:val="20"/>
          <w:lang w:eastAsia="zh-CN"/>
        </w:rPr>
        <w:t>, Jilin, China.</w:t>
      </w:r>
      <w:proofErr w:type="gramEnd"/>
    </w:p>
    <w:p w:rsidR="005C5953" w:rsidRPr="004C3C2D" w:rsidRDefault="005C5953" w:rsidP="005C5953">
      <w:pPr>
        <w:wordWrap/>
        <w:spacing w:after="0" w:line="480" w:lineRule="auto"/>
        <w:rPr>
          <w:rFonts w:ascii="Times New Roman" w:hAnsi="Times New Roman" w:cs="Times New Roman"/>
          <w:sz w:val="22"/>
          <w:szCs w:val="20"/>
        </w:rPr>
      </w:pPr>
      <w:r w:rsidRPr="004C3C2D">
        <w:rPr>
          <w:rFonts w:ascii="Times New Roman" w:hAnsi="Times New Roman" w:cs="Times New Roman"/>
          <w:sz w:val="22"/>
          <w:szCs w:val="20"/>
          <w:vertAlign w:val="superscript"/>
        </w:rPr>
        <w:t>5</w:t>
      </w:r>
      <w:r w:rsidRPr="004C3C2D">
        <w:rPr>
          <w:rFonts w:ascii="Times New Roman" w:hAnsi="Times New Roman" w:cs="Times New Roman"/>
          <w:sz w:val="22"/>
          <w:szCs w:val="20"/>
        </w:rPr>
        <w:t xml:space="preserve">Oral Cancer Research Institute, </w:t>
      </w:r>
      <w:proofErr w:type="spellStart"/>
      <w:r w:rsidRPr="004C3C2D">
        <w:rPr>
          <w:rFonts w:ascii="Times New Roman" w:hAnsi="Times New Roman" w:cs="Times New Roman"/>
          <w:sz w:val="22"/>
          <w:szCs w:val="20"/>
        </w:rPr>
        <w:t>Yonsei</w:t>
      </w:r>
      <w:proofErr w:type="spellEnd"/>
      <w:r w:rsidRPr="004C3C2D">
        <w:rPr>
          <w:rFonts w:ascii="Times New Roman" w:hAnsi="Times New Roman" w:cs="Times New Roman"/>
          <w:sz w:val="22"/>
          <w:szCs w:val="20"/>
        </w:rPr>
        <w:t xml:space="preserve"> University College of Dentistry, Seoul, Republic of Korea</w:t>
      </w:r>
    </w:p>
    <w:p w:rsidR="005C5953" w:rsidRPr="004C3C2D" w:rsidRDefault="005C5953" w:rsidP="005C5953">
      <w:pPr>
        <w:wordWrap/>
        <w:spacing w:after="0" w:line="480" w:lineRule="auto"/>
        <w:rPr>
          <w:rFonts w:ascii="Times New Roman" w:hAnsi="Times New Roman" w:cs="Times New Roman"/>
          <w:sz w:val="22"/>
          <w:szCs w:val="20"/>
        </w:rPr>
      </w:pPr>
    </w:p>
    <w:p w:rsidR="005C5953" w:rsidRPr="004C3C2D" w:rsidRDefault="005C5953" w:rsidP="005C5953">
      <w:pPr>
        <w:wordWrap/>
        <w:spacing w:after="0" w:line="480" w:lineRule="auto"/>
        <w:rPr>
          <w:rFonts w:ascii="Times New Roman" w:hAnsi="Times New Roman" w:cs="Times New Roman"/>
          <w:sz w:val="22"/>
          <w:szCs w:val="20"/>
        </w:rPr>
      </w:pPr>
      <w:r w:rsidRPr="004C3C2D">
        <w:rPr>
          <w:rFonts w:ascii="Times New Roman" w:hAnsi="Times New Roman" w:cs="Times New Roman"/>
          <w:sz w:val="22"/>
          <w:szCs w:val="20"/>
        </w:rPr>
        <w:t>* These two authors contributed equally.</w:t>
      </w:r>
    </w:p>
    <w:p w:rsidR="005C5953" w:rsidRPr="004C3C2D" w:rsidRDefault="005C5953" w:rsidP="005C5953">
      <w:pPr>
        <w:wordWrap/>
        <w:spacing w:after="0" w:line="480" w:lineRule="auto"/>
        <w:rPr>
          <w:rFonts w:ascii="Times New Roman" w:eastAsia="DengXian" w:hAnsi="Times New Roman" w:cs="Times New Roman"/>
          <w:sz w:val="22"/>
          <w:szCs w:val="20"/>
          <w:lang w:eastAsia="zh-CN"/>
        </w:rPr>
      </w:pPr>
    </w:p>
    <w:p w:rsidR="005C5953" w:rsidRPr="004C3C2D" w:rsidRDefault="005C5953" w:rsidP="005C5953">
      <w:pPr>
        <w:kinsoku w:val="0"/>
        <w:wordWrap/>
        <w:overflowPunct w:val="0"/>
        <w:spacing w:after="0" w:line="480" w:lineRule="auto"/>
        <w:rPr>
          <w:rFonts w:ascii="Times New Roman" w:hAnsi="Times New Roman" w:cs="Times New Roman"/>
          <w:sz w:val="22"/>
          <w:szCs w:val="20"/>
        </w:rPr>
      </w:pPr>
      <w:r w:rsidRPr="004C3C2D">
        <w:rPr>
          <w:rFonts w:ascii="Times New Roman" w:eastAsia="DengXian" w:hAnsi="Times New Roman" w:cs="Times New Roman"/>
          <w:b/>
          <w:sz w:val="22"/>
          <w:szCs w:val="20"/>
          <w:lang w:eastAsia="zh-CN"/>
        </w:rPr>
        <w:t>Correspondence to:</w:t>
      </w:r>
      <w:r w:rsidRPr="004C3C2D">
        <w:rPr>
          <w:rFonts w:ascii="Times New Roman" w:eastAsia="DengXian" w:hAnsi="Times New Roman" w:cs="Times New Roman"/>
          <w:sz w:val="22"/>
          <w:szCs w:val="20"/>
          <w:lang w:eastAsia="zh-CN"/>
        </w:rPr>
        <w:t xml:space="preserve"> </w:t>
      </w:r>
    </w:p>
    <w:p w:rsidR="005C5953" w:rsidRPr="004C3C2D" w:rsidRDefault="005C5953" w:rsidP="005C5953">
      <w:pPr>
        <w:kinsoku w:val="0"/>
        <w:wordWrap/>
        <w:overflowPunct w:val="0"/>
        <w:spacing w:after="0" w:line="480" w:lineRule="auto"/>
        <w:rPr>
          <w:rFonts w:ascii="Times New Roman" w:hAnsi="Times New Roman" w:cs="Times New Roman"/>
          <w:sz w:val="22"/>
          <w:szCs w:val="20"/>
        </w:rPr>
      </w:pPr>
      <w:proofErr w:type="spellStart"/>
      <w:r w:rsidRPr="004C3C2D">
        <w:rPr>
          <w:rFonts w:ascii="Times New Roman" w:hAnsi="Times New Roman" w:cs="Times New Roman"/>
          <w:sz w:val="22"/>
          <w:szCs w:val="20"/>
        </w:rPr>
        <w:t>Xianglan</w:t>
      </w:r>
      <w:proofErr w:type="spellEnd"/>
      <w:r w:rsidRPr="004C3C2D">
        <w:rPr>
          <w:rFonts w:ascii="Times New Roman" w:hAnsi="Times New Roman" w:cs="Times New Roman"/>
          <w:sz w:val="22"/>
          <w:szCs w:val="20"/>
        </w:rPr>
        <w:t xml:space="preserve"> Zhang, Department of Pathology </w:t>
      </w:r>
      <w:proofErr w:type="spellStart"/>
      <w:r w:rsidRPr="004C3C2D">
        <w:rPr>
          <w:rFonts w:ascii="Times New Roman" w:hAnsi="Times New Roman" w:cs="Times New Roman"/>
          <w:sz w:val="22"/>
          <w:szCs w:val="20"/>
        </w:rPr>
        <w:t>Yanbian</w:t>
      </w:r>
      <w:proofErr w:type="spellEnd"/>
      <w:r w:rsidRPr="004C3C2D">
        <w:rPr>
          <w:rFonts w:ascii="Times New Roman" w:hAnsi="Times New Roman" w:cs="Times New Roman"/>
          <w:sz w:val="22"/>
          <w:szCs w:val="20"/>
        </w:rPr>
        <w:t xml:space="preserve"> University Hospital, </w:t>
      </w:r>
      <w:proofErr w:type="spellStart"/>
      <w:r w:rsidRPr="004C3C2D">
        <w:rPr>
          <w:rFonts w:ascii="Times New Roman" w:hAnsi="Times New Roman" w:cs="Times New Roman"/>
          <w:sz w:val="22"/>
          <w:szCs w:val="20"/>
        </w:rPr>
        <w:t>Yanji</w:t>
      </w:r>
      <w:proofErr w:type="spellEnd"/>
      <w:r w:rsidRPr="004C3C2D">
        <w:rPr>
          <w:rFonts w:ascii="Times New Roman" w:hAnsi="Times New Roman" w:cs="Times New Roman"/>
          <w:sz w:val="22"/>
          <w:szCs w:val="20"/>
        </w:rPr>
        <w:t xml:space="preserve"> City, Jilin Province</w:t>
      </w:r>
      <w:proofErr w:type="gramStart"/>
      <w:r w:rsidRPr="004C3C2D">
        <w:rPr>
          <w:rFonts w:ascii="Times New Roman" w:hAnsi="Times New Roman" w:cs="Times New Roman"/>
          <w:sz w:val="22"/>
          <w:szCs w:val="20"/>
        </w:rPr>
        <w:t>,133000</w:t>
      </w:r>
      <w:proofErr w:type="gramEnd"/>
      <w:r w:rsidRPr="004C3C2D">
        <w:rPr>
          <w:rFonts w:ascii="Times New Roman" w:hAnsi="Times New Roman" w:cs="Times New Roman"/>
          <w:sz w:val="22"/>
          <w:szCs w:val="20"/>
        </w:rPr>
        <w:t>, China. E-mail address: zhangxianglan@yuhs.ac</w:t>
      </w:r>
    </w:p>
    <w:p w:rsidR="005C5953" w:rsidRPr="004C3C2D" w:rsidRDefault="005C5953" w:rsidP="005C5953">
      <w:pPr>
        <w:kinsoku w:val="0"/>
        <w:wordWrap/>
        <w:overflowPunct w:val="0"/>
        <w:spacing w:after="0" w:line="480" w:lineRule="auto"/>
        <w:rPr>
          <w:rFonts w:ascii="Times New Roman" w:hAnsi="Times New Roman" w:cs="Times New Roman"/>
          <w:sz w:val="22"/>
          <w:szCs w:val="20"/>
        </w:rPr>
      </w:pPr>
      <w:proofErr w:type="spellStart"/>
      <w:r w:rsidRPr="004C3C2D">
        <w:rPr>
          <w:rFonts w:ascii="Times New Roman" w:eastAsia="DengXian" w:hAnsi="Times New Roman" w:cs="Times New Roman"/>
          <w:sz w:val="22"/>
          <w:szCs w:val="20"/>
          <w:lang w:eastAsia="zh-CN"/>
        </w:rPr>
        <w:t>Junqi</w:t>
      </w:r>
      <w:proofErr w:type="spellEnd"/>
      <w:r w:rsidRPr="004C3C2D">
        <w:rPr>
          <w:rFonts w:ascii="Times New Roman" w:eastAsia="DengXian" w:hAnsi="Times New Roman" w:cs="Times New Roman"/>
          <w:sz w:val="22"/>
          <w:szCs w:val="20"/>
          <w:lang w:eastAsia="zh-CN"/>
        </w:rPr>
        <w:t xml:space="preserve"> ling, Department of </w:t>
      </w:r>
      <w:proofErr w:type="spellStart"/>
      <w:r w:rsidRPr="004C3C2D">
        <w:rPr>
          <w:rFonts w:ascii="Times New Roman" w:eastAsia="DengXian" w:hAnsi="Times New Roman" w:cs="Times New Roman"/>
          <w:sz w:val="22"/>
          <w:szCs w:val="20"/>
          <w:lang w:eastAsia="zh-CN"/>
        </w:rPr>
        <w:t>Endodontics</w:t>
      </w:r>
      <w:proofErr w:type="spellEnd"/>
      <w:r w:rsidRPr="004C3C2D">
        <w:rPr>
          <w:rFonts w:ascii="Times New Roman" w:eastAsia="DengXian" w:hAnsi="Times New Roman" w:cs="Times New Roman"/>
          <w:sz w:val="22"/>
          <w:szCs w:val="20"/>
          <w:lang w:eastAsia="zh-CN"/>
        </w:rPr>
        <w:t xml:space="preserve">, </w:t>
      </w:r>
      <w:proofErr w:type="spellStart"/>
      <w:r w:rsidRPr="004C3C2D">
        <w:rPr>
          <w:rFonts w:ascii="Times New Roman" w:eastAsia="DengXian" w:hAnsi="Times New Roman" w:cs="Times New Roman"/>
          <w:sz w:val="22"/>
          <w:szCs w:val="20"/>
          <w:lang w:eastAsia="zh-CN"/>
        </w:rPr>
        <w:t>Guanghua</w:t>
      </w:r>
      <w:proofErr w:type="spellEnd"/>
      <w:r w:rsidRPr="004C3C2D">
        <w:rPr>
          <w:rFonts w:ascii="Times New Roman" w:eastAsia="DengXian" w:hAnsi="Times New Roman" w:cs="Times New Roman"/>
          <w:sz w:val="22"/>
          <w:szCs w:val="20"/>
          <w:lang w:eastAsia="zh-CN"/>
        </w:rPr>
        <w:t xml:space="preserve"> School of Stomatology, Guangdong Provincial Key Laboratory of Stomatology, Sun </w:t>
      </w:r>
      <w:proofErr w:type="spellStart"/>
      <w:r w:rsidRPr="004C3C2D">
        <w:rPr>
          <w:rFonts w:ascii="Times New Roman" w:eastAsia="DengXian" w:hAnsi="Times New Roman" w:cs="Times New Roman"/>
          <w:sz w:val="22"/>
          <w:szCs w:val="20"/>
          <w:lang w:eastAsia="zh-CN"/>
        </w:rPr>
        <w:t>Yat-Sen</w:t>
      </w:r>
      <w:proofErr w:type="spellEnd"/>
      <w:r w:rsidRPr="004C3C2D">
        <w:rPr>
          <w:rFonts w:ascii="Times New Roman" w:eastAsia="DengXian" w:hAnsi="Times New Roman" w:cs="Times New Roman"/>
          <w:sz w:val="22"/>
          <w:szCs w:val="20"/>
          <w:lang w:eastAsia="zh-CN"/>
        </w:rPr>
        <w:t xml:space="preserve"> University, 56 </w:t>
      </w:r>
      <w:proofErr w:type="spellStart"/>
      <w:r w:rsidRPr="004C3C2D">
        <w:rPr>
          <w:rFonts w:ascii="Times New Roman" w:eastAsia="DengXian" w:hAnsi="Times New Roman" w:cs="Times New Roman"/>
          <w:sz w:val="22"/>
          <w:szCs w:val="20"/>
          <w:lang w:eastAsia="zh-CN"/>
        </w:rPr>
        <w:t>Lingyuanxi</w:t>
      </w:r>
      <w:proofErr w:type="spellEnd"/>
      <w:r w:rsidRPr="004C3C2D">
        <w:rPr>
          <w:rFonts w:ascii="Times New Roman" w:eastAsia="DengXian" w:hAnsi="Times New Roman" w:cs="Times New Roman"/>
          <w:sz w:val="22"/>
          <w:szCs w:val="20"/>
          <w:lang w:eastAsia="zh-CN"/>
        </w:rPr>
        <w:t xml:space="preserve"> Road, Guangzhou, Guangdong 510055, P.R. China. Email</w:t>
      </w:r>
      <w:r w:rsidRPr="004C3C2D">
        <w:rPr>
          <w:rFonts w:ascii="Times New Roman" w:hAnsi="Times New Roman" w:cs="Times New Roman"/>
          <w:sz w:val="22"/>
          <w:szCs w:val="20"/>
        </w:rPr>
        <w:t xml:space="preserve"> address</w:t>
      </w:r>
      <w:r w:rsidRPr="004C3C2D">
        <w:rPr>
          <w:rFonts w:ascii="Times New Roman" w:eastAsia="DengXian" w:hAnsi="Times New Roman" w:cs="Times New Roman"/>
          <w:sz w:val="22"/>
          <w:szCs w:val="20"/>
          <w:lang w:eastAsia="zh-CN"/>
        </w:rPr>
        <w:t>: lingjq@mail.sysu.edu.cn</w:t>
      </w:r>
    </w:p>
    <w:p w:rsidR="005C5953" w:rsidRPr="00E11F78" w:rsidRDefault="005C5953" w:rsidP="005C5953">
      <w:pPr>
        <w:rPr>
          <w:rFonts w:ascii="Times New Roman" w:hAnsi="Times New Roman" w:cs="Times New Roman"/>
        </w:rPr>
      </w:pPr>
    </w:p>
    <w:p w:rsidR="005C5953" w:rsidRDefault="005C5953" w:rsidP="005C5953"/>
    <w:p w:rsidR="005C5953" w:rsidRDefault="005C5953" w:rsidP="005C5953"/>
    <w:p w:rsidR="005C5953" w:rsidRPr="00A608CA" w:rsidRDefault="005C5953" w:rsidP="005C5953">
      <w:pPr>
        <w:wordWrap/>
        <w:adjustRightInd w:val="0"/>
        <w:snapToGrid w:val="0"/>
        <w:spacing w:line="480" w:lineRule="auto"/>
        <w:jc w:val="left"/>
        <w:rPr>
          <w:rFonts w:ascii="Times New Roman" w:hAnsi="Times New Roman"/>
          <w:b/>
          <w:sz w:val="24"/>
          <w:szCs w:val="24"/>
        </w:rPr>
      </w:pPr>
      <w:r w:rsidRPr="00A608CA">
        <w:rPr>
          <w:rFonts w:ascii="Times New Roman" w:hAnsi="Times New Roman"/>
          <w:b/>
          <w:sz w:val="24"/>
          <w:szCs w:val="24"/>
        </w:rPr>
        <w:lastRenderedPageBreak/>
        <w:t>Supplementary materials and methods</w:t>
      </w:r>
    </w:p>
    <w:p w:rsidR="00B22727" w:rsidRDefault="00B22727" w:rsidP="005C5953">
      <w:pPr>
        <w:spacing w:after="0" w:line="480" w:lineRule="auto"/>
        <w:rPr>
          <w:rFonts w:ascii="Times New Roman" w:hAnsi="Times New Roman" w:cs="Times New Roman"/>
          <w:sz w:val="22"/>
        </w:rPr>
      </w:pPr>
      <w:r>
        <w:rPr>
          <w:rFonts w:ascii="Times New Roman" w:hAnsi="Times New Roman" w:cs="Times New Roman" w:hint="eastAsia"/>
          <w:sz w:val="22"/>
        </w:rPr>
        <w:t>Immunohistochemistry</w:t>
      </w:r>
    </w:p>
    <w:p w:rsidR="00A21B94" w:rsidRDefault="00A21B94" w:rsidP="00A21B94">
      <w:pPr>
        <w:spacing w:after="0" w:line="480" w:lineRule="auto"/>
        <w:rPr>
          <w:rFonts w:ascii="Times New Roman" w:hAnsi="Times New Roman" w:cs="Times New Roman"/>
          <w:sz w:val="22"/>
        </w:rPr>
      </w:pPr>
      <w:r w:rsidRPr="00655ED3">
        <w:rPr>
          <w:rFonts w:ascii="Times New Roman" w:hAnsi="Times New Roman" w:cs="Times New Roman"/>
          <w:sz w:val="22"/>
        </w:rPr>
        <w:t>In this study, mouse monoclonal anti-human alpha smooth muscle actin (α-SMA) antibody (</w:t>
      </w:r>
      <w:proofErr w:type="spellStart"/>
      <w:r w:rsidRPr="00655ED3">
        <w:rPr>
          <w:rFonts w:ascii="Times New Roman" w:hAnsi="Times New Roman" w:cs="Times New Roman"/>
          <w:sz w:val="22"/>
        </w:rPr>
        <w:t>Dako</w:t>
      </w:r>
      <w:proofErr w:type="spellEnd"/>
      <w:r w:rsidRPr="00655ED3">
        <w:rPr>
          <w:rFonts w:ascii="Times New Roman" w:hAnsi="Times New Roman" w:cs="Times New Roman"/>
          <w:sz w:val="22"/>
        </w:rPr>
        <w:t xml:space="preserve">, Santa Clara, CA, USA), mouse monoclonal anti-human </w:t>
      </w:r>
      <w:proofErr w:type="spellStart"/>
      <w:r w:rsidRPr="00655ED3">
        <w:rPr>
          <w:rFonts w:ascii="Times New Roman" w:hAnsi="Times New Roman" w:cs="Times New Roman"/>
          <w:sz w:val="22"/>
        </w:rPr>
        <w:t>vimentin</w:t>
      </w:r>
      <w:proofErr w:type="spellEnd"/>
      <w:r w:rsidRPr="00655ED3">
        <w:rPr>
          <w:rFonts w:ascii="Times New Roman" w:hAnsi="Times New Roman" w:cs="Times New Roman"/>
          <w:sz w:val="22"/>
        </w:rPr>
        <w:t xml:space="preserve"> (</w:t>
      </w:r>
      <w:proofErr w:type="spellStart"/>
      <w:r w:rsidRPr="00655ED3">
        <w:rPr>
          <w:rFonts w:ascii="Times New Roman" w:hAnsi="Times New Roman" w:cs="Times New Roman"/>
          <w:sz w:val="22"/>
        </w:rPr>
        <w:t>Dako</w:t>
      </w:r>
      <w:proofErr w:type="spellEnd"/>
      <w:r w:rsidRPr="00655ED3">
        <w:rPr>
          <w:rFonts w:ascii="Times New Roman" w:hAnsi="Times New Roman" w:cs="Times New Roman"/>
          <w:sz w:val="22"/>
        </w:rPr>
        <w:t>), rabbit monoclonal anti-human Axin2 (</w:t>
      </w:r>
      <w:proofErr w:type="spellStart"/>
      <w:r w:rsidRPr="00655ED3">
        <w:rPr>
          <w:rFonts w:ascii="Times New Roman" w:hAnsi="Times New Roman" w:cs="Times New Roman"/>
          <w:sz w:val="22"/>
        </w:rPr>
        <w:t>Abcam</w:t>
      </w:r>
      <w:proofErr w:type="spellEnd"/>
      <w:r w:rsidRPr="00655ED3">
        <w:rPr>
          <w:rFonts w:ascii="Times New Roman" w:hAnsi="Times New Roman" w:cs="Times New Roman"/>
          <w:sz w:val="22"/>
        </w:rPr>
        <w:t>, Cambridge, UK), and rabbit polyclonal anti-human Snail</w:t>
      </w:r>
      <w:r w:rsidR="00B82F4A">
        <w:rPr>
          <w:rFonts w:ascii="Times New Roman" w:hAnsi="Times New Roman" w:cs="Times New Roman"/>
          <w:sz w:val="22"/>
        </w:rPr>
        <w:fldChar w:fldCharType="begin">
          <w:fldData xml:space="preserve">PEVuZE5vdGU+PENpdGU+PEF1dGhvcj5Zb29rPC9BdXRob3I+PFllYXI+MjAwNjwvWWVhcj48UmVj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</w:fldData>
        </w:fldChar>
      </w:r>
      <w:r w:rsidR="00B82F4A">
        <w:rPr>
          <w:rFonts w:ascii="Times New Roman" w:hAnsi="Times New Roman" w:cs="Times New Roman"/>
          <w:sz w:val="22"/>
        </w:rPr>
        <w:instrText xml:space="preserve"> ADDIN EN.CITE </w:instrText>
      </w:r>
      <w:r w:rsidR="00B82F4A">
        <w:rPr>
          <w:rFonts w:ascii="Times New Roman" w:hAnsi="Times New Roman" w:cs="Times New Roman"/>
          <w:sz w:val="22"/>
        </w:rPr>
        <w:fldChar w:fldCharType="begin">
          <w:fldData xml:space="preserve">PEVuZE5vdGU+PENpdGU+PEF1dGhvcj5Zb29rPC9BdXRob3I+PFllYXI+MjAwNjwvWWVhcj48UmVj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</w:fldData>
        </w:fldChar>
      </w:r>
      <w:r w:rsidR="00B82F4A">
        <w:rPr>
          <w:rFonts w:ascii="Times New Roman" w:hAnsi="Times New Roman" w:cs="Times New Roman"/>
          <w:sz w:val="22"/>
        </w:rPr>
        <w:instrText xml:space="preserve"> ADDIN EN.CITE.DATA </w:instrText>
      </w:r>
      <w:r w:rsidR="00B82F4A">
        <w:rPr>
          <w:rFonts w:ascii="Times New Roman" w:hAnsi="Times New Roman" w:cs="Times New Roman"/>
          <w:sz w:val="22"/>
        </w:rPr>
      </w:r>
      <w:r w:rsidR="00B82F4A">
        <w:rPr>
          <w:rFonts w:ascii="Times New Roman" w:hAnsi="Times New Roman" w:cs="Times New Roman"/>
          <w:sz w:val="22"/>
        </w:rPr>
        <w:fldChar w:fldCharType="end"/>
      </w:r>
      <w:r w:rsidR="00B82F4A">
        <w:rPr>
          <w:rFonts w:ascii="Times New Roman" w:hAnsi="Times New Roman" w:cs="Times New Roman"/>
          <w:sz w:val="22"/>
        </w:rPr>
      </w:r>
      <w:r w:rsidR="00B82F4A">
        <w:rPr>
          <w:rFonts w:ascii="Times New Roman" w:hAnsi="Times New Roman" w:cs="Times New Roman"/>
          <w:sz w:val="22"/>
        </w:rPr>
        <w:fldChar w:fldCharType="separate"/>
      </w:r>
      <w:r w:rsidR="00B82F4A">
        <w:rPr>
          <w:rFonts w:ascii="Times New Roman" w:hAnsi="Times New Roman" w:cs="Times New Roman"/>
          <w:noProof/>
          <w:sz w:val="22"/>
        </w:rPr>
        <w:t>[1]</w:t>
      </w:r>
      <w:r w:rsidR="00B82F4A">
        <w:rPr>
          <w:rFonts w:ascii="Times New Roman" w:hAnsi="Times New Roman" w:cs="Times New Roman"/>
          <w:sz w:val="22"/>
        </w:rPr>
        <w:fldChar w:fldCharType="end"/>
      </w:r>
      <w:r w:rsidRPr="00655ED3">
        <w:rPr>
          <w:rFonts w:ascii="Times New Roman" w:hAnsi="Times New Roman" w:cs="Times New Roman"/>
          <w:sz w:val="22"/>
        </w:rPr>
        <w:t xml:space="preserve"> were used as primary antibody</w:t>
      </w:r>
      <w:r>
        <w:rPr>
          <w:rFonts w:ascii="Times New Roman" w:hAnsi="Times New Roman" w:cs="Times New Roman" w:hint="eastAsia"/>
          <w:sz w:val="22"/>
        </w:rPr>
        <w:t xml:space="preserve"> for immunochemical staining. </w:t>
      </w:r>
    </w:p>
    <w:p w:rsidR="00B22727" w:rsidRPr="00655ED3" w:rsidRDefault="00B22727" w:rsidP="00B22727">
      <w:pPr>
        <w:spacing w:after="0" w:line="480" w:lineRule="auto"/>
        <w:rPr>
          <w:rFonts w:ascii="Times New Roman" w:hAnsi="Times New Roman" w:cs="Times New Roman"/>
          <w:sz w:val="22"/>
        </w:rPr>
      </w:pPr>
      <w:r w:rsidRPr="00655ED3">
        <w:rPr>
          <w:rFonts w:ascii="Times New Roman" w:hAnsi="Times New Roman" w:cs="Times New Roman"/>
          <w:sz w:val="22"/>
        </w:rPr>
        <w:t xml:space="preserve">Formalin-fixed paraffin-embedded OSCC tissue samples were cut into 4 </w:t>
      </w:r>
      <w:proofErr w:type="spellStart"/>
      <w:r w:rsidRPr="00655ED3">
        <w:rPr>
          <w:rFonts w:ascii="Times New Roman" w:hAnsi="Times New Roman" w:cs="Times New Roman"/>
          <w:sz w:val="22"/>
        </w:rPr>
        <w:t>μm</w:t>
      </w:r>
      <w:proofErr w:type="spellEnd"/>
      <w:r w:rsidRPr="00655ED3">
        <w:rPr>
          <w:rFonts w:ascii="Times New Roman" w:hAnsi="Times New Roman" w:cs="Times New Roman"/>
          <w:sz w:val="22"/>
        </w:rPr>
        <w:t xml:space="preserve"> tissue sections for immunohistochemistry. After </w:t>
      </w:r>
      <w:proofErr w:type="spellStart"/>
      <w:r w:rsidRPr="00655ED3">
        <w:rPr>
          <w:rFonts w:ascii="Times New Roman" w:hAnsi="Times New Roman" w:cs="Times New Roman"/>
          <w:sz w:val="22"/>
        </w:rPr>
        <w:t>deparaffinization</w:t>
      </w:r>
      <w:proofErr w:type="spellEnd"/>
      <w:r w:rsidRPr="00655ED3">
        <w:rPr>
          <w:rFonts w:ascii="Times New Roman" w:hAnsi="Times New Roman" w:cs="Times New Roman"/>
          <w:sz w:val="22"/>
        </w:rPr>
        <w:t xml:space="preserve"> and hydration, antigen retrieval was performed using antigen retrieval buffer (</w:t>
      </w:r>
      <w:proofErr w:type="spellStart"/>
      <w:r w:rsidRPr="00655ED3">
        <w:rPr>
          <w:rFonts w:ascii="Times New Roman" w:hAnsi="Times New Roman" w:cs="Times New Roman"/>
          <w:sz w:val="22"/>
        </w:rPr>
        <w:t>Dako</w:t>
      </w:r>
      <w:proofErr w:type="spellEnd"/>
      <w:r w:rsidRPr="00655ED3">
        <w:rPr>
          <w:rFonts w:ascii="Times New Roman" w:hAnsi="Times New Roman" w:cs="Times New Roman"/>
          <w:sz w:val="22"/>
        </w:rPr>
        <w:t xml:space="preserve">). For immunocytochemistry, the cells were seeded in 6-well plates and fixed with 95% ethanol for 30 min at room temperature. Primary antibody incubation was performed after blocking endogenous peroxidase activity with a mixture of methanol and hydrogen peroxide (ratio: 40:1), and REAL </w:t>
      </w:r>
      <w:proofErr w:type="spellStart"/>
      <w:r w:rsidRPr="00655ED3">
        <w:rPr>
          <w:rFonts w:ascii="Times New Roman" w:hAnsi="Times New Roman" w:cs="Times New Roman"/>
          <w:sz w:val="22"/>
        </w:rPr>
        <w:t>EnVision</w:t>
      </w:r>
      <w:proofErr w:type="spellEnd"/>
      <w:r w:rsidRPr="00655ED3">
        <w:rPr>
          <w:rFonts w:ascii="Times New Roman" w:hAnsi="Times New Roman" w:cs="Times New Roman"/>
          <w:sz w:val="22"/>
        </w:rPr>
        <w:t xml:space="preserve"> HRP Rabbit/Mouse Detection System (</w:t>
      </w:r>
      <w:proofErr w:type="spellStart"/>
      <w:r w:rsidRPr="00655ED3">
        <w:rPr>
          <w:rFonts w:ascii="Times New Roman" w:hAnsi="Times New Roman" w:cs="Times New Roman"/>
          <w:sz w:val="22"/>
        </w:rPr>
        <w:t>Dako</w:t>
      </w:r>
      <w:proofErr w:type="spellEnd"/>
      <w:r w:rsidRPr="00655ED3">
        <w:rPr>
          <w:rFonts w:ascii="Times New Roman" w:hAnsi="Times New Roman" w:cs="Times New Roman"/>
          <w:sz w:val="22"/>
        </w:rPr>
        <w:t xml:space="preserve">) was used as secondary antibody. Visualization was performed by </w:t>
      </w:r>
      <w:proofErr w:type="spellStart"/>
      <w:r w:rsidRPr="00655ED3">
        <w:rPr>
          <w:rFonts w:ascii="Times New Roman" w:hAnsi="Times New Roman" w:cs="Times New Roman"/>
          <w:sz w:val="22"/>
        </w:rPr>
        <w:t>chromogen</w:t>
      </w:r>
      <w:proofErr w:type="spellEnd"/>
      <w:r w:rsidRPr="00655ED3">
        <w:rPr>
          <w:rFonts w:ascii="Times New Roman" w:hAnsi="Times New Roman" w:cs="Times New Roman"/>
          <w:sz w:val="22"/>
        </w:rPr>
        <w:t xml:space="preserve"> 3</w:t>
      </w:r>
      <w:proofErr w:type="gramStart"/>
      <w:r w:rsidRPr="00655ED3">
        <w:rPr>
          <w:rFonts w:ascii="Times New Roman" w:hAnsi="Times New Roman" w:cs="Times New Roman"/>
          <w:sz w:val="22"/>
        </w:rPr>
        <w:t>,3</w:t>
      </w:r>
      <w:proofErr w:type="gramEnd"/>
      <w:r w:rsidRPr="00655ED3">
        <w:rPr>
          <w:rFonts w:ascii="Times New Roman" w:hAnsi="Times New Roman" w:cs="Times New Roman"/>
          <w:sz w:val="22"/>
        </w:rPr>
        <w:t xml:space="preserve">′-diaminobenzidine and </w:t>
      </w:r>
      <w:proofErr w:type="spellStart"/>
      <w:r w:rsidRPr="00655ED3">
        <w:rPr>
          <w:rFonts w:ascii="Times New Roman" w:hAnsi="Times New Roman" w:cs="Times New Roman"/>
          <w:sz w:val="22"/>
        </w:rPr>
        <w:t>hematoxylin</w:t>
      </w:r>
      <w:proofErr w:type="spellEnd"/>
      <w:r w:rsidRPr="00655ED3">
        <w:rPr>
          <w:rFonts w:ascii="Times New Roman" w:hAnsi="Times New Roman" w:cs="Times New Roman"/>
          <w:sz w:val="22"/>
        </w:rPr>
        <w:t xml:space="preserve"> was used in counterstaining. For the negative control, primary antibody was replaced by mouse or rabbit </w:t>
      </w:r>
      <w:proofErr w:type="spellStart"/>
      <w:r w:rsidRPr="00655ED3">
        <w:rPr>
          <w:rFonts w:ascii="Times New Roman" w:hAnsi="Times New Roman" w:cs="Times New Roman"/>
          <w:sz w:val="22"/>
        </w:rPr>
        <w:t>IgG</w:t>
      </w:r>
      <w:proofErr w:type="spellEnd"/>
      <w:r w:rsidRPr="00655ED3">
        <w:rPr>
          <w:rFonts w:ascii="Times New Roman" w:hAnsi="Times New Roman" w:cs="Times New Roman"/>
          <w:sz w:val="22"/>
        </w:rPr>
        <w:t xml:space="preserve"> (</w:t>
      </w:r>
      <w:proofErr w:type="spellStart"/>
      <w:r w:rsidRPr="00655ED3">
        <w:rPr>
          <w:rFonts w:ascii="Times New Roman" w:hAnsi="Times New Roman" w:cs="Times New Roman"/>
          <w:sz w:val="22"/>
        </w:rPr>
        <w:t>DakoCytomation</w:t>
      </w:r>
      <w:proofErr w:type="spellEnd"/>
      <w:r w:rsidRPr="00655ED3">
        <w:rPr>
          <w:rFonts w:ascii="Times New Roman" w:hAnsi="Times New Roman" w:cs="Times New Roman"/>
          <w:sz w:val="22"/>
        </w:rPr>
        <w:t xml:space="preserve"> Denmark A/S, </w:t>
      </w:r>
      <w:proofErr w:type="spellStart"/>
      <w:r w:rsidRPr="00655ED3">
        <w:rPr>
          <w:rFonts w:ascii="Times New Roman" w:hAnsi="Times New Roman" w:cs="Times New Roman"/>
          <w:sz w:val="22"/>
        </w:rPr>
        <w:t>Glostrup</w:t>
      </w:r>
      <w:proofErr w:type="spellEnd"/>
      <w:r w:rsidRPr="00655ED3">
        <w:rPr>
          <w:rFonts w:ascii="Times New Roman" w:hAnsi="Times New Roman" w:cs="Times New Roman"/>
          <w:sz w:val="22"/>
        </w:rPr>
        <w:t xml:space="preserve">, Denmark) in the present study. </w:t>
      </w:r>
    </w:p>
    <w:p w:rsidR="001D612E" w:rsidRPr="00655ED3" w:rsidRDefault="001D612E" w:rsidP="001D612E">
      <w:pPr>
        <w:spacing w:after="0" w:line="480" w:lineRule="auto"/>
        <w:rPr>
          <w:rFonts w:ascii="Times New Roman" w:hAnsi="Times New Roman" w:cs="Times New Roman"/>
          <w:sz w:val="22"/>
        </w:rPr>
      </w:pPr>
      <w:r w:rsidRPr="00655ED3">
        <w:rPr>
          <w:rFonts w:ascii="Times New Roman" w:hAnsi="Times New Roman" w:cs="Times New Roman"/>
          <w:sz w:val="22"/>
        </w:rPr>
        <w:t>As described in a previous study</w:t>
      </w:r>
      <w:r w:rsidR="00B82F4A">
        <w:rPr>
          <w:rFonts w:ascii="Times New Roman" w:hAnsi="Times New Roman" w:cs="Times New Roman" w:hint="eastAsia"/>
          <w:sz w:val="22"/>
        </w:rPr>
        <w:t xml:space="preserve"> </w:t>
      </w:r>
      <w:r w:rsidR="00B82F4A">
        <w:rPr>
          <w:rFonts w:ascii="Times New Roman" w:hAnsi="Times New Roman" w:cs="Times New Roman"/>
          <w:sz w:val="22"/>
        </w:rPr>
        <w:fldChar w:fldCharType="begin">
          <w:fldData xml:space="preserve">PEVuZE5vdGU+PENpdGU+PEF1dGhvcj5aaGFuZzwvQXV0aG9yPjxZZWFyPjIwMTQ8L1llYXI+PFJl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</w:fldData>
        </w:fldChar>
      </w:r>
      <w:r w:rsidR="00B82F4A">
        <w:rPr>
          <w:rFonts w:ascii="Times New Roman" w:hAnsi="Times New Roman" w:cs="Times New Roman"/>
          <w:sz w:val="22"/>
        </w:rPr>
        <w:instrText xml:space="preserve"> ADDIN EN.CITE </w:instrText>
      </w:r>
      <w:r w:rsidR="00B82F4A">
        <w:rPr>
          <w:rFonts w:ascii="Times New Roman" w:hAnsi="Times New Roman" w:cs="Times New Roman"/>
          <w:sz w:val="22"/>
        </w:rPr>
        <w:fldChar w:fldCharType="begin">
          <w:fldData xml:space="preserve">PEVuZE5vdGU+PENpdGU+PEF1dGhvcj5aaGFuZzwvQXV0aG9yPjxZZWFyPjIwMTQ8L1llYXI+PFJl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</w:fldData>
        </w:fldChar>
      </w:r>
      <w:r w:rsidR="00B82F4A">
        <w:rPr>
          <w:rFonts w:ascii="Times New Roman" w:hAnsi="Times New Roman" w:cs="Times New Roman"/>
          <w:sz w:val="22"/>
        </w:rPr>
        <w:instrText xml:space="preserve"> ADDIN EN.CITE.DATA </w:instrText>
      </w:r>
      <w:r w:rsidR="00B82F4A">
        <w:rPr>
          <w:rFonts w:ascii="Times New Roman" w:hAnsi="Times New Roman" w:cs="Times New Roman"/>
          <w:sz w:val="22"/>
        </w:rPr>
      </w:r>
      <w:r w:rsidR="00B82F4A">
        <w:rPr>
          <w:rFonts w:ascii="Times New Roman" w:hAnsi="Times New Roman" w:cs="Times New Roman"/>
          <w:sz w:val="22"/>
        </w:rPr>
        <w:fldChar w:fldCharType="end"/>
      </w:r>
      <w:r w:rsidR="00B82F4A">
        <w:rPr>
          <w:rFonts w:ascii="Times New Roman" w:hAnsi="Times New Roman" w:cs="Times New Roman"/>
          <w:sz w:val="22"/>
        </w:rPr>
      </w:r>
      <w:r w:rsidR="00B82F4A">
        <w:rPr>
          <w:rFonts w:ascii="Times New Roman" w:hAnsi="Times New Roman" w:cs="Times New Roman"/>
          <w:sz w:val="22"/>
        </w:rPr>
        <w:fldChar w:fldCharType="separate"/>
      </w:r>
      <w:r w:rsidR="00B82F4A">
        <w:rPr>
          <w:rFonts w:ascii="Times New Roman" w:hAnsi="Times New Roman" w:cs="Times New Roman"/>
          <w:noProof/>
          <w:sz w:val="22"/>
        </w:rPr>
        <w:t>[2]</w:t>
      </w:r>
      <w:r w:rsidR="00B82F4A">
        <w:rPr>
          <w:rFonts w:ascii="Times New Roman" w:hAnsi="Times New Roman" w:cs="Times New Roman"/>
          <w:sz w:val="22"/>
        </w:rPr>
        <w:fldChar w:fldCharType="end"/>
      </w:r>
      <w:r w:rsidRPr="00655ED3">
        <w:rPr>
          <w:rFonts w:ascii="Times New Roman" w:hAnsi="Times New Roman" w:cs="Times New Roman"/>
          <w:sz w:val="22"/>
        </w:rPr>
        <w:t xml:space="preserve">, the total </w:t>
      </w:r>
      <w:proofErr w:type="spellStart"/>
      <w:r w:rsidRPr="00655ED3">
        <w:rPr>
          <w:rFonts w:ascii="Times New Roman" w:hAnsi="Times New Roman" w:cs="Times New Roman"/>
          <w:sz w:val="22"/>
        </w:rPr>
        <w:t>histoscore</w:t>
      </w:r>
      <w:proofErr w:type="spellEnd"/>
      <w:r w:rsidRPr="00655ED3">
        <w:rPr>
          <w:rFonts w:ascii="Times New Roman" w:hAnsi="Times New Roman" w:cs="Times New Roman"/>
          <w:sz w:val="22"/>
        </w:rPr>
        <w:t xml:space="preserve"> of the protein expression was analyzed according to staining intensity and the percentage of positive cells. The patients were subdivided into two groups, a low expression (total </w:t>
      </w:r>
      <w:proofErr w:type="spellStart"/>
      <w:r w:rsidRPr="00655ED3">
        <w:rPr>
          <w:rFonts w:ascii="Times New Roman" w:hAnsi="Times New Roman" w:cs="Times New Roman"/>
          <w:sz w:val="22"/>
        </w:rPr>
        <w:t>histoscore</w:t>
      </w:r>
      <w:proofErr w:type="spellEnd"/>
      <w:r w:rsidRPr="00655ED3">
        <w:rPr>
          <w:rFonts w:ascii="Times New Roman" w:hAnsi="Times New Roman" w:cs="Times New Roman"/>
          <w:sz w:val="22"/>
        </w:rPr>
        <w:t xml:space="preserve"> </w:t>
      </w:r>
      <w:r w:rsidRPr="00655ED3">
        <w:rPr>
          <w:rFonts w:ascii="Times New Roman" w:eastAsia="맑은 고딕" w:hAnsi="Times New Roman" w:cs="Times New Roman"/>
          <w:sz w:val="22"/>
        </w:rPr>
        <w:t>≤</w:t>
      </w:r>
      <w:r w:rsidRPr="00655ED3">
        <w:rPr>
          <w:rFonts w:ascii="Times New Roman" w:hAnsi="Times New Roman" w:cs="Times New Roman"/>
          <w:sz w:val="22"/>
        </w:rPr>
        <w:t xml:space="preserve">100) and a high expression group (total </w:t>
      </w:r>
      <w:proofErr w:type="spellStart"/>
      <w:r w:rsidRPr="00655ED3">
        <w:rPr>
          <w:rFonts w:ascii="Times New Roman" w:hAnsi="Times New Roman" w:cs="Times New Roman"/>
          <w:sz w:val="22"/>
        </w:rPr>
        <w:t>histoscore</w:t>
      </w:r>
      <w:proofErr w:type="spellEnd"/>
      <w:r w:rsidRPr="00655ED3">
        <w:rPr>
          <w:rFonts w:ascii="Times New Roman" w:hAnsi="Times New Roman" w:cs="Times New Roman"/>
          <w:sz w:val="22"/>
        </w:rPr>
        <w:t xml:space="preserve">&gt;100), according to the total </w:t>
      </w:r>
      <w:proofErr w:type="spellStart"/>
      <w:r w:rsidRPr="00655ED3">
        <w:rPr>
          <w:rFonts w:ascii="Times New Roman" w:hAnsi="Times New Roman" w:cs="Times New Roman"/>
          <w:sz w:val="22"/>
        </w:rPr>
        <w:t>histoscore</w:t>
      </w:r>
      <w:proofErr w:type="spellEnd"/>
      <w:r w:rsidRPr="00655ED3">
        <w:rPr>
          <w:rFonts w:ascii="Times New Roman" w:hAnsi="Times New Roman" w:cs="Times New Roman"/>
          <w:sz w:val="22"/>
        </w:rPr>
        <w:t>. For scoring of vessel density, we picked three areas with the highest CD31 positive vessel density on a sli</w:t>
      </w:r>
      <w:r w:rsidR="00B82F4A">
        <w:rPr>
          <w:rFonts w:ascii="Times New Roman" w:hAnsi="Times New Roman" w:cs="Times New Roman"/>
          <w:sz w:val="22"/>
        </w:rPr>
        <w:t>de, referred to as a “hot spot”</w:t>
      </w:r>
      <w:r w:rsidRPr="00655ED3">
        <w:rPr>
          <w:rFonts w:ascii="Times New Roman" w:hAnsi="Times New Roman" w:cs="Times New Roman"/>
          <w:sz w:val="22"/>
        </w:rPr>
        <w:t xml:space="preserve">. In each hot spot, we further counted CD31 positive vessels under three 200x magnifications. The mean value of the total CD31 positive vessel counts was considered the CD31 positive vessel density. The status of angiogenesis was subdivided into two groups, low- (vessel density </w:t>
      </w:r>
      <w:r w:rsidRPr="00655ED3">
        <w:rPr>
          <w:rFonts w:ascii="Times New Roman" w:eastAsia="맑은 고딕" w:hAnsi="Times New Roman" w:cs="Times New Roman"/>
          <w:sz w:val="22"/>
        </w:rPr>
        <w:t xml:space="preserve">≤ </w:t>
      </w:r>
      <w:r w:rsidRPr="00655ED3">
        <w:rPr>
          <w:rFonts w:ascii="Times New Roman" w:hAnsi="Times New Roman" w:cs="Times New Roman"/>
          <w:sz w:val="22"/>
        </w:rPr>
        <w:t>mean vessel density of the cohort) and a high-</w:t>
      </w:r>
      <w:proofErr w:type="spellStart"/>
      <w:r w:rsidRPr="00655ED3">
        <w:rPr>
          <w:rFonts w:ascii="Times New Roman" w:hAnsi="Times New Roman" w:cs="Times New Roman"/>
          <w:sz w:val="22"/>
        </w:rPr>
        <w:t>angiogenic</w:t>
      </w:r>
      <w:proofErr w:type="spellEnd"/>
      <w:r w:rsidRPr="00655ED3">
        <w:rPr>
          <w:rFonts w:ascii="Times New Roman" w:hAnsi="Times New Roman" w:cs="Times New Roman"/>
          <w:sz w:val="22"/>
        </w:rPr>
        <w:t xml:space="preserve"> (vessel density </w:t>
      </w:r>
      <w:r w:rsidRPr="00655ED3">
        <w:rPr>
          <w:rFonts w:ascii="Times New Roman" w:eastAsia="맑은 고딕" w:hAnsi="Times New Roman" w:cs="Times New Roman"/>
          <w:sz w:val="22"/>
        </w:rPr>
        <w:t>&gt;</w:t>
      </w:r>
      <w:r w:rsidRPr="00655ED3">
        <w:rPr>
          <w:rFonts w:ascii="Times New Roman" w:hAnsi="Times New Roman" w:cs="Times New Roman"/>
          <w:sz w:val="22"/>
        </w:rPr>
        <w:t xml:space="preserve"> mean vessel density of the cohort) reaction. </w:t>
      </w:r>
    </w:p>
    <w:p w:rsidR="00B22727" w:rsidRPr="001D612E" w:rsidRDefault="00B22727" w:rsidP="005C5953">
      <w:pPr>
        <w:spacing w:after="0" w:line="480" w:lineRule="auto"/>
        <w:rPr>
          <w:rFonts w:ascii="Times New Roman" w:hAnsi="Times New Roman" w:cs="Times New Roman"/>
          <w:sz w:val="22"/>
        </w:rPr>
      </w:pPr>
    </w:p>
    <w:p w:rsidR="005C5953" w:rsidRPr="009E78E0" w:rsidRDefault="005C5953" w:rsidP="005C5953">
      <w:pPr>
        <w:spacing w:after="0" w:line="480" w:lineRule="auto"/>
        <w:rPr>
          <w:rFonts w:ascii="Times New Roman" w:hAnsi="Times New Roman" w:cs="Times New Roman"/>
          <w:sz w:val="22"/>
        </w:rPr>
      </w:pPr>
      <w:r w:rsidRPr="009E78E0">
        <w:rPr>
          <w:rFonts w:ascii="Times New Roman" w:hAnsi="Times New Roman" w:cs="Times New Roman"/>
          <w:sz w:val="22"/>
        </w:rPr>
        <w:t>OSCC cell culture and establishment of Axin2 knockdown CA9-22 and HSC-2 cells</w:t>
      </w:r>
    </w:p>
    <w:p w:rsidR="005C5953" w:rsidRPr="009E78E0" w:rsidRDefault="005C5953" w:rsidP="005C5953">
      <w:pPr>
        <w:spacing w:after="0" w:line="480" w:lineRule="auto"/>
        <w:rPr>
          <w:rFonts w:ascii="Times New Roman" w:hAnsi="Times New Roman" w:cs="Times New Roman"/>
          <w:sz w:val="22"/>
        </w:rPr>
      </w:pPr>
      <w:r w:rsidRPr="009E78E0">
        <w:rPr>
          <w:rFonts w:ascii="Times New Roman" w:hAnsi="Times New Roman" w:cs="Times New Roman"/>
          <w:sz w:val="22"/>
        </w:rPr>
        <w:t xml:space="preserve">CA9-22 and HSC-2 cells were purchased from Japanese Collection of Research </w:t>
      </w:r>
      <w:proofErr w:type="spellStart"/>
      <w:r w:rsidRPr="009E78E0">
        <w:rPr>
          <w:rFonts w:ascii="Times New Roman" w:hAnsi="Times New Roman" w:cs="Times New Roman"/>
          <w:sz w:val="22"/>
        </w:rPr>
        <w:t>Bioresources</w:t>
      </w:r>
      <w:proofErr w:type="spellEnd"/>
      <w:r w:rsidRPr="009E78E0">
        <w:rPr>
          <w:rFonts w:ascii="Times New Roman" w:hAnsi="Times New Roman" w:cs="Times New Roman"/>
          <w:sz w:val="22"/>
        </w:rPr>
        <w:t xml:space="preserve"> Cell </w:t>
      </w:r>
      <w:r w:rsidRPr="009E78E0">
        <w:rPr>
          <w:rFonts w:ascii="Times New Roman" w:hAnsi="Times New Roman" w:cs="Times New Roman"/>
          <w:sz w:val="22"/>
        </w:rPr>
        <w:lastRenderedPageBreak/>
        <w:t xml:space="preserve">Bank (Osaka, Japan) and cultured in medium containing a 3:1 ratio of Dulbecco’s modified Eagle’s medium (DMEM, </w:t>
      </w:r>
      <w:proofErr w:type="spellStart"/>
      <w:r w:rsidRPr="009E78E0">
        <w:rPr>
          <w:rFonts w:ascii="Times New Roman" w:hAnsi="Times New Roman" w:cs="Times New Roman"/>
          <w:sz w:val="22"/>
        </w:rPr>
        <w:t>Gibco</w:t>
      </w:r>
      <w:proofErr w:type="spellEnd"/>
      <w:r w:rsidRPr="009E78E0">
        <w:rPr>
          <w:rFonts w:ascii="Times New Roman" w:hAnsi="Times New Roman" w:cs="Times New Roman"/>
          <w:sz w:val="22"/>
        </w:rPr>
        <w:t xml:space="preserve"> BRL, Grand Island, NY, USA) and Ham’s F12 Nutrient Mixture (F12, </w:t>
      </w:r>
      <w:proofErr w:type="spellStart"/>
      <w:r w:rsidRPr="009E78E0">
        <w:rPr>
          <w:rFonts w:ascii="Times New Roman" w:hAnsi="Times New Roman" w:cs="Times New Roman"/>
          <w:sz w:val="22"/>
        </w:rPr>
        <w:t>Gibco</w:t>
      </w:r>
      <w:proofErr w:type="spellEnd"/>
      <w:r w:rsidRPr="009E78E0">
        <w:rPr>
          <w:rFonts w:ascii="Times New Roman" w:hAnsi="Times New Roman" w:cs="Times New Roman"/>
          <w:sz w:val="22"/>
        </w:rPr>
        <w:t xml:space="preserve"> BRL) supplemented with 10% fetal bovine serum (FBS, </w:t>
      </w:r>
      <w:proofErr w:type="spellStart"/>
      <w:r w:rsidRPr="009E78E0">
        <w:rPr>
          <w:rFonts w:ascii="Times New Roman" w:hAnsi="Times New Roman" w:cs="Times New Roman"/>
          <w:sz w:val="22"/>
        </w:rPr>
        <w:t>HyClone</w:t>
      </w:r>
      <w:proofErr w:type="spellEnd"/>
      <w:r w:rsidRPr="009E78E0">
        <w:rPr>
          <w:rFonts w:ascii="Times New Roman" w:hAnsi="Times New Roman" w:cs="Times New Roman"/>
          <w:sz w:val="22"/>
        </w:rPr>
        <w:t xml:space="preserve">, Logan, UT, USA), 100 U/mL penicillin, 100 mg/mL streptomycin, 100 </w:t>
      </w:r>
      <w:proofErr w:type="spellStart"/>
      <w:r w:rsidRPr="009E78E0">
        <w:rPr>
          <w:rFonts w:ascii="Times New Roman" w:hAnsi="Times New Roman" w:cs="Times New Roman"/>
          <w:sz w:val="22"/>
        </w:rPr>
        <w:t>ng</w:t>
      </w:r>
      <w:proofErr w:type="spellEnd"/>
      <w:r w:rsidRPr="009E78E0">
        <w:rPr>
          <w:rFonts w:ascii="Times New Roman" w:hAnsi="Times New Roman" w:cs="Times New Roman"/>
          <w:sz w:val="22"/>
        </w:rPr>
        <w:t xml:space="preserve">/mL cholera toxin, 0.4 </w:t>
      </w:r>
      <w:proofErr w:type="spellStart"/>
      <w:r w:rsidRPr="009E78E0">
        <w:rPr>
          <w:rFonts w:ascii="Times New Roman" w:hAnsi="Times New Roman" w:cs="Times New Roman"/>
          <w:sz w:val="22"/>
        </w:rPr>
        <w:t>μg</w:t>
      </w:r>
      <w:proofErr w:type="spellEnd"/>
      <w:r w:rsidRPr="009E78E0">
        <w:rPr>
          <w:rFonts w:ascii="Times New Roman" w:hAnsi="Times New Roman" w:cs="Times New Roman"/>
          <w:sz w:val="22"/>
        </w:rPr>
        <w:t xml:space="preserve">/mL hydrocortisone, 5 </w:t>
      </w:r>
      <w:proofErr w:type="spellStart"/>
      <w:r w:rsidRPr="009E78E0">
        <w:rPr>
          <w:rFonts w:ascii="Times New Roman" w:hAnsi="Times New Roman" w:cs="Times New Roman"/>
          <w:sz w:val="22"/>
        </w:rPr>
        <w:t>μg</w:t>
      </w:r>
      <w:proofErr w:type="spellEnd"/>
      <w:r w:rsidRPr="009E78E0">
        <w:rPr>
          <w:rFonts w:ascii="Times New Roman" w:hAnsi="Times New Roman" w:cs="Times New Roman"/>
          <w:sz w:val="22"/>
        </w:rPr>
        <w:t xml:space="preserve">/mL insulin, 5 </w:t>
      </w:r>
      <w:proofErr w:type="spellStart"/>
      <w:r w:rsidRPr="009E78E0">
        <w:rPr>
          <w:rFonts w:ascii="Times New Roman" w:hAnsi="Times New Roman" w:cs="Times New Roman"/>
          <w:sz w:val="22"/>
        </w:rPr>
        <w:t>μg</w:t>
      </w:r>
      <w:proofErr w:type="spellEnd"/>
      <w:r w:rsidRPr="009E78E0">
        <w:rPr>
          <w:rFonts w:ascii="Times New Roman" w:hAnsi="Times New Roman" w:cs="Times New Roman"/>
          <w:sz w:val="22"/>
        </w:rPr>
        <w:t>/mL transferrin, and 2×10</w:t>
      </w:r>
      <w:r w:rsidRPr="009E78E0">
        <w:rPr>
          <w:rFonts w:ascii="Times New Roman" w:eastAsia="바탕" w:hAnsi="Times New Roman" w:cs="Times New Roman"/>
          <w:sz w:val="22"/>
          <w:vertAlign w:val="superscript"/>
        </w:rPr>
        <w:t>−</w:t>
      </w:r>
      <w:r w:rsidRPr="009E78E0">
        <w:rPr>
          <w:rFonts w:ascii="Times New Roman" w:hAnsi="Times New Roman" w:cs="Times New Roman"/>
          <w:sz w:val="22"/>
          <w:vertAlign w:val="superscript"/>
        </w:rPr>
        <w:t>11</w:t>
      </w:r>
      <w:r w:rsidRPr="009E78E0">
        <w:rPr>
          <w:rFonts w:ascii="Times New Roman" w:hAnsi="Times New Roman" w:cs="Times New Roman"/>
          <w:sz w:val="22"/>
        </w:rPr>
        <w:t>M tri-</w:t>
      </w:r>
      <w:proofErr w:type="spellStart"/>
      <w:r w:rsidRPr="009E78E0">
        <w:rPr>
          <w:rFonts w:ascii="Times New Roman" w:hAnsi="Times New Roman" w:cs="Times New Roman"/>
          <w:sz w:val="22"/>
        </w:rPr>
        <w:t>iodothyronine</w:t>
      </w:r>
      <w:proofErr w:type="spellEnd"/>
      <w:r w:rsidRPr="009E78E0">
        <w:rPr>
          <w:rFonts w:ascii="Times New Roman" w:hAnsi="Times New Roman" w:cs="Times New Roman"/>
          <w:sz w:val="22"/>
        </w:rPr>
        <w:t xml:space="preserve">. </w:t>
      </w:r>
    </w:p>
    <w:p w:rsidR="005C5953" w:rsidRPr="009E78E0" w:rsidRDefault="005C5953" w:rsidP="005C5953">
      <w:pPr>
        <w:spacing w:after="0" w:line="480" w:lineRule="auto"/>
        <w:rPr>
          <w:rFonts w:ascii="Times New Roman" w:hAnsi="Times New Roman" w:cs="Times New Roman"/>
          <w:sz w:val="22"/>
        </w:rPr>
      </w:pPr>
      <w:r w:rsidRPr="009E78E0">
        <w:rPr>
          <w:rFonts w:ascii="Times New Roman" w:hAnsi="Times New Roman" w:cs="Times New Roman"/>
          <w:sz w:val="22"/>
        </w:rPr>
        <w:t>Axin2 knockdown cells (CA9-22</w:t>
      </w:r>
      <w:r w:rsidRPr="009E78E0">
        <w:rPr>
          <w:rFonts w:ascii="Cambria Math" w:hAnsi="Cambria Math" w:cs="Cambria Math"/>
          <w:sz w:val="22"/>
          <w:vertAlign w:val="superscript"/>
        </w:rPr>
        <w:t>△</w:t>
      </w:r>
      <w:r w:rsidRPr="009E78E0">
        <w:rPr>
          <w:rFonts w:ascii="Times New Roman" w:hAnsi="Times New Roman" w:cs="Times New Roman"/>
          <w:sz w:val="22"/>
          <w:vertAlign w:val="superscript"/>
        </w:rPr>
        <w:t>Axin2</w:t>
      </w:r>
      <w:r w:rsidRPr="009E78E0">
        <w:rPr>
          <w:rFonts w:ascii="Times New Roman" w:hAnsi="Times New Roman" w:cs="Times New Roman"/>
          <w:sz w:val="22"/>
        </w:rPr>
        <w:t xml:space="preserve"> and HSC-2</w:t>
      </w:r>
      <w:r w:rsidRPr="009E78E0">
        <w:rPr>
          <w:rFonts w:ascii="Cambria Math" w:hAnsi="Cambria Math" w:cs="Cambria Math"/>
          <w:sz w:val="22"/>
          <w:vertAlign w:val="superscript"/>
        </w:rPr>
        <w:t>△</w:t>
      </w:r>
      <w:r w:rsidRPr="009E78E0">
        <w:rPr>
          <w:rFonts w:ascii="Times New Roman" w:hAnsi="Times New Roman" w:cs="Times New Roman"/>
          <w:sz w:val="22"/>
          <w:vertAlign w:val="superscript"/>
        </w:rPr>
        <w:t>Axin2</w:t>
      </w:r>
      <w:r w:rsidRPr="009E78E0">
        <w:rPr>
          <w:rFonts w:ascii="Times New Roman" w:hAnsi="Times New Roman" w:cs="Times New Roman"/>
          <w:sz w:val="22"/>
        </w:rPr>
        <w:t xml:space="preserve">) were constructed using </w:t>
      </w:r>
      <w:proofErr w:type="spellStart"/>
      <w:r w:rsidRPr="009E78E0">
        <w:rPr>
          <w:rFonts w:ascii="Times New Roman" w:hAnsi="Times New Roman" w:cs="Times New Roman"/>
          <w:sz w:val="22"/>
        </w:rPr>
        <w:t>pLKO</w:t>
      </w:r>
      <w:proofErr w:type="spellEnd"/>
      <w:r w:rsidRPr="009E78E0">
        <w:rPr>
          <w:rFonts w:ascii="Times New Roman" w:hAnsi="Times New Roman" w:cs="Times New Roman"/>
          <w:sz w:val="22"/>
        </w:rPr>
        <w:t>-</w:t>
      </w:r>
      <w:proofErr w:type="spellStart"/>
      <w:r w:rsidRPr="009E78E0">
        <w:rPr>
          <w:rFonts w:ascii="Times New Roman" w:hAnsi="Times New Roman" w:cs="Times New Roman"/>
          <w:sz w:val="22"/>
        </w:rPr>
        <w:t>Tet</w:t>
      </w:r>
      <w:proofErr w:type="spellEnd"/>
      <w:r w:rsidRPr="009E78E0">
        <w:rPr>
          <w:rFonts w:ascii="Times New Roman" w:hAnsi="Times New Roman" w:cs="Times New Roman"/>
          <w:sz w:val="22"/>
        </w:rPr>
        <w:t>-On vector (</w:t>
      </w:r>
      <w:proofErr w:type="spellStart"/>
      <w:r w:rsidRPr="009E78E0">
        <w:rPr>
          <w:rFonts w:ascii="Times New Roman" w:hAnsi="Times New Roman" w:cs="Times New Roman"/>
          <w:sz w:val="22"/>
        </w:rPr>
        <w:t>Addgene</w:t>
      </w:r>
      <w:proofErr w:type="spellEnd"/>
      <w:r w:rsidRPr="009E78E0">
        <w:rPr>
          <w:rFonts w:ascii="Times New Roman" w:hAnsi="Times New Roman" w:cs="Times New Roman"/>
          <w:sz w:val="22"/>
        </w:rPr>
        <w:t>, Cambridge, MA, USA) expressing short hairpin RNA (</w:t>
      </w:r>
      <w:proofErr w:type="spellStart"/>
      <w:r w:rsidRPr="009E78E0">
        <w:rPr>
          <w:rFonts w:ascii="Times New Roman" w:hAnsi="Times New Roman" w:cs="Times New Roman"/>
          <w:sz w:val="22"/>
        </w:rPr>
        <w:t>shRNA</w:t>
      </w:r>
      <w:proofErr w:type="spellEnd"/>
      <w:r w:rsidRPr="009E78E0">
        <w:rPr>
          <w:rFonts w:ascii="Times New Roman" w:hAnsi="Times New Roman" w:cs="Times New Roman"/>
          <w:sz w:val="22"/>
        </w:rPr>
        <w:t xml:space="preserve">) against Axin2 (Target sequence: 5'-ACCACCACTACATCCACCA-3')(pLKO-Tet-shAxin2). Both CA9-22 and HSC-2 cells transfected with pLKO-Tet-shAxin2 were grown in culture media supplemented with 10% </w:t>
      </w:r>
      <w:proofErr w:type="spellStart"/>
      <w:r w:rsidRPr="009E78E0">
        <w:rPr>
          <w:rFonts w:ascii="Times New Roman" w:hAnsi="Times New Roman" w:cs="Times New Roman"/>
          <w:sz w:val="22"/>
        </w:rPr>
        <w:t>Tet</w:t>
      </w:r>
      <w:proofErr w:type="spellEnd"/>
      <w:r w:rsidRPr="009E78E0">
        <w:rPr>
          <w:rFonts w:ascii="Times New Roman" w:hAnsi="Times New Roman" w:cs="Times New Roman"/>
          <w:sz w:val="22"/>
        </w:rPr>
        <w:t>-approved FBS (</w:t>
      </w:r>
      <w:proofErr w:type="spellStart"/>
      <w:r w:rsidRPr="009E78E0">
        <w:rPr>
          <w:rFonts w:ascii="Times New Roman" w:hAnsi="Times New Roman" w:cs="Times New Roman"/>
          <w:sz w:val="22"/>
        </w:rPr>
        <w:t>HyClone</w:t>
      </w:r>
      <w:proofErr w:type="spellEnd"/>
      <w:r w:rsidRPr="009E78E0">
        <w:rPr>
          <w:rFonts w:ascii="Times New Roman" w:hAnsi="Times New Roman" w:cs="Times New Roman"/>
          <w:sz w:val="22"/>
        </w:rPr>
        <w:t xml:space="preserve"> Laboratories, Inc., Logan, UT, USA) and 1 </w:t>
      </w:r>
      <w:proofErr w:type="spellStart"/>
      <w:r w:rsidRPr="009E78E0">
        <w:rPr>
          <w:rFonts w:ascii="Times New Roman" w:hAnsi="Times New Roman" w:cs="Times New Roman"/>
          <w:sz w:val="22"/>
        </w:rPr>
        <w:t>μg</w:t>
      </w:r>
      <w:proofErr w:type="spellEnd"/>
      <w:r w:rsidRPr="009E78E0">
        <w:rPr>
          <w:rFonts w:ascii="Times New Roman" w:hAnsi="Times New Roman" w:cs="Times New Roman"/>
          <w:sz w:val="22"/>
        </w:rPr>
        <w:t xml:space="preserve">/mL </w:t>
      </w:r>
      <w:proofErr w:type="spellStart"/>
      <w:r w:rsidRPr="009E78E0">
        <w:rPr>
          <w:rFonts w:ascii="Times New Roman" w:hAnsi="Times New Roman" w:cs="Times New Roman"/>
          <w:sz w:val="22"/>
        </w:rPr>
        <w:t>puromycin</w:t>
      </w:r>
      <w:proofErr w:type="spellEnd"/>
      <w:r w:rsidRPr="009E78E0">
        <w:rPr>
          <w:rFonts w:ascii="Times New Roman" w:hAnsi="Times New Roman" w:cs="Times New Roman"/>
          <w:sz w:val="22"/>
        </w:rPr>
        <w:t xml:space="preserve"> (CA9-22 </w:t>
      </w:r>
      <w:r w:rsidRPr="009E78E0">
        <w:rPr>
          <w:rFonts w:ascii="Times New Roman" w:hAnsi="Times New Roman" w:cs="Times New Roman"/>
          <w:sz w:val="22"/>
          <w:vertAlign w:val="superscript"/>
        </w:rPr>
        <w:t>Mock</w:t>
      </w:r>
      <w:r w:rsidRPr="009E78E0">
        <w:rPr>
          <w:rFonts w:ascii="Times New Roman" w:hAnsi="Times New Roman" w:cs="Times New Roman"/>
          <w:sz w:val="22"/>
        </w:rPr>
        <w:t xml:space="preserve"> and HSC-2 </w:t>
      </w:r>
      <w:r w:rsidRPr="009E78E0">
        <w:rPr>
          <w:rFonts w:ascii="Times New Roman" w:hAnsi="Times New Roman" w:cs="Times New Roman"/>
          <w:sz w:val="22"/>
          <w:vertAlign w:val="superscript"/>
        </w:rPr>
        <w:t>Mock</w:t>
      </w:r>
      <w:r w:rsidRPr="009E78E0">
        <w:rPr>
          <w:rFonts w:ascii="Times New Roman" w:hAnsi="Times New Roman" w:cs="Times New Roman"/>
          <w:sz w:val="22"/>
        </w:rPr>
        <w:t xml:space="preserve">). Axin2 </w:t>
      </w:r>
      <w:proofErr w:type="spellStart"/>
      <w:r w:rsidRPr="009E78E0">
        <w:rPr>
          <w:rFonts w:ascii="Times New Roman" w:hAnsi="Times New Roman" w:cs="Times New Roman"/>
          <w:sz w:val="22"/>
        </w:rPr>
        <w:t>shRNA</w:t>
      </w:r>
      <w:proofErr w:type="spellEnd"/>
      <w:r w:rsidRPr="009E78E0">
        <w:rPr>
          <w:rFonts w:ascii="Times New Roman" w:hAnsi="Times New Roman" w:cs="Times New Roman"/>
          <w:sz w:val="22"/>
        </w:rPr>
        <w:t xml:space="preserve"> expression was induced by 5 </w:t>
      </w:r>
      <w:proofErr w:type="spellStart"/>
      <w:r w:rsidRPr="009E78E0">
        <w:rPr>
          <w:rFonts w:ascii="Times New Roman" w:hAnsi="Times New Roman" w:cs="Times New Roman"/>
          <w:sz w:val="22"/>
        </w:rPr>
        <w:t>μg</w:t>
      </w:r>
      <w:proofErr w:type="spellEnd"/>
      <w:r w:rsidRPr="009E78E0">
        <w:rPr>
          <w:rFonts w:ascii="Times New Roman" w:hAnsi="Times New Roman" w:cs="Times New Roman"/>
          <w:sz w:val="22"/>
        </w:rPr>
        <w:t xml:space="preserve">/mL of doxycycline (Sigma-Aldrich, St. Louis, MO, USA), and knockdown of Axin2 expression in each stable cell line was confirmed by </w:t>
      </w:r>
      <w:proofErr w:type="spellStart"/>
      <w:r w:rsidRPr="009E78E0">
        <w:rPr>
          <w:rFonts w:ascii="Times New Roman" w:hAnsi="Times New Roman" w:cs="Times New Roman"/>
          <w:sz w:val="22"/>
        </w:rPr>
        <w:t>imm</w:t>
      </w:r>
      <w:r w:rsidR="00B82F4A">
        <w:rPr>
          <w:rFonts w:ascii="Times New Roman" w:hAnsi="Times New Roman" w:cs="Times New Roman"/>
          <w:sz w:val="22"/>
        </w:rPr>
        <w:t>unocytochemical</w:t>
      </w:r>
      <w:proofErr w:type="spellEnd"/>
      <w:r w:rsidR="00B82F4A">
        <w:rPr>
          <w:rFonts w:ascii="Times New Roman" w:hAnsi="Times New Roman" w:cs="Times New Roman"/>
          <w:sz w:val="22"/>
        </w:rPr>
        <w:t xml:space="preserve"> staining</w:t>
      </w:r>
      <w:r w:rsidRPr="009E78E0">
        <w:rPr>
          <w:rFonts w:ascii="Times New Roman" w:hAnsi="Times New Roman" w:cs="Times New Roman"/>
          <w:sz w:val="22"/>
        </w:rPr>
        <w:t xml:space="preserve">. </w:t>
      </w:r>
    </w:p>
    <w:p w:rsidR="005C5953" w:rsidRPr="00EA4E56" w:rsidRDefault="005C5953" w:rsidP="005C5953">
      <w:pPr>
        <w:spacing w:after="0" w:line="480" w:lineRule="auto"/>
        <w:rPr>
          <w:rFonts w:ascii="Arial" w:hAnsi="Arial" w:cs="Arial"/>
          <w:sz w:val="22"/>
        </w:rPr>
      </w:pPr>
    </w:p>
    <w:p w:rsidR="005C5953" w:rsidRPr="00B82F4A" w:rsidRDefault="005C5953" w:rsidP="005C5953">
      <w:pPr>
        <w:spacing w:after="0" w:line="480" w:lineRule="auto"/>
        <w:rPr>
          <w:rFonts w:ascii="Times New Roman" w:hAnsi="Times New Roman" w:cs="Times New Roman"/>
          <w:sz w:val="22"/>
        </w:rPr>
      </w:pPr>
      <w:r w:rsidRPr="00B82F4A">
        <w:rPr>
          <w:rFonts w:ascii="Times New Roman" w:hAnsi="Times New Roman" w:cs="Times New Roman"/>
          <w:sz w:val="22"/>
        </w:rPr>
        <w:t>CAF culture from OSCC tissues</w:t>
      </w:r>
    </w:p>
    <w:p w:rsidR="005C5953" w:rsidRPr="00B82F4A" w:rsidRDefault="005C5953" w:rsidP="005C5953">
      <w:pPr>
        <w:spacing w:after="0" w:line="480" w:lineRule="auto"/>
        <w:rPr>
          <w:rFonts w:ascii="Times New Roman" w:hAnsi="Times New Roman" w:cs="Times New Roman"/>
          <w:sz w:val="22"/>
        </w:rPr>
      </w:pPr>
      <w:r w:rsidRPr="00B82F4A">
        <w:rPr>
          <w:rFonts w:ascii="Times New Roman" w:hAnsi="Times New Roman" w:cs="Times New Roman"/>
          <w:sz w:val="22"/>
        </w:rPr>
        <w:t>Primary CAFs were prepared using OSCC surgical specimens. The tissue samples were cut into approximately 2 mm</w:t>
      </w:r>
      <w:r w:rsidRPr="00B82F4A">
        <w:rPr>
          <w:rFonts w:ascii="Times New Roman" w:hAnsi="Times New Roman" w:cs="Times New Roman"/>
          <w:sz w:val="22"/>
          <w:vertAlign w:val="superscript"/>
        </w:rPr>
        <w:t>3</w:t>
      </w:r>
      <w:r w:rsidRPr="00B82F4A">
        <w:rPr>
          <w:rFonts w:ascii="Times New Roman" w:hAnsi="Times New Roman" w:cs="Times New Roman"/>
          <w:sz w:val="22"/>
        </w:rPr>
        <w:t xml:space="preserve"> sized cubes and cultured in Dulbecco’s modified Eagle’s medium (DMEM, </w:t>
      </w:r>
      <w:proofErr w:type="spellStart"/>
      <w:r w:rsidRPr="00B82F4A">
        <w:rPr>
          <w:rFonts w:ascii="Times New Roman" w:hAnsi="Times New Roman" w:cs="Times New Roman"/>
          <w:sz w:val="22"/>
        </w:rPr>
        <w:t>Gibco</w:t>
      </w:r>
      <w:proofErr w:type="spellEnd"/>
      <w:r w:rsidRPr="00B82F4A">
        <w:rPr>
          <w:rFonts w:ascii="Times New Roman" w:hAnsi="Times New Roman" w:cs="Times New Roman"/>
          <w:sz w:val="22"/>
        </w:rPr>
        <w:t xml:space="preserve"> BRL, Grand Island, NY, USA) supplemented with 10% fetal bovine serum (FBS, </w:t>
      </w:r>
      <w:proofErr w:type="spellStart"/>
      <w:r w:rsidRPr="00B82F4A">
        <w:rPr>
          <w:rFonts w:ascii="Times New Roman" w:hAnsi="Times New Roman" w:cs="Times New Roman"/>
          <w:sz w:val="22"/>
        </w:rPr>
        <w:t>HyClone</w:t>
      </w:r>
      <w:proofErr w:type="spellEnd"/>
      <w:r w:rsidRPr="00B82F4A">
        <w:rPr>
          <w:rFonts w:ascii="Times New Roman" w:hAnsi="Times New Roman" w:cs="Times New Roman"/>
          <w:sz w:val="22"/>
        </w:rPr>
        <w:t xml:space="preserve">, Logan, UT, USA), 100 U/mL penicillin, 100 mg/mL streptomycin. After 2 weeks of culture, the outgrown cells were harvested and the identities of the cells were verified according to the expression of </w:t>
      </w:r>
      <w:proofErr w:type="spellStart"/>
      <w:r w:rsidRPr="00B82F4A">
        <w:rPr>
          <w:rFonts w:ascii="Times New Roman" w:hAnsi="Times New Roman" w:cs="Times New Roman"/>
          <w:sz w:val="22"/>
        </w:rPr>
        <w:t>vimentin</w:t>
      </w:r>
      <w:proofErr w:type="spellEnd"/>
      <w:r w:rsidRPr="00B82F4A">
        <w:rPr>
          <w:rFonts w:ascii="Times New Roman" w:hAnsi="Times New Roman" w:cs="Times New Roman"/>
          <w:sz w:val="22"/>
        </w:rPr>
        <w:t xml:space="preserve"> and α-smooth muscle actin (α-SMA). CAFs used in this study were at passage 4. </w:t>
      </w:r>
    </w:p>
    <w:p w:rsidR="005C5953" w:rsidRPr="005C5953" w:rsidRDefault="005C5953" w:rsidP="005C5953"/>
    <w:p w:rsidR="005C5953" w:rsidRPr="00B82F4A" w:rsidRDefault="005C5953" w:rsidP="005C5953">
      <w:pPr>
        <w:spacing w:after="0" w:line="480" w:lineRule="auto"/>
        <w:rPr>
          <w:rFonts w:ascii="Times New Roman" w:hAnsi="Times New Roman" w:cs="Times New Roman"/>
          <w:sz w:val="22"/>
        </w:rPr>
      </w:pPr>
      <w:r w:rsidRPr="00B82F4A">
        <w:rPr>
          <w:rFonts w:ascii="Times New Roman" w:hAnsi="Times New Roman" w:cs="Times New Roman"/>
          <w:sz w:val="22"/>
        </w:rPr>
        <w:t>Wound healing and invasion assays</w:t>
      </w:r>
    </w:p>
    <w:p w:rsidR="005C5953" w:rsidRPr="00B82F4A" w:rsidRDefault="005C5953" w:rsidP="005C5953">
      <w:pPr>
        <w:spacing w:after="0" w:line="480" w:lineRule="auto"/>
        <w:rPr>
          <w:rFonts w:ascii="Times New Roman" w:hAnsi="Times New Roman" w:cs="Times New Roman"/>
          <w:sz w:val="22"/>
        </w:rPr>
      </w:pPr>
      <w:r w:rsidRPr="00B82F4A">
        <w:rPr>
          <w:rFonts w:ascii="Times New Roman" w:hAnsi="Times New Roman" w:cs="Times New Roman"/>
          <w:sz w:val="22"/>
        </w:rPr>
        <w:t>For the wound healing assay, groups of OSCC cells and CAFs were seeded in 24-well plates at densities of 3x10</w:t>
      </w:r>
      <w:r w:rsidRPr="00B82F4A">
        <w:rPr>
          <w:rFonts w:ascii="Times New Roman" w:hAnsi="Times New Roman" w:cs="Times New Roman"/>
          <w:sz w:val="22"/>
          <w:vertAlign w:val="superscript"/>
        </w:rPr>
        <w:t>5</w:t>
      </w:r>
      <w:r w:rsidRPr="00B82F4A">
        <w:rPr>
          <w:rFonts w:ascii="Times New Roman" w:hAnsi="Times New Roman" w:cs="Times New Roman"/>
          <w:sz w:val="22"/>
        </w:rPr>
        <w:t xml:space="preserve"> and 1x10</w:t>
      </w:r>
      <w:r w:rsidRPr="00B82F4A">
        <w:rPr>
          <w:rFonts w:ascii="Times New Roman" w:hAnsi="Times New Roman" w:cs="Times New Roman"/>
          <w:sz w:val="22"/>
          <w:vertAlign w:val="superscript"/>
        </w:rPr>
        <w:t xml:space="preserve">5 </w:t>
      </w:r>
      <w:r w:rsidRPr="00B82F4A">
        <w:rPr>
          <w:rFonts w:ascii="Times New Roman" w:hAnsi="Times New Roman" w:cs="Times New Roman"/>
          <w:sz w:val="22"/>
        </w:rPr>
        <w:t xml:space="preserve">cells, respectively. The wound closure was determined 20h after scratch wounding. The </w:t>
      </w:r>
      <w:proofErr w:type="spellStart"/>
      <w:r w:rsidRPr="00B82F4A">
        <w:rPr>
          <w:rFonts w:ascii="Times New Roman" w:hAnsi="Times New Roman" w:cs="Times New Roman"/>
          <w:sz w:val="22"/>
        </w:rPr>
        <w:t>transwell</w:t>
      </w:r>
      <w:proofErr w:type="spellEnd"/>
      <w:r w:rsidRPr="00B82F4A">
        <w:rPr>
          <w:rFonts w:ascii="Times New Roman" w:hAnsi="Times New Roman" w:cs="Times New Roman"/>
          <w:sz w:val="22"/>
        </w:rPr>
        <w:t xml:space="preserve"> chamber culture system (BD Biosciences, Bedford, MA, USA) was used to quantify the invasion ability of the subjected cells. OSCC cells and CAFs were seeded on the upper </w:t>
      </w:r>
      <w:r w:rsidRPr="00B82F4A">
        <w:rPr>
          <w:rFonts w:ascii="Times New Roman" w:hAnsi="Times New Roman" w:cs="Times New Roman"/>
          <w:sz w:val="22"/>
        </w:rPr>
        <w:lastRenderedPageBreak/>
        <w:t xml:space="preserve">chamber of the </w:t>
      </w:r>
      <w:proofErr w:type="spellStart"/>
      <w:r w:rsidRPr="00B82F4A">
        <w:rPr>
          <w:rFonts w:ascii="Times New Roman" w:hAnsi="Times New Roman" w:cs="Times New Roman"/>
          <w:sz w:val="22"/>
        </w:rPr>
        <w:t>transwell</w:t>
      </w:r>
      <w:proofErr w:type="spellEnd"/>
      <w:r w:rsidRPr="00B82F4A">
        <w:rPr>
          <w:rFonts w:ascii="Times New Roman" w:hAnsi="Times New Roman" w:cs="Times New Roman"/>
          <w:sz w:val="22"/>
        </w:rPr>
        <w:t xml:space="preserve"> with culture medium containing 2% FBS at densities of 3x10</w:t>
      </w:r>
      <w:r w:rsidRPr="00B82F4A">
        <w:rPr>
          <w:rFonts w:ascii="Times New Roman" w:hAnsi="Times New Roman" w:cs="Times New Roman"/>
          <w:sz w:val="22"/>
          <w:vertAlign w:val="superscript"/>
        </w:rPr>
        <w:t>4</w:t>
      </w:r>
      <w:r w:rsidRPr="00B82F4A">
        <w:rPr>
          <w:rFonts w:ascii="Times New Roman" w:hAnsi="Times New Roman" w:cs="Times New Roman"/>
          <w:sz w:val="22"/>
        </w:rPr>
        <w:t xml:space="preserve"> and 1x10</w:t>
      </w:r>
      <w:r w:rsidRPr="00B82F4A">
        <w:rPr>
          <w:rFonts w:ascii="Times New Roman" w:hAnsi="Times New Roman" w:cs="Times New Roman"/>
          <w:sz w:val="22"/>
          <w:vertAlign w:val="superscript"/>
        </w:rPr>
        <w:t>4</w:t>
      </w:r>
      <w:r w:rsidRPr="00B82F4A">
        <w:rPr>
          <w:rFonts w:ascii="Times New Roman" w:hAnsi="Times New Roman" w:cs="Times New Roman"/>
          <w:sz w:val="22"/>
        </w:rPr>
        <w:t xml:space="preserve">, respectively. Culture medium containing 20% FBS was added in the lower chamber. After 36 h of incubation, penetrating cells were counted by light microscope. </w:t>
      </w:r>
    </w:p>
    <w:p w:rsidR="005C5953" w:rsidRPr="005C5953" w:rsidRDefault="005C5953" w:rsidP="005C5953"/>
    <w:p w:rsidR="00E75363" w:rsidRPr="00B82F4A" w:rsidRDefault="00B22727">
      <w:pPr>
        <w:rPr>
          <w:rFonts w:ascii="Times New Roman" w:hAnsi="Times New Roman" w:cs="Times New Roman"/>
          <w:sz w:val="22"/>
        </w:rPr>
      </w:pPr>
      <w:r w:rsidRPr="00B82F4A">
        <w:rPr>
          <w:rFonts w:ascii="Times New Roman" w:hAnsi="Times New Roman" w:cs="Times New Roman"/>
          <w:sz w:val="22"/>
        </w:rPr>
        <w:t>Quantitative reverse transcription polymerase chain reaction</w:t>
      </w:r>
    </w:p>
    <w:p w:rsidR="00B22727" w:rsidRPr="00AE7D0F" w:rsidRDefault="00B22727" w:rsidP="00B22727">
      <w:pPr>
        <w:spacing w:after="0" w:line="480" w:lineRule="auto"/>
        <w:rPr>
          <w:rFonts w:ascii="Times New Roman" w:hAnsi="Times New Roman" w:cs="Times New Roman"/>
          <w:sz w:val="22"/>
        </w:rPr>
      </w:pPr>
      <w:r w:rsidRPr="00AE7D0F">
        <w:rPr>
          <w:rFonts w:ascii="Times New Roman" w:hAnsi="Times New Roman" w:cs="Times New Roman"/>
          <w:sz w:val="22"/>
        </w:rPr>
        <w:t xml:space="preserve">The level of mRNA expression for target genes was determined using 2×SYBR Premix Ex </w:t>
      </w:r>
      <w:proofErr w:type="spellStart"/>
      <w:r w:rsidRPr="00AE7D0F">
        <w:rPr>
          <w:rFonts w:ascii="Times New Roman" w:hAnsi="Times New Roman" w:cs="Times New Roman"/>
          <w:sz w:val="22"/>
        </w:rPr>
        <w:t>Taq</w:t>
      </w:r>
      <w:proofErr w:type="spellEnd"/>
      <w:r w:rsidRPr="00AE7D0F">
        <w:rPr>
          <w:rFonts w:ascii="Times New Roman" w:hAnsi="Times New Roman" w:cs="Times New Roman"/>
          <w:sz w:val="22"/>
        </w:rPr>
        <w:t xml:space="preserve"> II (</w:t>
      </w:r>
      <w:proofErr w:type="spellStart"/>
      <w:r w:rsidRPr="00AE7D0F">
        <w:rPr>
          <w:rFonts w:ascii="Times New Roman" w:hAnsi="Times New Roman" w:cs="Times New Roman"/>
          <w:sz w:val="22"/>
        </w:rPr>
        <w:t>Tli</w:t>
      </w:r>
      <w:proofErr w:type="spellEnd"/>
      <w:r w:rsidRPr="00AE7D0F">
        <w:rPr>
          <w:rFonts w:ascii="Times New Roman" w:hAnsi="Times New Roman" w:cs="Times New Roman"/>
          <w:sz w:val="22"/>
        </w:rPr>
        <w:t xml:space="preserve"> </w:t>
      </w:r>
      <w:proofErr w:type="spellStart"/>
      <w:r w:rsidRPr="00AE7D0F">
        <w:rPr>
          <w:rFonts w:ascii="Times New Roman" w:hAnsi="Times New Roman" w:cs="Times New Roman"/>
          <w:sz w:val="22"/>
        </w:rPr>
        <w:t>RnaseH</w:t>
      </w:r>
      <w:proofErr w:type="spellEnd"/>
      <w:r w:rsidRPr="00AE7D0F">
        <w:rPr>
          <w:rFonts w:ascii="Times New Roman" w:hAnsi="Times New Roman" w:cs="Times New Roman"/>
          <w:sz w:val="22"/>
        </w:rPr>
        <w:t xml:space="preserve"> Plus) (RR82LR; Takara, Ann Arbor, MI, USA) on an Applied </w:t>
      </w:r>
      <w:proofErr w:type="spellStart"/>
      <w:r w:rsidRPr="00AE7D0F">
        <w:rPr>
          <w:rFonts w:ascii="Times New Roman" w:hAnsi="Times New Roman" w:cs="Times New Roman"/>
          <w:sz w:val="22"/>
        </w:rPr>
        <w:t>Biosystems</w:t>
      </w:r>
      <w:proofErr w:type="spellEnd"/>
      <w:r w:rsidRPr="00AE7D0F">
        <w:rPr>
          <w:rFonts w:ascii="Times New Roman" w:hAnsi="Times New Roman" w:cs="Times New Roman"/>
          <w:sz w:val="22"/>
        </w:rPr>
        <w:t xml:space="preserve"> (Foster City, CA, USA) instrument by quantitative reverse transcription polymerase chain reaction. Total RNA extraction was performed in each group of cells using </w:t>
      </w:r>
      <w:proofErr w:type="spellStart"/>
      <w:r w:rsidRPr="00AE7D0F">
        <w:rPr>
          <w:rFonts w:ascii="Times New Roman" w:hAnsi="Times New Roman" w:cs="Times New Roman"/>
          <w:sz w:val="22"/>
        </w:rPr>
        <w:t>TRIzol</w:t>
      </w:r>
      <w:proofErr w:type="spellEnd"/>
      <w:r w:rsidRPr="00AE7D0F">
        <w:rPr>
          <w:rFonts w:ascii="Times New Roman" w:hAnsi="Times New Roman" w:cs="Times New Roman"/>
          <w:sz w:val="22"/>
        </w:rPr>
        <w:t xml:space="preserve"> Reagent (Invitrogen), and </w:t>
      </w:r>
      <w:proofErr w:type="spellStart"/>
      <w:r w:rsidRPr="00AE7D0F">
        <w:rPr>
          <w:rFonts w:ascii="Times New Roman" w:hAnsi="Times New Roman" w:cs="Times New Roman"/>
          <w:sz w:val="22"/>
        </w:rPr>
        <w:t>oligo</w:t>
      </w:r>
      <w:proofErr w:type="spellEnd"/>
      <w:r w:rsidRPr="00AE7D0F">
        <w:rPr>
          <w:rFonts w:ascii="Times New Roman" w:hAnsi="Times New Roman" w:cs="Times New Roman"/>
          <w:sz w:val="22"/>
        </w:rPr>
        <w:t xml:space="preserve"> (</w:t>
      </w:r>
      <w:proofErr w:type="spellStart"/>
      <w:proofErr w:type="gramStart"/>
      <w:r w:rsidRPr="00AE7D0F">
        <w:rPr>
          <w:rFonts w:ascii="Times New Roman" w:hAnsi="Times New Roman" w:cs="Times New Roman"/>
          <w:sz w:val="22"/>
        </w:rPr>
        <w:t>dT</w:t>
      </w:r>
      <w:proofErr w:type="spellEnd"/>
      <w:proofErr w:type="gramEnd"/>
      <w:r w:rsidRPr="00AE7D0F">
        <w:rPr>
          <w:rFonts w:ascii="Times New Roman" w:hAnsi="Times New Roman" w:cs="Times New Roman"/>
          <w:sz w:val="22"/>
        </w:rPr>
        <w:t xml:space="preserve">) primers were used to synthesize complementary DNA. All of the mRNA expression was normalized to that of actin, and primer sequences are listed in supplementary </w:t>
      </w:r>
      <w:r w:rsidRPr="00D6392B">
        <w:rPr>
          <w:rFonts w:ascii="Times New Roman" w:hAnsi="Times New Roman" w:cs="Times New Roman"/>
          <w:b/>
          <w:sz w:val="22"/>
        </w:rPr>
        <w:t>Table 1</w:t>
      </w:r>
      <w:r w:rsidRPr="00AE7D0F">
        <w:rPr>
          <w:rFonts w:ascii="Times New Roman" w:hAnsi="Times New Roman" w:cs="Times New Roman"/>
          <w:sz w:val="22"/>
        </w:rPr>
        <w:t xml:space="preserve">. </w:t>
      </w:r>
    </w:p>
    <w:p w:rsidR="00B22727" w:rsidRDefault="00B22727"/>
    <w:p w:rsidR="00B82F4A" w:rsidRDefault="00B82F4A">
      <w:pPr>
        <w:rPr>
          <w:rFonts w:ascii="Times New Roman" w:eastAsia="굴림" w:hAnsi="Times New Roman"/>
          <w:b/>
          <w:sz w:val="24"/>
          <w:szCs w:val="24"/>
        </w:rPr>
      </w:pPr>
      <w:r w:rsidRPr="009E1E80">
        <w:rPr>
          <w:rFonts w:ascii="Times New Roman" w:hAnsi="Times New Roman" w:hint="eastAsia"/>
          <w:b/>
          <w:sz w:val="24"/>
          <w:szCs w:val="24"/>
        </w:rPr>
        <w:t>Supplementary</w:t>
      </w:r>
      <w:r w:rsidRPr="009E1E80">
        <w:rPr>
          <w:rFonts w:ascii="Times New Roman" w:hAnsi="Times New Roman"/>
          <w:b/>
          <w:sz w:val="24"/>
          <w:szCs w:val="24"/>
        </w:rPr>
        <w:t xml:space="preserve"> </w:t>
      </w:r>
      <w:r>
        <w:rPr>
          <w:rFonts w:ascii="Times New Roman" w:eastAsia="굴림" w:hAnsi="Times New Roman" w:hint="eastAsia"/>
          <w:b/>
          <w:sz w:val="24"/>
          <w:szCs w:val="24"/>
        </w:rPr>
        <w:t>r</w:t>
      </w:r>
      <w:r w:rsidRPr="00EE4619">
        <w:rPr>
          <w:rFonts w:ascii="Times New Roman" w:eastAsia="굴림" w:hAnsi="Times New Roman"/>
          <w:b/>
          <w:sz w:val="24"/>
          <w:szCs w:val="24"/>
        </w:rPr>
        <w:t>eferences</w:t>
      </w:r>
    </w:p>
    <w:p w:rsidR="00B82F4A" w:rsidRPr="00B82F4A" w:rsidRDefault="00B82F4A" w:rsidP="00B82F4A">
      <w:pPr>
        <w:pStyle w:val="EndNoteBibliography"/>
        <w:spacing w:after="0" w:line="480" w:lineRule="auto"/>
        <w:ind w:left="720" w:hanging="720"/>
        <w:rPr>
          <w:rFonts w:ascii="Times New Roman" w:hAnsi="Times New Roman" w:cs="Times New Roman"/>
          <w:sz w:val="22"/>
        </w:rPr>
      </w:pPr>
      <w:r w:rsidRPr="00B82F4A">
        <w:rPr>
          <w:rFonts w:ascii="Times New Roman" w:hAnsi="Times New Roman" w:cs="Times New Roman"/>
          <w:sz w:val="22"/>
        </w:rPr>
        <w:fldChar w:fldCharType="begin"/>
      </w:r>
      <w:r w:rsidRPr="00B82F4A">
        <w:rPr>
          <w:rFonts w:ascii="Times New Roman" w:hAnsi="Times New Roman" w:cs="Times New Roman"/>
          <w:sz w:val="22"/>
        </w:rPr>
        <w:instrText xml:space="preserve"> ADDIN EN.REFLIST </w:instrText>
      </w:r>
      <w:r w:rsidRPr="00B82F4A">
        <w:rPr>
          <w:rFonts w:ascii="Times New Roman" w:hAnsi="Times New Roman" w:cs="Times New Roman"/>
          <w:sz w:val="22"/>
        </w:rPr>
        <w:fldChar w:fldCharType="separate"/>
      </w:r>
      <w:r w:rsidRPr="00B82F4A">
        <w:rPr>
          <w:rFonts w:ascii="Times New Roman" w:hAnsi="Times New Roman" w:cs="Times New Roman"/>
          <w:sz w:val="22"/>
        </w:rPr>
        <w:t>[1]</w:t>
      </w:r>
      <w:r w:rsidRPr="00B82F4A">
        <w:rPr>
          <w:rFonts w:ascii="Times New Roman" w:hAnsi="Times New Roman" w:cs="Times New Roman"/>
          <w:sz w:val="22"/>
        </w:rPr>
        <w:tab/>
        <w:t>Yook JI, Li XY, Ota I, et al. A Wnt-Axin2-GSK3beta cascade regulates Snail1 activity in breast cancer cells. Nat Cell Biol 2006;8:1398-406.</w:t>
      </w:r>
    </w:p>
    <w:p w:rsidR="00B82F4A" w:rsidRPr="00B82F4A" w:rsidRDefault="00B82F4A" w:rsidP="00B82F4A">
      <w:pPr>
        <w:pStyle w:val="EndNoteBibliography"/>
        <w:spacing w:line="480" w:lineRule="auto"/>
        <w:ind w:left="720" w:hanging="720"/>
        <w:rPr>
          <w:rFonts w:ascii="Times New Roman" w:hAnsi="Times New Roman" w:cs="Times New Roman"/>
          <w:sz w:val="22"/>
        </w:rPr>
      </w:pPr>
      <w:r w:rsidRPr="00B82F4A">
        <w:rPr>
          <w:rFonts w:ascii="Times New Roman" w:hAnsi="Times New Roman" w:cs="Times New Roman"/>
          <w:sz w:val="22"/>
        </w:rPr>
        <w:t>[2]</w:t>
      </w:r>
      <w:r w:rsidRPr="00B82F4A">
        <w:rPr>
          <w:rFonts w:ascii="Times New Roman" w:hAnsi="Times New Roman" w:cs="Times New Roman"/>
          <w:sz w:val="22"/>
        </w:rPr>
        <w:tab/>
        <w:t>Zhang X, Zheng Z, Shin YK, et al. Angiogenic factor thymidine phosphorylase associates with angiogenesis and lymphangiogenesis in the intestinal-type gastric cancer. Pathology 2014;46:316-24.</w:t>
      </w:r>
    </w:p>
    <w:p w:rsidR="00B82F4A" w:rsidRDefault="00B82F4A" w:rsidP="00B82F4A">
      <w:pPr>
        <w:spacing w:line="480" w:lineRule="auto"/>
        <w:rPr>
          <w:rFonts w:ascii="Times New Roman" w:hAnsi="Times New Roman"/>
          <w:b/>
          <w:color w:val="000000"/>
          <w:sz w:val="24"/>
          <w:szCs w:val="24"/>
        </w:rPr>
      </w:pPr>
      <w:r w:rsidRPr="00B82F4A">
        <w:rPr>
          <w:rFonts w:ascii="Times New Roman" w:hAnsi="Times New Roman" w:cs="Times New Roman"/>
          <w:sz w:val="22"/>
        </w:rPr>
        <w:fldChar w:fldCharType="end"/>
      </w:r>
      <w:r w:rsidRPr="00A608CA">
        <w:rPr>
          <w:rFonts w:ascii="Times New Roman" w:hAnsi="Times New Roman"/>
          <w:b/>
          <w:color w:val="000000"/>
          <w:sz w:val="24"/>
          <w:szCs w:val="24"/>
        </w:rPr>
        <w:t>Supplementary figure legends</w:t>
      </w:r>
    </w:p>
    <w:p w:rsidR="00B82F4A" w:rsidRPr="00B82F4A" w:rsidRDefault="00B82F4A" w:rsidP="00B82F4A">
      <w:pPr>
        <w:spacing w:line="480" w:lineRule="auto"/>
        <w:rPr>
          <w:sz w:val="18"/>
        </w:rPr>
      </w:pPr>
      <w:r>
        <w:rPr>
          <w:rFonts w:ascii="Times New Roman" w:hAnsi="Times New Roman" w:hint="eastAsia"/>
          <w:b/>
          <w:color w:val="000000"/>
          <w:sz w:val="24"/>
          <w:szCs w:val="24"/>
        </w:rPr>
        <w:t xml:space="preserve">Figure S1. </w:t>
      </w:r>
      <w:r w:rsidR="004C3C2D" w:rsidRPr="004C3C2D">
        <w:rPr>
          <w:rFonts w:ascii="Times New Roman" w:hAnsi="Times New Roman"/>
          <w:color w:val="000000"/>
          <w:sz w:val="22"/>
          <w:szCs w:val="24"/>
        </w:rPr>
        <w:t>Influence of Axin2 knockdown on the biological behavior of OSCC cell lines. (A) Expression of both Axin2 and Snail was strongly decreased after Axin2 knockdown in CA9-22 (i) and HSC-2 (</w:t>
      </w:r>
      <w:proofErr w:type="gramStart"/>
      <w:r w:rsidR="004C3C2D" w:rsidRPr="004C3C2D">
        <w:rPr>
          <w:rFonts w:ascii="Times New Roman" w:hAnsi="Times New Roman"/>
          <w:color w:val="000000"/>
          <w:sz w:val="22"/>
          <w:szCs w:val="24"/>
        </w:rPr>
        <w:t>iv</w:t>
      </w:r>
      <w:proofErr w:type="gramEnd"/>
      <w:r w:rsidR="004C3C2D" w:rsidRPr="004C3C2D">
        <w:rPr>
          <w:rFonts w:ascii="Times New Roman" w:hAnsi="Times New Roman"/>
          <w:color w:val="000000"/>
          <w:sz w:val="22"/>
          <w:szCs w:val="24"/>
        </w:rPr>
        <w:t xml:space="preserve">) cell lines (original magnification, x400; scale bar, 25 </w:t>
      </w:r>
      <w:proofErr w:type="spellStart"/>
      <w:r w:rsidR="004C3C2D" w:rsidRPr="004C3C2D">
        <w:rPr>
          <w:rFonts w:ascii="Times New Roman" w:hAnsi="Times New Roman"/>
          <w:color w:val="000000"/>
          <w:sz w:val="22"/>
          <w:szCs w:val="24"/>
        </w:rPr>
        <w:t>μm</w:t>
      </w:r>
      <w:proofErr w:type="spellEnd"/>
      <w:r w:rsidR="004C3C2D" w:rsidRPr="004C3C2D">
        <w:rPr>
          <w:rFonts w:ascii="Times New Roman" w:hAnsi="Times New Roman"/>
          <w:color w:val="000000"/>
          <w:sz w:val="22"/>
          <w:szCs w:val="24"/>
        </w:rPr>
        <w:t xml:space="preserve">). Both cell number and Ki67 mRNA expression were significantly decreased after Axin2 knockdown in CA9-22 (ii-iii) and HSC-2 cell lines (v-vi). Migration ability was significantly reduced after Axin2 knockdown in both CA9-22 (i-ii) and HSC-2 (iii-iv) cell lines (original magnification, x200; scale bar, 50μm). (C) Invasion ability was significantly decreased after Axin2 knockdown in both CA9-22 (i-ii) and HSC-2 (iii-iv) cell lines </w:t>
      </w:r>
      <w:r w:rsidR="004C3C2D" w:rsidRPr="004C3C2D">
        <w:rPr>
          <w:rFonts w:ascii="Times New Roman" w:hAnsi="Times New Roman"/>
          <w:color w:val="000000"/>
          <w:sz w:val="22"/>
          <w:szCs w:val="24"/>
        </w:rPr>
        <w:lastRenderedPageBreak/>
        <w:t>(original magnification, x100; scale bar, 100μm). (D) CCL2, CCL5, and IL8 mRNA expression was significantly decreased after Axin2 knockdown in both CA9-22 (i) and HSC-2 (ii) c</w:t>
      </w:r>
      <w:bookmarkStart w:id="0" w:name="_GoBack"/>
      <w:bookmarkEnd w:id="0"/>
      <w:r w:rsidR="004C3C2D" w:rsidRPr="004C3C2D">
        <w:rPr>
          <w:rFonts w:ascii="Times New Roman" w:hAnsi="Times New Roman"/>
          <w:color w:val="000000"/>
          <w:sz w:val="22"/>
          <w:szCs w:val="24"/>
        </w:rPr>
        <w:t xml:space="preserve">ells (* </w:t>
      </w:r>
      <w:r w:rsidR="004C3C2D" w:rsidRPr="004C3C2D">
        <w:rPr>
          <w:rFonts w:ascii="Times New Roman" w:hAnsi="Times New Roman"/>
          <w:i/>
          <w:color w:val="000000"/>
          <w:sz w:val="22"/>
          <w:szCs w:val="24"/>
        </w:rPr>
        <w:t>p</w:t>
      </w:r>
      <w:r w:rsidR="004C3C2D" w:rsidRPr="004C3C2D">
        <w:rPr>
          <w:rFonts w:ascii="Times New Roman" w:hAnsi="Times New Roman"/>
          <w:color w:val="000000"/>
          <w:sz w:val="22"/>
          <w:szCs w:val="24"/>
        </w:rPr>
        <w:t>&lt;0.05).</w:t>
      </w:r>
    </w:p>
    <w:sectPr w:rsidR="00B82F4A" w:rsidRPr="00B82F4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CD" w:rsidRDefault="00FB2CCD" w:rsidP="00B82F4A">
      <w:pPr>
        <w:spacing w:after="0" w:line="240" w:lineRule="auto"/>
      </w:pPr>
      <w:r>
        <w:separator/>
      </w:r>
    </w:p>
  </w:endnote>
  <w:endnote w:type="continuationSeparator" w:id="0">
    <w:p w:rsidR="00FB2CCD" w:rsidRDefault="00FB2CCD" w:rsidP="00B8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CD" w:rsidRDefault="00FB2CCD" w:rsidP="00B82F4A">
      <w:pPr>
        <w:spacing w:after="0" w:line="240" w:lineRule="auto"/>
      </w:pPr>
      <w:r>
        <w:separator/>
      </w:r>
    </w:p>
  </w:footnote>
  <w:footnote w:type="continuationSeparator" w:id="0">
    <w:p w:rsidR="00FB2CCD" w:rsidRDefault="00FB2CCD" w:rsidP="00B82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ral Onc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5rppsxfrdz0lesrtn5w9akssfvt0p29dzr&quot;&gt;Axin2 and OSCC&lt;record-ids&gt;&lt;item&gt;3&lt;/item&gt;&lt;item&gt;7&lt;/item&gt;&lt;/record-ids&gt;&lt;/item&gt;&lt;/Libraries&gt;"/>
  </w:docVars>
  <w:rsids>
    <w:rsidRoot w:val="005C5953"/>
    <w:rsid w:val="001D612E"/>
    <w:rsid w:val="0029321A"/>
    <w:rsid w:val="004A5453"/>
    <w:rsid w:val="004C3C2D"/>
    <w:rsid w:val="004D050F"/>
    <w:rsid w:val="005C5953"/>
    <w:rsid w:val="006D1338"/>
    <w:rsid w:val="0075227E"/>
    <w:rsid w:val="00A1582E"/>
    <w:rsid w:val="00A21B94"/>
    <w:rsid w:val="00AE795E"/>
    <w:rsid w:val="00B22727"/>
    <w:rsid w:val="00B82F4A"/>
    <w:rsid w:val="00BB35BB"/>
    <w:rsid w:val="00D6392B"/>
    <w:rsid w:val="00DC5BCB"/>
    <w:rsid w:val="00E0445F"/>
    <w:rsid w:val="00E11F78"/>
    <w:rsid w:val="00E75363"/>
    <w:rsid w:val="00EE1583"/>
    <w:rsid w:val="00FB2C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5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F4A"/>
    <w:pPr>
      <w:tabs>
        <w:tab w:val="center" w:pos="4513"/>
        <w:tab w:val="right" w:pos="9026"/>
      </w:tabs>
      <w:snapToGrid w:val="0"/>
    </w:pPr>
  </w:style>
  <w:style w:type="character" w:customStyle="1" w:styleId="Char">
    <w:name w:val="머리글 Char"/>
    <w:basedOn w:val="a0"/>
    <w:link w:val="a3"/>
    <w:uiPriority w:val="99"/>
    <w:rsid w:val="00B82F4A"/>
  </w:style>
  <w:style w:type="paragraph" w:styleId="a4">
    <w:name w:val="footer"/>
    <w:basedOn w:val="a"/>
    <w:link w:val="Char0"/>
    <w:uiPriority w:val="99"/>
    <w:unhideWhenUsed/>
    <w:rsid w:val="00B82F4A"/>
    <w:pPr>
      <w:tabs>
        <w:tab w:val="center" w:pos="4513"/>
        <w:tab w:val="right" w:pos="9026"/>
      </w:tabs>
      <w:snapToGrid w:val="0"/>
    </w:pPr>
  </w:style>
  <w:style w:type="character" w:customStyle="1" w:styleId="Char0">
    <w:name w:val="바닥글 Char"/>
    <w:basedOn w:val="a0"/>
    <w:link w:val="a4"/>
    <w:uiPriority w:val="99"/>
    <w:rsid w:val="00B82F4A"/>
  </w:style>
  <w:style w:type="paragraph" w:customStyle="1" w:styleId="EndNoteBibliographyTitle">
    <w:name w:val="EndNote Bibliography Title"/>
    <w:basedOn w:val="a"/>
    <w:link w:val="EndNoteBibliographyTitleChar"/>
    <w:rsid w:val="00B82F4A"/>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B82F4A"/>
    <w:rPr>
      <w:rFonts w:ascii="맑은 고딕" w:eastAsia="맑은 고딕" w:hAnsi="맑은 고딕"/>
      <w:noProof/>
    </w:rPr>
  </w:style>
  <w:style w:type="paragraph" w:customStyle="1" w:styleId="EndNoteBibliography">
    <w:name w:val="EndNote Bibliography"/>
    <w:basedOn w:val="a"/>
    <w:link w:val="EndNoteBibliographyChar"/>
    <w:rsid w:val="00B82F4A"/>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B82F4A"/>
    <w:rPr>
      <w:rFonts w:ascii="맑은 고딕" w:eastAsia="맑은 고딕" w:hAnsi="맑은 고딕"/>
      <w:noProof/>
    </w:rPr>
  </w:style>
  <w:style w:type="paragraph" w:styleId="a5">
    <w:name w:val="Balloon Text"/>
    <w:basedOn w:val="a"/>
    <w:link w:val="Char1"/>
    <w:uiPriority w:val="99"/>
    <w:semiHidden/>
    <w:unhideWhenUsed/>
    <w:rsid w:val="00EE158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EE15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5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F4A"/>
    <w:pPr>
      <w:tabs>
        <w:tab w:val="center" w:pos="4513"/>
        <w:tab w:val="right" w:pos="9026"/>
      </w:tabs>
      <w:snapToGrid w:val="0"/>
    </w:pPr>
  </w:style>
  <w:style w:type="character" w:customStyle="1" w:styleId="Char">
    <w:name w:val="머리글 Char"/>
    <w:basedOn w:val="a0"/>
    <w:link w:val="a3"/>
    <w:uiPriority w:val="99"/>
    <w:rsid w:val="00B82F4A"/>
  </w:style>
  <w:style w:type="paragraph" w:styleId="a4">
    <w:name w:val="footer"/>
    <w:basedOn w:val="a"/>
    <w:link w:val="Char0"/>
    <w:uiPriority w:val="99"/>
    <w:unhideWhenUsed/>
    <w:rsid w:val="00B82F4A"/>
    <w:pPr>
      <w:tabs>
        <w:tab w:val="center" w:pos="4513"/>
        <w:tab w:val="right" w:pos="9026"/>
      </w:tabs>
      <w:snapToGrid w:val="0"/>
    </w:pPr>
  </w:style>
  <w:style w:type="character" w:customStyle="1" w:styleId="Char0">
    <w:name w:val="바닥글 Char"/>
    <w:basedOn w:val="a0"/>
    <w:link w:val="a4"/>
    <w:uiPriority w:val="99"/>
    <w:rsid w:val="00B82F4A"/>
  </w:style>
  <w:style w:type="paragraph" w:customStyle="1" w:styleId="EndNoteBibliographyTitle">
    <w:name w:val="EndNote Bibliography Title"/>
    <w:basedOn w:val="a"/>
    <w:link w:val="EndNoteBibliographyTitleChar"/>
    <w:rsid w:val="00B82F4A"/>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B82F4A"/>
    <w:rPr>
      <w:rFonts w:ascii="맑은 고딕" w:eastAsia="맑은 고딕" w:hAnsi="맑은 고딕"/>
      <w:noProof/>
    </w:rPr>
  </w:style>
  <w:style w:type="paragraph" w:customStyle="1" w:styleId="EndNoteBibliography">
    <w:name w:val="EndNote Bibliography"/>
    <w:basedOn w:val="a"/>
    <w:link w:val="EndNoteBibliographyChar"/>
    <w:rsid w:val="00B82F4A"/>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B82F4A"/>
    <w:rPr>
      <w:rFonts w:ascii="맑은 고딕" w:eastAsia="맑은 고딕" w:hAnsi="맑은 고딕"/>
      <w:noProof/>
    </w:rPr>
  </w:style>
  <w:style w:type="paragraph" w:styleId="a5">
    <w:name w:val="Balloon Text"/>
    <w:basedOn w:val="a"/>
    <w:link w:val="Char1"/>
    <w:uiPriority w:val="99"/>
    <w:semiHidden/>
    <w:unhideWhenUsed/>
    <w:rsid w:val="00EE158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EE15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1187</Words>
  <Characters>6767</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연세의료원</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장향란(구강종양연구소)</dc:creator>
  <cp:lastModifiedBy>장향란(구강종양연구소)</cp:lastModifiedBy>
  <cp:revision>3</cp:revision>
  <cp:lastPrinted>2019-11-16T08:59:00Z</cp:lastPrinted>
  <dcterms:created xsi:type="dcterms:W3CDTF">2019-11-15T08:32:00Z</dcterms:created>
  <dcterms:modified xsi:type="dcterms:W3CDTF">2019-11-16T12:36:00Z</dcterms:modified>
</cp:coreProperties>
</file>